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1C75" w14:textId="441468BF" w:rsidR="00371A72" w:rsidRDefault="00ED55CD" w:rsidP="001E04D6">
      <w:pPr>
        <w:jc w:val="center"/>
        <w:rPr>
          <w:rFonts w:ascii="方正小标宋简体" w:eastAsia="方正小标宋简体"/>
          <w:b/>
          <w:bCs/>
          <w:sz w:val="24"/>
          <w:szCs w:val="28"/>
        </w:rPr>
      </w:pPr>
      <w:r w:rsidRPr="001E04D6">
        <w:rPr>
          <w:rFonts w:ascii="方正小标宋简体" w:eastAsia="方正小标宋简体" w:hint="eastAsia"/>
          <w:b/>
          <w:bCs/>
          <w:sz w:val="24"/>
          <w:szCs w:val="28"/>
        </w:rPr>
        <w:t>第</w:t>
      </w:r>
      <w:r w:rsidR="00371A72" w:rsidRPr="001E04D6">
        <w:rPr>
          <w:rFonts w:ascii="方正小标宋简体" w:eastAsia="方正小标宋简体" w:hint="eastAsia"/>
          <w:b/>
          <w:bCs/>
          <w:sz w:val="24"/>
          <w:szCs w:val="28"/>
        </w:rPr>
        <w:t>二</w:t>
      </w:r>
      <w:r w:rsidRPr="001E04D6">
        <w:rPr>
          <w:rFonts w:ascii="方正小标宋简体" w:eastAsia="方正小标宋简体" w:hint="eastAsia"/>
          <w:b/>
          <w:bCs/>
          <w:sz w:val="24"/>
          <w:szCs w:val="28"/>
        </w:rPr>
        <w:t>章</w:t>
      </w:r>
      <w:r w:rsidR="00371A72" w:rsidRPr="001E04D6">
        <w:rPr>
          <w:rFonts w:ascii="方正小标宋简体" w:eastAsia="方正小标宋简体" w:hint="eastAsia"/>
          <w:b/>
          <w:bCs/>
          <w:sz w:val="24"/>
          <w:szCs w:val="28"/>
        </w:rPr>
        <w:t>章节作业</w:t>
      </w:r>
    </w:p>
    <w:tbl>
      <w:tblPr>
        <w:tblStyle w:val="aa"/>
        <w:tblW w:w="0" w:type="auto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04D6" w14:paraId="24FD09B5" w14:textId="77777777" w:rsidTr="001E04D6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554C32" w14:textId="77777777" w:rsidR="001E04D6" w:rsidRDefault="001E04D6">
            <w:pPr>
              <w:jc w:val="center"/>
              <w:rPr>
                <w:rFonts w:ascii="Times New Roman" w:eastAsia="华文仿宋" w:hAnsi="Times New Roman" w:cs="Times New Roman"/>
                <w:b/>
              </w:rPr>
            </w:pPr>
            <w:r>
              <w:rPr>
                <w:rFonts w:ascii="Times New Roman" w:eastAsia="华文仿宋" w:hAnsi="Times New Roman" w:cs="Times New Roman" w:hint="eastAsia"/>
                <w:b/>
              </w:rPr>
              <w:t>电气</w:t>
            </w:r>
            <w:r>
              <w:rPr>
                <w:rFonts w:ascii="Times New Roman" w:eastAsia="华文仿宋" w:hAnsi="Times New Roman" w:cs="Times New Roman"/>
                <w:b/>
              </w:rPr>
              <w:t>810</w:t>
            </w:r>
          </w:p>
        </w:tc>
        <w:tc>
          <w:tcPr>
            <w:tcW w:w="2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58F606" w14:textId="77777777" w:rsidR="001E04D6" w:rsidRDefault="001E04D6">
            <w:pPr>
              <w:jc w:val="center"/>
              <w:rPr>
                <w:rFonts w:ascii="Times New Roman" w:eastAsia="华文仿宋" w:hAnsi="Times New Roman" w:cs="Times New Roman"/>
                <w:b/>
              </w:rPr>
            </w:pPr>
            <w:r>
              <w:rPr>
                <w:rFonts w:ascii="Times New Roman" w:eastAsia="华文仿宋" w:hAnsi="Times New Roman" w:cs="Times New Roman" w:hint="eastAsia"/>
                <w:b/>
              </w:rPr>
              <w:t>聂永欣</w:t>
            </w:r>
          </w:p>
        </w:tc>
        <w:tc>
          <w:tcPr>
            <w:tcW w:w="2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E3388C" w14:textId="77777777" w:rsidR="001E04D6" w:rsidRDefault="001E04D6">
            <w:pPr>
              <w:jc w:val="center"/>
              <w:rPr>
                <w:rFonts w:ascii="Times New Roman" w:eastAsia="华文仿宋" w:hAnsi="Times New Roman" w:cs="Times New Roman"/>
                <w:b/>
              </w:rPr>
            </w:pPr>
            <w:r>
              <w:rPr>
                <w:rFonts w:ascii="Times New Roman" w:eastAsia="华文仿宋" w:hAnsi="Times New Roman" w:cs="Times New Roman"/>
                <w:b/>
              </w:rPr>
              <w:t>2186113564</w:t>
            </w:r>
          </w:p>
        </w:tc>
      </w:tr>
    </w:tbl>
    <w:p w14:paraId="1A0EEFEB" w14:textId="54BBE3AC" w:rsidR="00BA4ABC" w:rsidRPr="001E04D6" w:rsidRDefault="00ED55CD">
      <w:pPr>
        <w:rPr>
          <w:rFonts w:ascii="Times New Roman" w:eastAsia="宋体" w:hAnsi="Times New Roman" w:cs="Times New Roman"/>
          <w:b/>
          <w:bCs/>
        </w:rPr>
      </w:pPr>
      <w:r w:rsidRPr="001E04D6">
        <w:rPr>
          <w:rFonts w:ascii="Times New Roman" w:eastAsia="宋体" w:hAnsi="Times New Roman" w:cs="Times New Roman"/>
          <w:b/>
          <w:bCs/>
        </w:rPr>
        <w:t>简答题</w:t>
      </w:r>
      <w:r w:rsidR="00371A72" w:rsidRPr="001E04D6">
        <w:rPr>
          <w:rFonts w:ascii="Times New Roman" w:eastAsia="宋体" w:hAnsi="Times New Roman" w:cs="Times New Roman"/>
          <w:b/>
          <w:bCs/>
        </w:rPr>
        <w:t>：</w:t>
      </w:r>
    </w:p>
    <w:p w14:paraId="13280110" w14:textId="6FD3F14B" w:rsidR="00ED55CD" w:rsidRPr="001E04D6" w:rsidRDefault="00371A72" w:rsidP="001E04D6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sz w:val="22"/>
        </w:rPr>
      </w:pPr>
      <w:r w:rsidRPr="001E04D6">
        <w:rPr>
          <w:rFonts w:ascii="Times New Roman" w:eastAsia="宋体" w:hAnsi="Times New Roman" w:cs="Times New Roman"/>
          <w:sz w:val="22"/>
        </w:rPr>
        <w:t>低电场和高电场下，介质的导电机理（电导模型</w:t>
      </w:r>
      <w:r w:rsidRPr="001E04D6">
        <w:rPr>
          <w:rFonts w:ascii="Times New Roman" w:eastAsia="宋体" w:hAnsi="Times New Roman" w:cs="Times New Roman"/>
          <w:sz w:val="22"/>
        </w:rPr>
        <w:t>/</w:t>
      </w:r>
      <w:r w:rsidRPr="001E04D6">
        <w:rPr>
          <w:rFonts w:ascii="Times New Roman" w:eastAsia="宋体" w:hAnsi="Times New Roman" w:cs="Times New Roman"/>
          <w:sz w:val="22"/>
        </w:rPr>
        <w:t>电荷输运模型）分别有哪些？</w:t>
      </w:r>
    </w:p>
    <w:p w14:paraId="6E23CFB3" w14:textId="77777777" w:rsidR="0033706F" w:rsidRPr="001E04D6" w:rsidRDefault="0033706F" w:rsidP="001E04D6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14:paraId="3D2CE83E" w14:textId="7CC58902" w:rsidR="00ED55CD" w:rsidRDefault="00ED55CD" w:rsidP="001E04D6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14:paraId="41261274" w14:textId="6C9EC860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14:paraId="2279FBB8" w14:textId="3CBA8A9A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14:paraId="5B63F7BB" w14:textId="77777777" w:rsidR="001E04D6" w:rsidRPr="001E04D6" w:rsidRDefault="001E04D6" w:rsidP="001E04D6">
      <w:pPr>
        <w:spacing w:line="360" w:lineRule="exact"/>
        <w:rPr>
          <w:rFonts w:ascii="Times New Roman" w:eastAsia="宋体" w:hAnsi="Times New Roman" w:cs="Times New Roman" w:hint="eastAsia"/>
          <w:sz w:val="22"/>
        </w:rPr>
      </w:pPr>
    </w:p>
    <w:p w14:paraId="652E5017" w14:textId="46CE6B56" w:rsidR="000E028A" w:rsidRPr="001E04D6" w:rsidRDefault="00371A72" w:rsidP="001E04D6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color w:val="000000" w:themeColor="text1"/>
          <w:sz w:val="22"/>
        </w:rPr>
      </w:pPr>
      <w:r w:rsidRPr="001E04D6">
        <w:rPr>
          <w:rFonts w:ascii="Times New Roman" w:eastAsia="宋体" w:hAnsi="Times New Roman" w:cs="Times New Roman"/>
          <w:bCs/>
          <w:sz w:val="22"/>
          <w:szCs w:val="21"/>
        </w:rPr>
        <w:t>根据电介质极化的微观机理，简述极化的基本形式，并给出对应的适用对象（分别适用于哪种电介质）。</w:t>
      </w:r>
    </w:p>
    <w:p w14:paraId="656CBB5E" w14:textId="47E4CC53" w:rsidR="008C405B" w:rsidRPr="001E04D6" w:rsidRDefault="008C405B" w:rsidP="001E04D6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14:paraId="5F577982" w14:textId="14DA20BF" w:rsidR="000E028A" w:rsidRDefault="000E028A" w:rsidP="001E04D6">
      <w:pPr>
        <w:spacing w:line="360" w:lineRule="exac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0F26F424" w14:textId="6470B7C2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53466D89" w14:textId="4FE4F55D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1DA5CD66" w14:textId="77777777" w:rsidR="001E04D6" w:rsidRPr="001E04D6" w:rsidRDefault="001E04D6" w:rsidP="001E04D6">
      <w:pPr>
        <w:spacing w:line="360" w:lineRule="exact"/>
        <w:rPr>
          <w:rFonts w:ascii="Times New Roman" w:eastAsia="宋体" w:hAnsi="Times New Roman" w:cs="Times New Roman" w:hint="eastAsia"/>
          <w:color w:val="000000" w:themeColor="text1"/>
          <w:sz w:val="22"/>
        </w:rPr>
      </w:pPr>
    </w:p>
    <w:p w14:paraId="41A6298E" w14:textId="34471034" w:rsidR="00371A72" w:rsidRPr="001E04D6" w:rsidRDefault="00371A72" w:rsidP="001E04D6">
      <w:pPr>
        <w:spacing w:line="360" w:lineRule="exact"/>
        <w:rPr>
          <w:rFonts w:ascii="Times New Roman" w:eastAsia="宋体" w:hAnsi="Times New Roman" w:cs="Times New Roman"/>
          <w:b/>
          <w:bCs/>
          <w:color w:val="000000" w:themeColor="text1"/>
          <w:sz w:val="22"/>
        </w:rPr>
      </w:pPr>
      <w:r w:rsidRPr="001E04D6">
        <w:rPr>
          <w:rFonts w:ascii="Times New Roman" w:eastAsia="宋体" w:hAnsi="Times New Roman" w:cs="Times New Roman"/>
          <w:b/>
          <w:bCs/>
          <w:color w:val="000000" w:themeColor="text1"/>
          <w:sz w:val="22"/>
        </w:rPr>
        <w:t>计算题：</w:t>
      </w:r>
    </w:p>
    <w:p w14:paraId="174F9D81" w14:textId="47320C6F" w:rsidR="00371A72" w:rsidRPr="000E6D2F" w:rsidRDefault="00371A72" w:rsidP="00F76826">
      <w:pPr>
        <w:pStyle w:val="a3"/>
        <w:numPr>
          <w:ilvl w:val="0"/>
          <w:numId w:val="3"/>
        </w:numPr>
        <w:spacing w:line="440" w:lineRule="exact"/>
        <w:ind w:left="357" w:firstLineChars="0" w:hanging="357"/>
        <w:rPr>
          <w:rFonts w:ascii="Times New Roman" w:eastAsia="宋体" w:hAnsi="Times New Roman" w:cs="Times New Roman"/>
          <w:bCs/>
          <w:sz w:val="22"/>
          <w:szCs w:val="21"/>
        </w:rPr>
      </w:pPr>
      <w:r w:rsidRPr="001E04D6">
        <w:rPr>
          <w:rFonts w:ascii="Times New Roman" w:eastAsia="宋体" w:hAnsi="Times New Roman" w:cs="Times New Roman"/>
          <w:bCs/>
          <w:sz w:val="22"/>
          <w:szCs w:val="21"/>
        </w:rPr>
        <w:t>已知直流电压下电容器储存的能量为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W=0.5CU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  <w:vertAlign w:val="superscript"/>
        </w:rPr>
        <w:t>2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,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其中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C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为电容量，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U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为电容</w:t>
      </w:r>
      <w:r w:rsidR="003518A3" w:rsidRPr="001E04D6">
        <w:rPr>
          <w:rFonts w:ascii="Times New Roman" w:eastAsia="宋体" w:hAnsi="Times New Roman" w:cs="Times New Roman"/>
          <w:bCs/>
          <w:sz w:val="22"/>
          <w:szCs w:val="21"/>
        </w:rPr>
        <w:t>器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两个极板之间的电压。现有</w:t>
      </w:r>
      <w:proofErr w:type="gramStart"/>
      <w:r w:rsidRPr="001E04D6">
        <w:rPr>
          <w:rFonts w:ascii="Times New Roman" w:eastAsia="宋体" w:hAnsi="Times New Roman" w:cs="Times New Roman"/>
          <w:bCs/>
          <w:sz w:val="22"/>
          <w:szCs w:val="21"/>
        </w:rPr>
        <w:t>一</w:t>
      </w:r>
      <w:proofErr w:type="gramEnd"/>
      <w:r w:rsidRPr="001E04D6">
        <w:rPr>
          <w:rFonts w:ascii="Times New Roman" w:eastAsia="宋体" w:hAnsi="Times New Roman" w:cs="Times New Roman"/>
          <w:bCs/>
          <w:sz w:val="22"/>
          <w:szCs w:val="21"/>
        </w:rPr>
        <w:t>理想的平行板电容器，两极板间的距离为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d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，极板面积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S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远大于极板间距离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d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。试推导电容器极板上单位面积的电场力为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f=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b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b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bCs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2"/>
              </w:rPr>
              <m:t>2</m:t>
            </m:r>
          </m:sup>
        </m:sSup>
      </m:oMath>
      <w:r w:rsidRPr="001E04D6">
        <w:rPr>
          <w:rFonts w:ascii="Times New Roman" w:eastAsia="宋体" w:hAnsi="Times New Roman" w:cs="Times New Roman"/>
          <w:bCs/>
          <w:sz w:val="22"/>
          <w:szCs w:val="21"/>
        </w:rPr>
        <w:t>,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写出推导过程。</w:t>
      </w:r>
      <w:r w:rsidRPr="000E6D2F">
        <w:rPr>
          <w:rFonts w:ascii="Times New Roman" w:eastAsia="宋体" w:hAnsi="Times New Roman" w:cs="Times New Roman"/>
          <w:bCs/>
          <w:sz w:val="22"/>
          <w:szCs w:val="21"/>
        </w:rPr>
        <w:t>已知</w:t>
      </w:r>
      <w:r w:rsidRPr="000E6D2F">
        <w:rPr>
          <w:rFonts w:ascii="Times New Roman" w:eastAsia="宋体" w:hAnsi="Times New Roman" w:cs="Times New Roman"/>
          <w:bCs/>
          <w:sz w:val="22"/>
        </w:rPr>
        <w:t>，</w:t>
      </w:r>
      <w:r w:rsidRPr="000E6D2F">
        <w:rPr>
          <w:rFonts w:ascii="Times New Roman" w:eastAsia="宋体" w:hAnsi="Times New Roman" w:cs="Times New Roman"/>
          <w:bCs/>
          <w:iCs/>
          <w:sz w:val="22"/>
        </w:rPr>
        <w:t>C=</w:t>
      </w:r>
      <w:bookmarkStart w:id="0" w:name="OLE_LINK9"/>
      <w:proofErr w:type="spellStart"/>
      <w:r w:rsidRPr="000E6D2F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0E6D2F">
        <w:rPr>
          <w:rFonts w:ascii="Times New Roman" w:eastAsia="宋体" w:hAnsi="Times New Roman" w:cs="Times New Roman"/>
          <w:bCs/>
          <w:iCs/>
          <w:sz w:val="22"/>
          <w:vertAlign w:val="subscript"/>
        </w:rPr>
        <w:t>r</w:t>
      </w:r>
      <w:bookmarkEnd w:id="0"/>
      <w:r w:rsidRPr="000E6D2F">
        <w:rPr>
          <w:rFonts w:ascii="Times New Roman" w:eastAsia="宋体" w:hAnsi="Times New Roman" w:cs="Times New Roman"/>
          <w:bCs/>
          <w:iCs/>
          <w:sz w:val="22"/>
        </w:rPr>
        <w:t>S</w:t>
      </w:r>
      <w:proofErr w:type="spellEnd"/>
      <w:r w:rsidRPr="000E6D2F">
        <w:rPr>
          <w:rFonts w:ascii="Times New Roman" w:eastAsia="宋体" w:hAnsi="Times New Roman" w:cs="Times New Roman"/>
          <w:bCs/>
          <w:iCs/>
          <w:sz w:val="22"/>
        </w:rPr>
        <w:t>/(4π</w:t>
      </w:r>
      <w:proofErr w:type="spellStart"/>
      <w:r w:rsidRPr="000E6D2F">
        <w:rPr>
          <w:rFonts w:ascii="Times New Roman" w:eastAsia="宋体" w:hAnsi="Times New Roman" w:cs="Times New Roman"/>
          <w:bCs/>
          <w:iCs/>
          <w:sz w:val="22"/>
        </w:rPr>
        <w:t>kd</w:t>
      </w:r>
      <w:proofErr w:type="spellEnd"/>
      <w:r w:rsidRPr="000E6D2F">
        <w:rPr>
          <w:rFonts w:ascii="Times New Roman" w:eastAsia="宋体" w:hAnsi="Times New Roman" w:cs="Times New Roman"/>
          <w:bCs/>
          <w:iCs/>
          <w:sz w:val="22"/>
        </w:rPr>
        <w:t>)</w:t>
      </w:r>
      <w:r w:rsidRPr="000E6D2F">
        <w:rPr>
          <w:rFonts w:ascii="Times New Roman" w:eastAsia="宋体" w:hAnsi="Times New Roman" w:cs="Times New Roman"/>
          <w:bCs/>
          <w:sz w:val="22"/>
        </w:rPr>
        <w:t>，真空介电常数</w:t>
      </w:r>
      <w:bookmarkStart w:id="1" w:name="OLE_LINK14"/>
      <w:r w:rsidRPr="000E6D2F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0E6D2F">
        <w:rPr>
          <w:rFonts w:ascii="Times New Roman" w:eastAsia="宋体" w:hAnsi="Times New Roman" w:cs="Times New Roman"/>
          <w:bCs/>
          <w:iCs/>
          <w:sz w:val="22"/>
          <w:vertAlign w:val="subscript"/>
        </w:rPr>
        <w:t>0</w:t>
      </w:r>
      <w:bookmarkEnd w:id="1"/>
      <w:r w:rsidRPr="000E6D2F">
        <w:rPr>
          <w:rFonts w:ascii="Times New Roman" w:eastAsia="宋体" w:hAnsi="Times New Roman" w:cs="Times New Roman"/>
          <w:bCs/>
          <w:sz w:val="22"/>
        </w:rPr>
        <w:t>=</w:t>
      </w:r>
      <w:r w:rsidRPr="000E6D2F">
        <w:rPr>
          <w:rFonts w:ascii="Times New Roman" w:eastAsia="宋体" w:hAnsi="Times New Roman" w:cs="Times New Roman"/>
          <w:bCs/>
          <w:iCs/>
          <w:sz w:val="22"/>
        </w:rPr>
        <w:t>8.85×10</w:t>
      </w:r>
      <w:r w:rsidR="00C44247">
        <w:rPr>
          <w:rFonts w:ascii="Times New Roman" w:eastAsia="宋体" w:hAnsi="Times New Roman" w:cs="Times New Roman"/>
          <w:bCs/>
          <w:iCs/>
          <w:sz w:val="22"/>
          <w:vertAlign w:val="superscript"/>
        </w:rPr>
        <w:t>-12</w:t>
      </w:r>
      <w:r w:rsidRPr="000E6D2F">
        <w:rPr>
          <w:rFonts w:ascii="Times New Roman" w:eastAsia="宋体" w:hAnsi="Times New Roman" w:cs="Times New Roman"/>
          <w:bCs/>
          <w:sz w:val="22"/>
        </w:rPr>
        <w:t>F/m</w:t>
      </w:r>
      <w:r w:rsidRPr="000E6D2F">
        <w:rPr>
          <w:rFonts w:ascii="Times New Roman" w:eastAsia="宋体" w:hAnsi="Times New Roman" w:cs="Times New Roman"/>
          <w:bCs/>
          <w:sz w:val="22"/>
        </w:rPr>
        <w:t>，</w:t>
      </w:r>
      <w:bookmarkStart w:id="2" w:name="OLE_LINK10"/>
      <w:bookmarkStart w:id="3" w:name="OLE_LINK11"/>
      <w:proofErr w:type="spellStart"/>
      <w:r w:rsidRPr="000E6D2F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0E6D2F">
        <w:rPr>
          <w:rFonts w:ascii="Times New Roman" w:eastAsia="宋体" w:hAnsi="Times New Roman" w:cs="Times New Roman"/>
          <w:bCs/>
          <w:iCs/>
          <w:sz w:val="22"/>
          <w:vertAlign w:val="subscript"/>
        </w:rPr>
        <w:t>r</w:t>
      </w:r>
      <w:bookmarkEnd w:id="2"/>
      <w:bookmarkEnd w:id="3"/>
      <w:proofErr w:type="spellEnd"/>
      <w:r w:rsidRPr="000E6D2F">
        <w:rPr>
          <w:rFonts w:ascii="Times New Roman" w:eastAsia="宋体" w:hAnsi="Times New Roman" w:cs="Times New Roman"/>
          <w:bCs/>
          <w:sz w:val="22"/>
        </w:rPr>
        <w:t>为相对介电常数，静电力常量</w:t>
      </w:r>
      <w:r w:rsidRPr="000E6D2F">
        <w:rPr>
          <w:rFonts w:ascii="Times New Roman" w:eastAsia="宋体" w:hAnsi="Times New Roman" w:cs="Times New Roman"/>
          <w:bCs/>
          <w:iCs/>
          <w:sz w:val="22"/>
        </w:rPr>
        <w:t>k</w:t>
      </w:r>
      <w:r w:rsidRPr="000E6D2F">
        <w:rPr>
          <w:rFonts w:ascii="Times New Roman" w:eastAsia="宋体" w:hAnsi="Times New Roman" w:cs="Times New Roman"/>
          <w:bCs/>
          <w:sz w:val="22"/>
        </w:rPr>
        <w:t>=</w:t>
      </w:r>
      <w:r w:rsidRPr="000E6D2F">
        <w:rPr>
          <w:rFonts w:ascii="Times New Roman" w:eastAsia="宋体" w:hAnsi="Times New Roman" w:cs="Times New Roman"/>
          <w:bCs/>
          <w:iCs/>
          <w:sz w:val="22"/>
        </w:rPr>
        <w:t>8.98×10^9</w:t>
      </w:r>
      <w:r w:rsidRPr="000E6D2F">
        <w:rPr>
          <w:rFonts w:ascii="Times New Roman" w:eastAsia="宋体" w:hAnsi="Times New Roman" w:cs="Times New Roman"/>
          <w:bCs/>
          <w:sz w:val="22"/>
        </w:rPr>
        <w:t>N</w:t>
      </w:r>
      <w:r w:rsidRPr="000E6D2F">
        <w:rPr>
          <w:rFonts w:ascii="Times New Roman" w:eastAsia="宋体" w:hAnsi="Times New Roman" w:cs="Times New Roman"/>
          <w:bCs/>
          <w:iCs/>
          <w:sz w:val="22"/>
        </w:rPr>
        <w:t>。</w:t>
      </w:r>
    </w:p>
    <w:p w14:paraId="254567D8" w14:textId="10E1DC66" w:rsidR="00371A72" w:rsidRPr="001E04D6" w:rsidRDefault="00371A72" w:rsidP="001E04D6">
      <w:pPr>
        <w:spacing w:line="360" w:lineRule="exact"/>
        <w:rPr>
          <w:rFonts w:ascii="Times New Roman" w:eastAsia="宋体" w:hAnsi="Times New Roman" w:cs="Times New Roman"/>
          <w:bCs/>
          <w:color w:val="000000" w:themeColor="text1"/>
          <w:sz w:val="22"/>
        </w:rPr>
      </w:pPr>
    </w:p>
    <w:p w14:paraId="43D0FAE3" w14:textId="04C3C9AF" w:rsidR="00371A72" w:rsidRDefault="00371A72" w:rsidP="001E04D6">
      <w:pPr>
        <w:spacing w:line="360" w:lineRule="exact"/>
        <w:rPr>
          <w:rFonts w:ascii="Times New Roman" w:eastAsia="宋体" w:hAnsi="Times New Roman" w:cs="Times New Roman"/>
          <w:bCs/>
          <w:color w:val="000000" w:themeColor="text1"/>
          <w:sz w:val="22"/>
        </w:rPr>
      </w:pPr>
    </w:p>
    <w:p w14:paraId="661CFD4A" w14:textId="7D461C44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bCs/>
          <w:color w:val="000000" w:themeColor="text1"/>
          <w:sz w:val="22"/>
        </w:rPr>
      </w:pPr>
    </w:p>
    <w:p w14:paraId="05B76321" w14:textId="6762975E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bCs/>
          <w:color w:val="000000" w:themeColor="text1"/>
          <w:sz w:val="22"/>
        </w:rPr>
      </w:pPr>
    </w:p>
    <w:p w14:paraId="61EA3F8A" w14:textId="77777777" w:rsidR="001E04D6" w:rsidRDefault="001E04D6" w:rsidP="001E04D6">
      <w:pPr>
        <w:spacing w:line="360" w:lineRule="exact"/>
        <w:rPr>
          <w:rFonts w:ascii="Times New Roman" w:eastAsia="宋体" w:hAnsi="Times New Roman" w:cs="Times New Roman"/>
          <w:bCs/>
          <w:color w:val="000000" w:themeColor="text1"/>
          <w:sz w:val="22"/>
        </w:rPr>
      </w:pPr>
    </w:p>
    <w:p w14:paraId="7F62DEDD" w14:textId="1FD4B1E7" w:rsidR="00371A72" w:rsidRPr="001E04D6" w:rsidRDefault="00371A72" w:rsidP="001E04D6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eastAsia="宋体" w:hAnsi="Times New Roman" w:cs="Times New Roman"/>
          <w:bCs/>
          <w:sz w:val="22"/>
          <w:szCs w:val="21"/>
        </w:rPr>
      </w:pPr>
      <w:r w:rsidRPr="001E04D6">
        <w:rPr>
          <w:rFonts w:ascii="Times New Roman" w:eastAsia="宋体" w:hAnsi="Times New Roman" w:cs="Times New Roman"/>
          <w:bCs/>
          <w:sz w:val="22"/>
          <w:szCs w:val="21"/>
        </w:rPr>
        <w:t>已知双层介质的平板电容器按串联方式连接的等效电路如下图所示，极板间介质的介电常数分别为</w:t>
      </w:r>
      <w:bookmarkStart w:id="4" w:name="OLE_LINK15"/>
      <w:r w:rsidRPr="001E04D6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1</w:t>
      </w:r>
      <w:r w:rsidR="00F76826">
        <w:rPr>
          <w:rFonts w:ascii="Times New Roman" w:eastAsia="宋体" w:hAnsi="Times New Roman" w:cs="Times New Roman" w:hint="eastAsia"/>
          <w:bCs/>
          <w:iCs/>
          <w:sz w:val="22"/>
        </w:rPr>
        <w:t>、</w:t>
      </w:r>
      <w:r w:rsidRPr="001E04D6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2</w:t>
      </w:r>
      <w:bookmarkEnd w:id="4"/>
      <w:r w:rsidR="00F76826">
        <w:rPr>
          <w:rFonts w:ascii="Times New Roman" w:eastAsia="宋体" w:hAnsi="Times New Roman" w:cs="Times New Roman" w:hint="eastAsia"/>
          <w:bCs/>
          <w:sz w:val="22"/>
        </w:rPr>
        <w:t>，</w:t>
      </w:r>
      <w:r w:rsidRPr="001E04D6">
        <w:rPr>
          <w:rFonts w:ascii="Times New Roman" w:eastAsia="宋体" w:hAnsi="Times New Roman" w:cs="Times New Roman"/>
          <w:bCs/>
          <w:sz w:val="22"/>
        </w:rPr>
        <w:t>极板间距离分别为</w:t>
      </w:r>
      <w:bookmarkStart w:id="5" w:name="OLE_LINK16"/>
      <w:r w:rsidRPr="001E04D6">
        <w:rPr>
          <w:rFonts w:ascii="Times New Roman" w:eastAsia="宋体" w:hAnsi="Times New Roman" w:cs="Times New Roman"/>
          <w:bCs/>
          <w:iCs/>
          <w:sz w:val="22"/>
        </w:rPr>
        <w:t>d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1</w:t>
      </w:r>
      <w:r w:rsidRPr="001E04D6">
        <w:rPr>
          <w:rFonts w:ascii="Times New Roman" w:eastAsia="宋体" w:hAnsi="Times New Roman" w:cs="Times New Roman"/>
          <w:bCs/>
          <w:sz w:val="22"/>
        </w:rPr>
        <w:t>、</w:t>
      </w:r>
      <w:r w:rsidRPr="001E04D6">
        <w:rPr>
          <w:rFonts w:ascii="Times New Roman" w:eastAsia="宋体" w:hAnsi="Times New Roman" w:cs="Times New Roman"/>
          <w:bCs/>
          <w:iCs/>
          <w:sz w:val="22"/>
        </w:rPr>
        <w:t>d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2</w:t>
      </w:r>
      <w:bookmarkEnd w:id="5"/>
      <w:r w:rsidRPr="001E04D6">
        <w:rPr>
          <w:rFonts w:ascii="Times New Roman" w:eastAsia="宋体" w:hAnsi="Times New Roman" w:cs="Times New Roman"/>
          <w:bCs/>
          <w:sz w:val="22"/>
        </w:rPr>
        <w:t>，两个电容器串联后两端的外施电压为</w:t>
      </w:r>
      <w:r w:rsidRPr="001E04D6">
        <w:rPr>
          <w:rFonts w:ascii="Times New Roman" w:eastAsia="宋体" w:hAnsi="Times New Roman" w:cs="Times New Roman"/>
          <w:bCs/>
          <w:iCs/>
          <w:sz w:val="22"/>
        </w:rPr>
        <w:t>U</w:t>
      </w:r>
      <w:r w:rsidRPr="001E04D6">
        <w:rPr>
          <w:rFonts w:ascii="Times New Roman" w:eastAsia="宋体" w:hAnsi="Times New Roman" w:cs="Times New Roman"/>
          <w:bCs/>
          <w:iCs/>
          <w:sz w:val="22"/>
        </w:rPr>
        <w:t>，</w:t>
      </w:r>
      <w:r w:rsidRPr="001E04D6">
        <w:rPr>
          <w:rFonts w:ascii="Times New Roman" w:eastAsia="宋体" w:hAnsi="Times New Roman" w:cs="Times New Roman"/>
          <w:bCs/>
          <w:iCs/>
          <w:sz w:val="22"/>
        </w:rPr>
        <w:t>U</w:t>
      </w:r>
      <w:r w:rsidRPr="001E04D6">
        <w:rPr>
          <w:rFonts w:ascii="Times New Roman" w:eastAsia="宋体" w:hAnsi="Times New Roman" w:cs="Times New Roman"/>
          <w:bCs/>
          <w:sz w:val="22"/>
        </w:rPr>
        <w:t>恒定。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试求出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t=0</w:t>
      </w:r>
      <w:r w:rsidRPr="001E04D6">
        <w:rPr>
          <w:rFonts w:ascii="Times New Roman" w:eastAsia="宋体" w:hAnsi="Times New Roman" w:cs="Times New Roman"/>
          <w:bCs/>
          <w:sz w:val="22"/>
          <w:szCs w:val="21"/>
          <w:vertAlign w:val="subscript"/>
        </w:rPr>
        <w:t>﹢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时刻极板间的电场分布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E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  <w:vertAlign w:val="subscript"/>
        </w:rPr>
        <w:t>1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、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E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  <w:vertAlign w:val="subscript"/>
        </w:rPr>
        <w:t>2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，写出计算过程（用</w:t>
      </w:r>
      <w:r w:rsidRPr="001E04D6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1</w:t>
      </w:r>
      <w:r w:rsidRPr="001E04D6">
        <w:rPr>
          <w:rFonts w:ascii="Times New Roman" w:eastAsia="宋体" w:hAnsi="Times New Roman" w:cs="Times New Roman"/>
          <w:bCs/>
          <w:sz w:val="22"/>
        </w:rPr>
        <w:t>、</w:t>
      </w:r>
      <w:bookmarkStart w:id="6" w:name="OLE_LINK17"/>
      <w:bookmarkStart w:id="7" w:name="OLE_LINK18"/>
      <w:r w:rsidRPr="001E04D6">
        <w:rPr>
          <w:rFonts w:ascii="Times New Roman" w:eastAsia="MS Gothic" w:hAnsi="Times New Roman" w:cs="Times New Roman"/>
          <w:bCs/>
          <w:iCs/>
          <w:sz w:val="22"/>
        </w:rPr>
        <w:t>ɛ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2</w:t>
      </w:r>
      <w:bookmarkEnd w:id="6"/>
      <w:bookmarkEnd w:id="7"/>
      <w:r w:rsidRPr="001E04D6">
        <w:rPr>
          <w:rFonts w:ascii="Times New Roman" w:eastAsia="宋体" w:hAnsi="Times New Roman" w:cs="Times New Roman"/>
          <w:bCs/>
          <w:sz w:val="22"/>
        </w:rPr>
        <w:t>、</w:t>
      </w:r>
      <w:bookmarkStart w:id="8" w:name="OLE_LINK19"/>
      <w:r w:rsidRPr="001E04D6">
        <w:rPr>
          <w:rFonts w:ascii="Times New Roman" w:eastAsia="宋体" w:hAnsi="Times New Roman" w:cs="Times New Roman"/>
          <w:bCs/>
          <w:iCs/>
          <w:sz w:val="22"/>
        </w:rPr>
        <w:t>d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1</w:t>
      </w:r>
      <w:bookmarkEnd w:id="8"/>
      <w:r w:rsidRPr="001E04D6">
        <w:rPr>
          <w:rFonts w:ascii="Times New Roman" w:eastAsia="宋体" w:hAnsi="Times New Roman" w:cs="Times New Roman"/>
          <w:bCs/>
          <w:sz w:val="22"/>
        </w:rPr>
        <w:t>、</w:t>
      </w:r>
      <w:r w:rsidRPr="001E04D6">
        <w:rPr>
          <w:rFonts w:ascii="Times New Roman" w:eastAsia="宋体" w:hAnsi="Times New Roman" w:cs="Times New Roman"/>
          <w:bCs/>
          <w:iCs/>
          <w:sz w:val="22"/>
        </w:rPr>
        <w:t>d</w:t>
      </w:r>
      <w:r w:rsidRPr="001E04D6">
        <w:rPr>
          <w:rFonts w:ascii="Times New Roman" w:eastAsia="宋体" w:hAnsi="Times New Roman" w:cs="Times New Roman"/>
          <w:bCs/>
          <w:iCs/>
          <w:sz w:val="22"/>
          <w:vertAlign w:val="subscript"/>
        </w:rPr>
        <w:t>2</w:t>
      </w:r>
      <w:r w:rsidRPr="001E04D6">
        <w:rPr>
          <w:rFonts w:ascii="Times New Roman" w:eastAsia="宋体" w:hAnsi="Times New Roman" w:cs="Times New Roman"/>
          <w:bCs/>
          <w:sz w:val="22"/>
        </w:rPr>
        <w:t>、</w:t>
      </w:r>
      <w:r w:rsidRPr="001E04D6">
        <w:rPr>
          <w:rFonts w:ascii="Times New Roman" w:eastAsia="宋体" w:hAnsi="Times New Roman" w:cs="Times New Roman"/>
          <w:bCs/>
          <w:iCs/>
          <w:sz w:val="22"/>
          <w:szCs w:val="21"/>
        </w:rPr>
        <w:t>U</w:t>
      </w:r>
      <w:r w:rsidRPr="001E04D6">
        <w:rPr>
          <w:rFonts w:ascii="Times New Roman" w:eastAsia="宋体" w:hAnsi="Times New Roman" w:cs="Times New Roman"/>
          <w:bCs/>
          <w:sz w:val="22"/>
          <w:szCs w:val="21"/>
        </w:rPr>
        <w:t>表示）。</w:t>
      </w:r>
    </w:p>
    <w:p w14:paraId="6C90F304" w14:textId="39AF1C01" w:rsidR="00371A72" w:rsidRPr="00371A72" w:rsidRDefault="00371A72" w:rsidP="00371A72">
      <w:pPr>
        <w:jc w:val="center"/>
        <w:rPr>
          <w:rFonts w:asciiTheme="minorEastAsia" w:hAnsiTheme="minorEastAsia"/>
          <w:color w:val="000000" w:themeColor="text1"/>
        </w:rPr>
      </w:pPr>
      <w:bookmarkStart w:id="9" w:name="OLE_LINK13"/>
      <w:r>
        <w:rPr>
          <w:rFonts w:hint="eastAsia"/>
          <w:b/>
          <w:noProof/>
          <w:szCs w:val="21"/>
        </w:rPr>
        <w:drawing>
          <wp:inline distT="0" distB="0" distL="0" distR="0" wp14:anchorId="69F441D5" wp14:editId="0D8B388B">
            <wp:extent cx="1294960" cy="129496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903" cy="13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9"/>
      <w:bookmarkEnd w:id="10"/>
    </w:p>
    <w:sectPr w:rsidR="00371A72" w:rsidRPr="00371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8DB6" w14:textId="77777777" w:rsidR="00F55D6B" w:rsidRDefault="00F55D6B" w:rsidP="00371A72">
      <w:r>
        <w:separator/>
      </w:r>
    </w:p>
  </w:endnote>
  <w:endnote w:type="continuationSeparator" w:id="0">
    <w:p w14:paraId="0A9E9ECC" w14:textId="77777777" w:rsidR="00F55D6B" w:rsidRDefault="00F55D6B" w:rsidP="0037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67F6" w14:textId="77777777" w:rsidR="00F55D6B" w:rsidRDefault="00F55D6B" w:rsidP="00371A72">
      <w:r>
        <w:separator/>
      </w:r>
    </w:p>
  </w:footnote>
  <w:footnote w:type="continuationSeparator" w:id="0">
    <w:p w14:paraId="648E1ABE" w14:textId="77777777" w:rsidR="00F55D6B" w:rsidRDefault="00F55D6B" w:rsidP="00371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1CAE"/>
    <w:multiLevelType w:val="hybridMultilevel"/>
    <w:tmpl w:val="B53EA1C0"/>
    <w:lvl w:ilvl="0" w:tplc="04B61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9413A"/>
    <w:multiLevelType w:val="hybridMultilevel"/>
    <w:tmpl w:val="A6A81D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65256"/>
    <w:multiLevelType w:val="hybridMultilevel"/>
    <w:tmpl w:val="CD667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5CD"/>
    <w:rsid w:val="000E028A"/>
    <w:rsid w:val="000E6D2F"/>
    <w:rsid w:val="001D7E96"/>
    <w:rsid w:val="001E04D6"/>
    <w:rsid w:val="00282026"/>
    <w:rsid w:val="002C1DA3"/>
    <w:rsid w:val="0033706F"/>
    <w:rsid w:val="003518A3"/>
    <w:rsid w:val="00371A72"/>
    <w:rsid w:val="00406C4E"/>
    <w:rsid w:val="00662A5F"/>
    <w:rsid w:val="006E488E"/>
    <w:rsid w:val="008C405B"/>
    <w:rsid w:val="009D11C8"/>
    <w:rsid w:val="00BA4ABC"/>
    <w:rsid w:val="00C44247"/>
    <w:rsid w:val="00CC2BD7"/>
    <w:rsid w:val="00ED55CD"/>
    <w:rsid w:val="00F55D6B"/>
    <w:rsid w:val="00F574A7"/>
    <w:rsid w:val="00F7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EE7B5"/>
  <w15:docId w15:val="{5F23A4E7-87EA-4963-8C43-1288191B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8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706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706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71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A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A72"/>
    <w:rPr>
      <w:sz w:val="18"/>
      <w:szCs w:val="18"/>
    </w:rPr>
  </w:style>
  <w:style w:type="table" w:styleId="2">
    <w:name w:val="Plain Table 2"/>
    <w:basedOn w:val="a1"/>
    <w:uiPriority w:val="42"/>
    <w:rsid w:val="001E04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a">
    <w:name w:val="Grid Table Light"/>
    <w:basedOn w:val="a1"/>
    <w:uiPriority w:val="40"/>
    <w:rsid w:val="001E04D6"/>
    <w:rPr>
      <w:rFonts w:eastAsia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聂永欣</cp:lastModifiedBy>
  <cp:revision>14</cp:revision>
  <dcterms:created xsi:type="dcterms:W3CDTF">2021-03-12T00:08:00Z</dcterms:created>
  <dcterms:modified xsi:type="dcterms:W3CDTF">2021-03-22T11:23:00Z</dcterms:modified>
</cp:coreProperties>
</file>