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4293" w14:textId="77777777" w:rsidR="00C34013" w:rsidRDefault="00C34013"/>
    <w:p w14:paraId="6D3FD685" w14:textId="77777777" w:rsidR="00C34013" w:rsidRDefault="00C34013"/>
    <w:p w14:paraId="45159358" w14:textId="77777777" w:rsidR="00C34013" w:rsidRDefault="00C34013"/>
    <w:p w14:paraId="67C26784" w14:textId="77777777" w:rsidR="00C34013" w:rsidRDefault="00C34013"/>
    <w:p w14:paraId="280A16E9" w14:textId="77777777" w:rsidR="00C34013" w:rsidRDefault="00C34013"/>
    <w:p w14:paraId="261DA7F6" w14:textId="77777777" w:rsidR="00C34013" w:rsidRDefault="00C34013"/>
    <w:p w14:paraId="5AC14E80" w14:textId="77777777" w:rsidR="00C34013" w:rsidRDefault="00000000">
      <w:pPr>
        <w:jc w:val="center"/>
      </w:pPr>
      <w:r>
        <w:rPr>
          <w:b/>
          <w:color w:val="1A1A1A"/>
          <w:sz w:val="72"/>
        </w:rPr>
        <w:t>La Nuit</w:t>
      </w:r>
    </w:p>
    <w:p w14:paraId="44ED5EF0" w14:textId="77777777" w:rsidR="00C34013" w:rsidRDefault="00000000">
      <w:pPr>
        <w:jc w:val="center"/>
      </w:pPr>
      <w:r>
        <w:rPr>
          <w:color w:val="6B7280"/>
          <w:sz w:val="36"/>
        </w:rPr>
        <w:t>Virtual Data Room</w:t>
      </w:r>
    </w:p>
    <w:p w14:paraId="6160003E" w14:textId="77777777" w:rsidR="00C34013" w:rsidRDefault="00C34013"/>
    <w:p w14:paraId="3AF6294F" w14:textId="77777777" w:rsidR="00C34013" w:rsidRDefault="00000000">
      <w:pPr>
        <w:jc w:val="center"/>
      </w:pPr>
      <w:r>
        <w:rPr>
          <w:color w:val="6B7280"/>
          <w:sz w:val="24"/>
        </w:rPr>
        <w:t>Boutique Hospitality Investment — Medellín, Colombia</w:t>
      </w:r>
    </w:p>
    <w:p w14:paraId="109B8CED" w14:textId="77777777" w:rsidR="00C34013" w:rsidRDefault="00C34013"/>
    <w:p w14:paraId="3A7A0FAE" w14:textId="77777777" w:rsidR="00C34013" w:rsidRDefault="00C34013"/>
    <w:p w14:paraId="77B846CC" w14:textId="77777777" w:rsidR="00C34013" w:rsidRDefault="00000000">
      <w:pPr>
        <w:jc w:val="center"/>
      </w:pPr>
      <w:r>
        <w:t>Prepared by CHIHIZA Studio for Conrad Pramböck</w:t>
      </w:r>
    </w:p>
    <w:p w14:paraId="7380EFF9" w14:textId="77777777" w:rsidR="00C34013" w:rsidRDefault="00000000">
      <w:r>
        <w:br w:type="page"/>
      </w:r>
    </w:p>
    <w:p w14:paraId="34832B01" w14:textId="77777777" w:rsidR="00C34013" w:rsidRDefault="00000000">
      <w:pPr>
        <w:pStyle w:val="Ttulo1"/>
      </w:pPr>
      <w:r>
        <w:lastRenderedPageBreak/>
        <w:t>Table of Contents</w:t>
      </w:r>
    </w:p>
    <w:p w14:paraId="27158F78" w14:textId="77777777" w:rsidR="00C34013" w:rsidRDefault="00000000">
      <w:pPr>
        <w:spacing w:after="80"/>
      </w:pPr>
      <w:r>
        <w:t>1. Executive Summary</w:t>
      </w:r>
    </w:p>
    <w:p w14:paraId="012DBABA" w14:textId="77777777" w:rsidR="00C34013" w:rsidRDefault="00000000">
      <w:pPr>
        <w:spacing w:after="80"/>
      </w:pPr>
      <w:r>
        <w:t>2. Key Metrics</w:t>
      </w:r>
    </w:p>
    <w:p w14:paraId="526113A9" w14:textId="77777777" w:rsidR="00C34013" w:rsidRDefault="00000000">
      <w:pPr>
        <w:spacing w:after="80"/>
      </w:pPr>
      <w:r>
        <w:t>3. Management Team</w:t>
      </w:r>
    </w:p>
    <w:p w14:paraId="713C2D09" w14:textId="77777777" w:rsidR="00C34013" w:rsidRDefault="00000000">
      <w:pPr>
        <w:spacing w:after="80"/>
      </w:pPr>
      <w:r>
        <w:t>4. Market Evidence</w:t>
      </w:r>
    </w:p>
    <w:p w14:paraId="2C989421" w14:textId="77777777" w:rsidR="00C34013" w:rsidRDefault="00000000">
      <w:pPr>
        <w:spacing w:after="80"/>
      </w:pPr>
      <w:r>
        <w:t>5. Comparable Properties</w:t>
      </w:r>
    </w:p>
    <w:p w14:paraId="74777227" w14:textId="77777777" w:rsidR="00C34013" w:rsidRDefault="00000000">
      <w:pPr>
        <w:spacing w:after="80"/>
      </w:pPr>
      <w:r>
        <w:t>6. Ownership &amp; Governance</w:t>
      </w:r>
    </w:p>
    <w:p w14:paraId="25633CE7" w14:textId="77777777" w:rsidR="00C34013" w:rsidRDefault="00000000">
      <w:pPr>
        <w:spacing w:after="80"/>
      </w:pPr>
      <w:r>
        <w:t>7. Investor Returns</w:t>
      </w:r>
    </w:p>
    <w:p w14:paraId="6B2431C6" w14:textId="77777777" w:rsidR="00C34013" w:rsidRDefault="00000000">
      <w:pPr>
        <w:spacing w:after="80"/>
      </w:pPr>
      <w:r>
        <w:t>8. Investment Risks</w:t>
      </w:r>
    </w:p>
    <w:p w14:paraId="66965A2F" w14:textId="77777777" w:rsidR="00C34013" w:rsidRDefault="00000000">
      <w:pPr>
        <w:spacing w:after="80"/>
      </w:pPr>
      <w:r>
        <w:t>9. Financial Projections</w:t>
      </w:r>
    </w:p>
    <w:p w14:paraId="310EB496" w14:textId="77777777" w:rsidR="00C34013" w:rsidRDefault="00000000">
      <w:pPr>
        <w:spacing w:after="80"/>
      </w:pPr>
      <w:r>
        <w:t>10. Supporting Documents</w:t>
      </w:r>
    </w:p>
    <w:p w14:paraId="1C32AD78" w14:textId="77777777" w:rsidR="00C34013" w:rsidRDefault="00000000">
      <w:pPr>
        <w:spacing w:after="80"/>
      </w:pPr>
      <w:r>
        <w:t>11. Project Timeline</w:t>
      </w:r>
    </w:p>
    <w:p w14:paraId="5F35994D" w14:textId="77777777" w:rsidR="00C34013" w:rsidRDefault="00000000">
      <w:pPr>
        <w:spacing w:after="80"/>
      </w:pPr>
      <w:r>
        <w:t>12. Next Steps</w:t>
      </w:r>
    </w:p>
    <w:p w14:paraId="26470E78" w14:textId="77777777" w:rsidR="00C34013" w:rsidRDefault="00000000">
      <w:r>
        <w:br w:type="page"/>
      </w:r>
    </w:p>
    <w:p w14:paraId="0F02CFDD" w14:textId="77777777" w:rsidR="00C34013" w:rsidRDefault="00000000">
      <w:pPr>
        <w:pStyle w:val="Ttulo1"/>
      </w:pPr>
      <w:r>
        <w:lastRenderedPageBreak/>
        <w:t>1. Executive Summary</w:t>
      </w:r>
    </w:p>
    <w:p w14:paraId="79ED0296" w14:textId="18F1D70B" w:rsidR="00C34013" w:rsidRDefault="00000000">
      <w:r>
        <w:t>La Nuit is a 12-room boutique hospitality property in the Medellín highlands, developed by CHIHIZA Studio. The project targets premium international travelers seeking nature-immersive experiences with modern comfort. The investment requires USD 470,000 for a 25% equity stake, with a projected IRR of 19.4% and break-even by Year 4. The property will be managed by CHIHIZA Studio, which brings 5 years of hospitality investment and design experience.</w:t>
      </w:r>
    </w:p>
    <w:p w14:paraId="14892244" w14:textId="77777777" w:rsidR="00C34013" w:rsidRDefault="00000000">
      <w:pPr>
        <w:pStyle w:val="Ttulo1"/>
      </w:pPr>
      <w:r>
        <w:t>2. Key Metrics</w:t>
      </w:r>
    </w:p>
    <w:tbl>
      <w:tblPr>
        <w:tblStyle w:val="Cuadrculaclara-nfasis1"/>
        <w:tblW w:w="0" w:type="auto"/>
        <w:jc w:val="center"/>
        <w:tblLook w:val="04A0" w:firstRow="1" w:lastRow="0" w:firstColumn="1" w:lastColumn="0" w:noHBand="0" w:noVBand="1"/>
      </w:tblPr>
      <w:tblGrid>
        <w:gridCol w:w="3135"/>
        <w:gridCol w:w="3135"/>
        <w:gridCol w:w="3135"/>
      </w:tblGrid>
      <w:tr w:rsidR="00C34013" w14:paraId="5C894D72" w14:textId="77777777" w:rsidTr="00C340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1A"/>
          </w:tcPr>
          <w:p w14:paraId="6BF44239" w14:textId="77777777" w:rsidR="00C34013" w:rsidRDefault="00000000">
            <w:r>
              <w:rPr>
                <w:color w:val="FFFFFF"/>
                <w:sz w:val="20"/>
              </w:rPr>
              <w:t>Metric</w:t>
            </w:r>
          </w:p>
        </w:tc>
        <w:tc>
          <w:tcPr>
            <w:tcW w:w="3135" w:type="dxa"/>
            <w:shd w:val="clear" w:color="auto" w:fill="1A1A1A"/>
          </w:tcPr>
          <w:p w14:paraId="149D7567"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Value</w:t>
            </w:r>
          </w:p>
        </w:tc>
        <w:tc>
          <w:tcPr>
            <w:tcW w:w="3135" w:type="dxa"/>
            <w:shd w:val="clear" w:color="auto" w:fill="1A1A1A"/>
          </w:tcPr>
          <w:p w14:paraId="77ADAB15"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C34013" w14:paraId="6510936E" w14:textId="77777777" w:rsidTr="00C34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6D0255" w14:textId="77777777" w:rsidR="00C34013" w:rsidRDefault="00000000">
            <w:r>
              <w:rPr>
                <w:sz w:val="18"/>
              </w:rPr>
              <w:t>Investment Required</w:t>
            </w:r>
          </w:p>
        </w:tc>
        <w:tc>
          <w:tcPr>
            <w:tcW w:w="3135" w:type="dxa"/>
          </w:tcPr>
          <w:p w14:paraId="62FF2A47"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470,000</w:t>
            </w:r>
          </w:p>
        </w:tc>
        <w:tc>
          <w:tcPr>
            <w:tcW w:w="3135" w:type="dxa"/>
          </w:tcPr>
          <w:p w14:paraId="7205D6D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Total capital commitment</w:t>
            </w:r>
          </w:p>
        </w:tc>
      </w:tr>
      <w:tr w:rsidR="00C34013" w14:paraId="335A5AFB" w14:textId="77777777" w:rsidTr="00C340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F4D72D" w14:textId="77777777" w:rsidR="00C34013" w:rsidRDefault="00000000">
            <w:r>
              <w:rPr>
                <w:sz w:val="18"/>
              </w:rPr>
              <w:t>Projected IRR</w:t>
            </w:r>
          </w:p>
        </w:tc>
        <w:tc>
          <w:tcPr>
            <w:tcW w:w="3135" w:type="dxa"/>
          </w:tcPr>
          <w:p w14:paraId="16EFA8A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19.4%</w:t>
            </w:r>
          </w:p>
        </w:tc>
        <w:tc>
          <w:tcPr>
            <w:tcW w:w="3135" w:type="dxa"/>
          </w:tcPr>
          <w:p w14:paraId="0324BC59"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Net internal rate of return</w:t>
            </w:r>
          </w:p>
        </w:tc>
      </w:tr>
      <w:tr w:rsidR="00C34013" w14:paraId="76C5AE96" w14:textId="77777777" w:rsidTr="00C34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C610EF4" w14:textId="77777777" w:rsidR="00C34013" w:rsidRDefault="00000000">
            <w:r>
              <w:rPr>
                <w:sz w:val="18"/>
              </w:rPr>
              <w:t>Equity Offered</w:t>
            </w:r>
          </w:p>
        </w:tc>
        <w:tc>
          <w:tcPr>
            <w:tcW w:w="3135" w:type="dxa"/>
          </w:tcPr>
          <w:p w14:paraId="228760DD"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3135" w:type="dxa"/>
          </w:tcPr>
          <w:p w14:paraId="3E9BB6E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Ownership stake available</w:t>
            </w:r>
          </w:p>
        </w:tc>
      </w:tr>
      <w:tr w:rsidR="00C34013" w14:paraId="5FB196DB" w14:textId="77777777" w:rsidTr="00C340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C7A070" w14:textId="77777777" w:rsidR="00C34013" w:rsidRDefault="00000000">
            <w:r>
              <w:rPr>
                <w:sz w:val="18"/>
              </w:rPr>
              <w:t>Target Opening</w:t>
            </w:r>
          </w:p>
        </w:tc>
        <w:tc>
          <w:tcPr>
            <w:tcW w:w="3135" w:type="dxa"/>
          </w:tcPr>
          <w:p w14:paraId="3D62AA8D"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Q2 2028</w:t>
            </w:r>
          </w:p>
        </w:tc>
        <w:tc>
          <w:tcPr>
            <w:tcW w:w="3135" w:type="dxa"/>
          </w:tcPr>
          <w:p w14:paraId="0D35B01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Expected operational launch</w:t>
            </w:r>
          </w:p>
        </w:tc>
      </w:tr>
      <w:tr w:rsidR="00C34013" w14:paraId="32B88627" w14:textId="77777777" w:rsidTr="00C34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F53F5A" w14:textId="77777777" w:rsidR="00C34013" w:rsidRDefault="00000000">
            <w:r>
              <w:rPr>
                <w:sz w:val="18"/>
              </w:rPr>
              <w:t>Expected Dividend</w:t>
            </w:r>
          </w:p>
        </w:tc>
        <w:tc>
          <w:tcPr>
            <w:tcW w:w="3135" w:type="dxa"/>
          </w:tcPr>
          <w:p w14:paraId="6D8C39D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58,000/year</w:t>
            </w:r>
          </w:p>
        </w:tc>
        <w:tc>
          <w:tcPr>
            <w:tcW w:w="3135" w:type="dxa"/>
          </w:tcPr>
          <w:p w14:paraId="37938DED"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Annual distribution projection</w:t>
            </w:r>
          </w:p>
        </w:tc>
      </w:tr>
      <w:tr w:rsidR="00C34013" w14:paraId="570885DA" w14:textId="77777777" w:rsidTr="00C340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FF63D3" w14:textId="77777777" w:rsidR="00C34013" w:rsidRDefault="00000000">
            <w:r>
              <w:rPr>
                <w:sz w:val="18"/>
              </w:rPr>
              <w:t>Break-even</w:t>
            </w:r>
          </w:p>
        </w:tc>
        <w:tc>
          <w:tcPr>
            <w:tcW w:w="3135" w:type="dxa"/>
          </w:tcPr>
          <w:p w14:paraId="3FA597CE"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Year 4</w:t>
            </w:r>
          </w:p>
        </w:tc>
        <w:tc>
          <w:tcPr>
            <w:tcW w:w="3135" w:type="dxa"/>
          </w:tcPr>
          <w:p w14:paraId="4EBD80F1"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Cumulative cash flow positive</w:t>
            </w:r>
          </w:p>
        </w:tc>
      </w:tr>
    </w:tbl>
    <w:p w14:paraId="7D03D009" w14:textId="77777777" w:rsidR="00C34013" w:rsidRDefault="00C34013"/>
    <w:p w14:paraId="1650F34A" w14:textId="77777777" w:rsidR="00C34013" w:rsidRDefault="00000000">
      <w:pPr>
        <w:pStyle w:val="Ttulo1"/>
      </w:pPr>
      <w:r>
        <w:t>3. Management Team</w:t>
      </w:r>
    </w:p>
    <w:p w14:paraId="3A9227D6" w14:textId="77777777" w:rsidR="00C34013" w:rsidRDefault="00000000">
      <w:r>
        <w:t>CHIHIZA Studio leads the project. Below is the core team with direct operational responsibility.</w:t>
      </w:r>
    </w:p>
    <w:p w14:paraId="140F214D" w14:textId="77777777" w:rsidR="00C34013" w:rsidRDefault="00000000">
      <w:pPr>
        <w:pStyle w:val="Ttulo2"/>
      </w:pPr>
      <w:r>
        <w:t>Carlos Herrera</w:t>
      </w:r>
    </w:p>
    <w:tbl>
      <w:tblPr>
        <w:tblStyle w:val="Cuadrculaclara-nfasis1"/>
        <w:tblW w:w="0" w:type="auto"/>
        <w:tblLook w:val="04A0" w:firstRow="1" w:lastRow="0" w:firstColumn="1" w:lastColumn="0" w:noHBand="0" w:noVBand="1"/>
      </w:tblPr>
      <w:tblGrid>
        <w:gridCol w:w="4703"/>
        <w:gridCol w:w="4703"/>
      </w:tblGrid>
      <w:tr w:rsidR="00C34013" w14:paraId="748CE181"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37D314F" w14:textId="77777777" w:rsidR="00C34013" w:rsidRDefault="00000000">
            <w:r>
              <w:rPr>
                <w:sz w:val="18"/>
              </w:rPr>
              <w:t>Role</w:t>
            </w:r>
          </w:p>
        </w:tc>
        <w:tc>
          <w:tcPr>
            <w:tcW w:w="4703" w:type="dxa"/>
          </w:tcPr>
          <w:p w14:paraId="14D96F3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Founder &amp; CEO</w:t>
            </w:r>
          </w:p>
        </w:tc>
      </w:tr>
      <w:tr w:rsidR="00C34013" w:rsidRPr="00D47E2A" w14:paraId="1BAB62A1"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BB3FF1B" w14:textId="77777777" w:rsidR="00C34013" w:rsidRDefault="00000000">
            <w:r>
              <w:rPr>
                <w:sz w:val="18"/>
              </w:rPr>
              <w:t>Education</w:t>
            </w:r>
          </w:p>
        </w:tc>
        <w:tc>
          <w:tcPr>
            <w:tcW w:w="4703" w:type="dxa"/>
          </w:tcPr>
          <w:p w14:paraId="234EA8B8" w14:textId="77777777" w:rsidR="00C34013" w:rsidRPr="00D47E2A" w:rsidRDefault="00000000">
            <w:pPr>
              <w:cnfStyle w:val="000000100000" w:firstRow="0" w:lastRow="0" w:firstColumn="0" w:lastColumn="0" w:oddVBand="0" w:evenVBand="0" w:oddHBand="1" w:evenHBand="0" w:firstRowFirstColumn="0" w:firstRowLastColumn="0" w:lastRowFirstColumn="0" w:lastRowLastColumn="0"/>
              <w:rPr>
                <w:lang w:val="es-CO"/>
              </w:rPr>
            </w:pPr>
            <w:r w:rsidRPr="00D47E2A">
              <w:rPr>
                <w:sz w:val="18"/>
                <w:lang w:val="es-CO"/>
              </w:rPr>
              <w:t>MBA, Universidad de los Andes. Licenciatura en Administración de Empresas, Universidad EAFIT.</w:t>
            </w:r>
          </w:p>
        </w:tc>
      </w:tr>
      <w:tr w:rsidR="00C34013" w14:paraId="1914BA27"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8F36E6B" w14:textId="77777777" w:rsidR="00C34013" w:rsidRDefault="00000000">
            <w:r>
              <w:rPr>
                <w:sz w:val="18"/>
              </w:rPr>
              <w:t>Hospitality Experience</w:t>
            </w:r>
          </w:p>
        </w:tc>
        <w:tc>
          <w:tcPr>
            <w:tcW w:w="4703" w:type="dxa"/>
          </w:tcPr>
          <w:p w14:paraId="4DDFADA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Direct: hotel acquisitions, operations management, investor relations. Indirect: 5 years in food &amp; beverage management before transitioning to hospitality.</w:t>
            </w:r>
          </w:p>
        </w:tc>
      </w:tr>
      <w:tr w:rsidR="00C34013" w14:paraId="62C1B81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B363AA4" w14:textId="77777777" w:rsidR="00C34013" w:rsidRDefault="00000000">
            <w:r>
              <w:rPr>
                <w:sz w:val="18"/>
              </w:rPr>
              <w:t>Start Date</w:t>
            </w:r>
          </w:p>
        </w:tc>
        <w:tc>
          <w:tcPr>
            <w:tcW w:w="4703" w:type="dxa"/>
          </w:tcPr>
          <w:p w14:paraId="7A748290"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Since inception (2024)</w:t>
            </w:r>
          </w:p>
        </w:tc>
      </w:tr>
      <w:tr w:rsidR="00C34013" w14:paraId="39F7B78D"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CC0F64B" w14:textId="77777777" w:rsidR="00C34013" w:rsidRDefault="00000000">
            <w:r>
              <w:rPr>
                <w:sz w:val="18"/>
              </w:rPr>
              <w:t>Responsibility</w:t>
            </w:r>
          </w:p>
        </w:tc>
        <w:tc>
          <w:tcPr>
            <w:tcW w:w="4703" w:type="dxa"/>
          </w:tcPr>
          <w:p w14:paraId="51B5793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Strategic direction, capital allocation, investor relations, partnership development</w:t>
            </w:r>
          </w:p>
        </w:tc>
      </w:tr>
      <w:tr w:rsidR="00C34013" w14:paraId="01E3050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F497922" w14:textId="77777777" w:rsidR="00C34013" w:rsidRDefault="00000000">
            <w:r>
              <w:rPr>
                <w:sz w:val="18"/>
              </w:rPr>
              <w:t>Equity</w:t>
            </w:r>
          </w:p>
        </w:tc>
        <w:tc>
          <w:tcPr>
            <w:tcW w:w="4703" w:type="dxa"/>
          </w:tcPr>
          <w:p w14:paraId="70B8F02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r>
      <w:tr w:rsidR="00C34013" w14:paraId="2FE58A27"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44C22B" w14:textId="77777777" w:rsidR="00C34013" w:rsidRDefault="00000000">
            <w:r>
              <w:rPr>
                <w:sz w:val="18"/>
              </w:rPr>
              <w:t>Full-time</w:t>
            </w:r>
          </w:p>
        </w:tc>
        <w:tc>
          <w:tcPr>
            <w:tcW w:w="4703" w:type="dxa"/>
          </w:tcPr>
          <w:p w14:paraId="51D9E9A7"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14:paraId="13F1D5E2" w14:textId="77777777" w:rsidR="00C34013" w:rsidRDefault="00C34013"/>
    <w:p w14:paraId="3FA6FF2A" w14:textId="77777777" w:rsidR="00C34013" w:rsidRDefault="00000000">
      <w:pPr>
        <w:pStyle w:val="Ttulo2"/>
      </w:pPr>
      <w:r>
        <w:t>Sofía Valencia</w:t>
      </w:r>
    </w:p>
    <w:tbl>
      <w:tblPr>
        <w:tblStyle w:val="Cuadrculaclara-nfasis1"/>
        <w:tblW w:w="0" w:type="auto"/>
        <w:tblLook w:val="04A0" w:firstRow="1" w:lastRow="0" w:firstColumn="1" w:lastColumn="0" w:noHBand="0" w:noVBand="1"/>
      </w:tblPr>
      <w:tblGrid>
        <w:gridCol w:w="4703"/>
        <w:gridCol w:w="4703"/>
      </w:tblGrid>
      <w:tr w:rsidR="00C34013" w14:paraId="0C043A8F"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497D3B7" w14:textId="77777777" w:rsidR="00C34013" w:rsidRDefault="00000000">
            <w:r>
              <w:rPr>
                <w:sz w:val="18"/>
              </w:rPr>
              <w:t>Role</w:t>
            </w:r>
          </w:p>
        </w:tc>
        <w:tc>
          <w:tcPr>
            <w:tcW w:w="4703" w:type="dxa"/>
          </w:tcPr>
          <w:p w14:paraId="4FA1C4B5"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Creative Director</w:t>
            </w:r>
          </w:p>
        </w:tc>
      </w:tr>
      <w:tr w:rsidR="00C34013" w:rsidRPr="00D47E2A" w14:paraId="44BB12A6"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9473B85" w14:textId="77777777" w:rsidR="00C34013" w:rsidRDefault="00000000">
            <w:r>
              <w:rPr>
                <w:sz w:val="18"/>
              </w:rPr>
              <w:t>Education</w:t>
            </w:r>
          </w:p>
        </w:tc>
        <w:tc>
          <w:tcPr>
            <w:tcW w:w="4703" w:type="dxa"/>
          </w:tcPr>
          <w:p w14:paraId="5CC3204D" w14:textId="77777777" w:rsidR="00C34013" w:rsidRPr="00D47E2A" w:rsidRDefault="00000000">
            <w:pPr>
              <w:cnfStyle w:val="000000100000" w:firstRow="0" w:lastRow="0" w:firstColumn="0" w:lastColumn="0" w:oddVBand="0" w:evenVBand="0" w:oddHBand="1" w:evenHBand="0" w:firstRowFirstColumn="0" w:firstRowLastColumn="0" w:lastRowFirstColumn="0" w:lastRowLastColumn="0"/>
              <w:rPr>
                <w:lang w:val="es-CO"/>
              </w:rPr>
            </w:pPr>
            <w:r>
              <w:rPr>
                <w:sz w:val="18"/>
              </w:rPr>
              <w:t xml:space="preserve">Master in Interior Architecture, Parsons School of Design. </w:t>
            </w:r>
            <w:r w:rsidRPr="00D47E2A">
              <w:rPr>
                <w:sz w:val="18"/>
                <w:lang w:val="es-CO"/>
              </w:rPr>
              <w:t>Licenciatura en Diseño, Universidad Javeriana.</w:t>
            </w:r>
          </w:p>
        </w:tc>
      </w:tr>
      <w:tr w:rsidR="00C34013" w14:paraId="3A44D6D0"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7C73AA0" w14:textId="77777777" w:rsidR="00C34013" w:rsidRDefault="00000000">
            <w:r>
              <w:rPr>
                <w:sz w:val="18"/>
              </w:rPr>
              <w:t>Hospitality Experience</w:t>
            </w:r>
          </w:p>
        </w:tc>
        <w:tc>
          <w:tcPr>
            <w:tcW w:w="4703" w:type="dxa"/>
          </w:tcPr>
          <w:p w14:paraId="1121018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Direct: hospitality design for luxury resorts and boutique hotels. Indirect: residential and commercial architecture.</w:t>
            </w:r>
          </w:p>
        </w:tc>
      </w:tr>
      <w:tr w:rsidR="00C34013" w14:paraId="424C0624"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F1AE91" w14:textId="77777777" w:rsidR="00C34013" w:rsidRDefault="00000000">
            <w:r>
              <w:rPr>
                <w:sz w:val="18"/>
              </w:rPr>
              <w:t>Start Date</w:t>
            </w:r>
          </w:p>
        </w:tc>
        <w:tc>
          <w:tcPr>
            <w:tcW w:w="4703" w:type="dxa"/>
          </w:tcPr>
          <w:p w14:paraId="3BC2FC0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Since inception (2024)</w:t>
            </w:r>
          </w:p>
        </w:tc>
      </w:tr>
      <w:tr w:rsidR="00C34013" w14:paraId="59A2D771"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9946C3D" w14:textId="77777777" w:rsidR="00C34013" w:rsidRDefault="00000000">
            <w:r>
              <w:rPr>
                <w:sz w:val="18"/>
              </w:rPr>
              <w:t>Responsibility</w:t>
            </w:r>
          </w:p>
        </w:tc>
        <w:tc>
          <w:tcPr>
            <w:tcW w:w="4703" w:type="dxa"/>
          </w:tcPr>
          <w:p w14:paraId="4E09663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Property design, brand identity, guest experience, FF&amp;E selection, construction oversight</w:t>
            </w:r>
          </w:p>
        </w:tc>
      </w:tr>
      <w:tr w:rsidR="00C34013" w14:paraId="162F549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730023C" w14:textId="77777777" w:rsidR="00C34013" w:rsidRDefault="00000000">
            <w:r>
              <w:rPr>
                <w:sz w:val="18"/>
              </w:rPr>
              <w:t>Equity</w:t>
            </w:r>
          </w:p>
        </w:tc>
        <w:tc>
          <w:tcPr>
            <w:tcW w:w="4703" w:type="dxa"/>
          </w:tcPr>
          <w:p w14:paraId="67D29F1F"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r>
      <w:tr w:rsidR="00C34013" w14:paraId="12CD3832"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0CDB12D" w14:textId="77777777" w:rsidR="00C34013" w:rsidRDefault="00000000">
            <w:r>
              <w:rPr>
                <w:sz w:val="18"/>
              </w:rPr>
              <w:t>Full-time</w:t>
            </w:r>
          </w:p>
        </w:tc>
        <w:tc>
          <w:tcPr>
            <w:tcW w:w="4703" w:type="dxa"/>
          </w:tcPr>
          <w:p w14:paraId="5E12D048"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14:paraId="65F18810" w14:textId="77777777" w:rsidR="00C34013" w:rsidRDefault="00C34013"/>
    <w:p w14:paraId="7DFDCCF6" w14:textId="77777777" w:rsidR="00C34013" w:rsidRDefault="00000000">
      <w:pPr>
        <w:pStyle w:val="Ttulo2"/>
      </w:pPr>
      <w:r>
        <w:lastRenderedPageBreak/>
        <w:t>Andrés Mesa</w:t>
      </w:r>
    </w:p>
    <w:tbl>
      <w:tblPr>
        <w:tblStyle w:val="Cuadrculaclara-nfasis1"/>
        <w:tblW w:w="0" w:type="auto"/>
        <w:tblLook w:val="04A0" w:firstRow="1" w:lastRow="0" w:firstColumn="1" w:lastColumn="0" w:noHBand="0" w:noVBand="1"/>
      </w:tblPr>
      <w:tblGrid>
        <w:gridCol w:w="4703"/>
        <w:gridCol w:w="4703"/>
      </w:tblGrid>
      <w:tr w:rsidR="00C34013" w14:paraId="6434FED6"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AD02F0" w14:textId="77777777" w:rsidR="00C34013" w:rsidRDefault="00000000">
            <w:r>
              <w:rPr>
                <w:sz w:val="18"/>
              </w:rPr>
              <w:t>Role</w:t>
            </w:r>
          </w:p>
        </w:tc>
        <w:tc>
          <w:tcPr>
            <w:tcW w:w="4703" w:type="dxa"/>
          </w:tcPr>
          <w:p w14:paraId="6456778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COO (Recruiting)</w:t>
            </w:r>
          </w:p>
        </w:tc>
      </w:tr>
      <w:tr w:rsidR="00C34013" w:rsidRPr="00D47E2A" w14:paraId="2DF0E47A"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02154CC" w14:textId="77777777" w:rsidR="00C34013" w:rsidRDefault="00000000">
            <w:r>
              <w:rPr>
                <w:sz w:val="18"/>
              </w:rPr>
              <w:t>Education</w:t>
            </w:r>
          </w:p>
        </w:tc>
        <w:tc>
          <w:tcPr>
            <w:tcW w:w="4703" w:type="dxa"/>
          </w:tcPr>
          <w:p w14:paraId="79BEF604" w14:textId="77777777" w:rsidR="00C34013" w:rsidRPr="00D47E2A" w:rsidRDefault="00000000">
            <w:pPr>
              <w:cnfStyle w:val="000000100000" w:firstRow="0" w:lastRow="0" w:firstColumn="0" w:lastColumn="0" w:oddVBand="0" w:evenVBand="0" w:oddHBand="1" w:evenHBand="0" w:firstRowFirstColumn="0" w:firstRowLastColumn="0" w:lastRowFirstColumn="0" w:lastRowLastColumn="0"/>
              <w:rPr>
                <w:lang w:val="es-CO"/>
              </w:rPr>
            </w:pPr>
            <w:r w:rsidRPr="00D47E2A">
              <w:rPr>
                <w:sz w:val="18"/>
                <w:lang w:val="es-CO"/>
              </w:rPr>
              <w:t>Licenciatura en Administración de Hoteles, Universidad Externado de Colombia.</w:t>
            </w:r>
          </w:p>
        </w:tc>
      </w:tr>
      <w:tr w:rsidR="00C34013" w14:paraId="1ECB87DE"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D79DAE4" w14:textId="77777777" w:rsidR="00C34013" w:rsidRDefault="00000000">
            <w:r>
              <w:rPr>
                <w:sz w:val="18"/>
              </w:rPr>
              <w:t>Hospitality Experience</w:t>
            </w:r>
          </w:p>
        </w:tc>
        <w:tc>
          <w:tcPr>
            <w:tcW w:w="4703" w:type="dxa"/>
          </w:tcPr>
          <w:p w14:paraId="16CF03A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Direct: general management, revenue management, operations. Indirect: F&amp;B management, concierge services.</w:t>
            </w:r>
          </w:p>
        </w:tc>
      </w:tr>
      <w:tr w:rsidR="00C34013" w14:paraId="2F81D305"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1280899" w14:textId="77777777" w:rsidR="00C34013" w:rsidRDefault="00000000">
            <w:r>
              <w:rPr>
                <w:sz w:val="18"/>
              </w:rPr>
              <w:t>Start Date</w:t>
            </w:r>
          </w:p>
        </w:tc>
        <w:tc>
          <w:tcPr>
            <w:tcW w:w="4703" w:type="dxa"/>
          </w:tcPr>
          <w:p w14:paraId="77DE8AD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Recruitment in progress — target Q4 2026</w:t>
            </w:r>
          </w:p>
        </w:tc>
      </w:tr>
      <w:tr w:rsidR="00C34013" w14:paraId="0CF720F7"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2893591" w14:textId="77777777" w:rsidR="00C34013" w:rsidRDefault="00000000">
            <w:r>
              <w:rPr>
                <w:sz w:val="18"/>
              </w:rPr>
              <w:t>Responsibility</w:t>
            </w:r>
          </w:p>
        </w:tc>
        <w:tc>
          <w:tcPr>
            <w:tcW w:w="4703" w:type="dxa"/>
          </w:tcPr>
          <w:p w14:paraId="04D8D1D9"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Day-to-day operations, staff recruitment and training, vendor management, guest satisfaction</w:t>
            </w:r>
          </w:p>
        </w:tc>
      </w:tr>
      <w:tr w:rsidR="00C34013" w14:paraId="60F98275"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FB860DE" w14:textId="77777777" w:rsidR="00C34013" w:rsidRDefault="00000000">
            <w:r>
              <w:rPr>
                <w:sz w:val="18"/>
              </w:rPr>
              <w:t>Equity</w:t>
            </w:r>
          </w:p>
        </w:tc>
        <w:tc>
          <w:tcPr>
            <w:tcW w:w="4703" w:type="dxa"/>
          </w:tcPr>
          <w:p w14:paraId="5F692D3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C34013" w14:paraId="34E9A435"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F0EA1A9" w14:textId="77777777" w:rsidR="00C34013" w:rsidRDefault="00000000">
            <w:r>
              <w:rPr>
                <w:sz w:val="18"/>
              </w:rPr>
              <w:t>Full-time</w:t>
            </w:r>
          </w:p>
        </w:tc>
        <w:tc>
          <w:tcPr>
            <w:tcW w:w="4703" w:type="dxa"/>
          </w:tcPr>
          <w:p w14:paraId="4F5CC47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14:paraId="024D47B8" w14:textId="77777777" w:rsidR="00C34013" w:rsidRDefault="00C34013"/>
    <w:p w14:paraId="69C515BD" w14:textId="77777777" w:rsidR="00C34013" w:rsidRDefault="00000000">
      <w:pPr>
        <w:pStyle w:val="Ttulo2"/>
      </w:pPr>
      <w:r>
        <w:t>Valentina Ruiz</w:t>
      </w:r>
    </w:p>
    <w:tbl>
      <w:tblPr>
        <w:tblStyle w:val="Cuadrculaclara-nfasis1"/>
        <w:tblW w:w="0" w:type="auto"/>
        <w:tblLook w:val="04A0" w:firstRow="1" w:lastRow="0" w:firstColumn="1" w:lastColumn="0" w:noHBand="0" w:noVBand="1"/>
      </w:tblPr>
      <w:tblGrid>
        <w:gridCol w:w="4703"/>
        <w:gridCol w:w="4703"/>
      </w:tblGrid>
      <w:tr w:rsidR="00C34013" w14:paraId="412D9676"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8DFE0D5" w14:textId="77777777" w:rsidR="00C34013" w:rsidRDefault="00000000">
            <w:r>
              <w:rPr>
                <w:sz w:val="18"/>
              </w:rPr>
              <w:t>Role</w:t>
            </w:r>
          </w:p>
        </w:tc>
        <w:tc>
          <w:tcPr>
            <w:tcW w:w="4703" w:type="dxa"/>
          </w:tcPr>
          <w:p w14:paraId="4FC12ECF"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CFO</w:t>
            </w:r>
          </w:p>
        </w:tc>
      </w:tr>
      <w:tr w:rsidR="00C34013" w:rsidRPr="00D47E2A" w14:paraId="4668E8A6"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F20FDA" w14:textId="77777777" w:rsidR="00C34013" w:rsidRDefault="00000000">
            <w:r>
              <w:rPr>
                <w:sz w:val="18"/>
              </w:rPr>
              <w:t>Education</w:t>
            </w:r>
          </w:p>
        </w:tc>
        <w:tc>
          <w:tcPr>
            <w:tcW w:w="4703" w:type="dxa"/>
          </w:tcPr>
          <w:p w14:paraId="3D56CFA6" w14:textId="77777777" w:rsidR="00C34013" w:rsidRPr="00D47E2A" w:rsidRDefault="00000000">
            <w:pPr>
              <w:cnfStyle w:val="000000100000" w:firstRow="0" w:lastRow="0" w:firstColumn="0" w:lastColumn="0" w:oddVBand="0" w:evenVBand="0" w:oddHBand="1" w:evenHBand="0" w:firstRowFirstColumn="0" w:firstRowLastColumn="0" w:lastRowFirstColumn="0" w:lastRowLastColumn="0"/>
              <w:rPr>
                <w:lang w:val="es-CO"/>
              </w:rPr>
            </w:pPr>
            <w:r w:rsidRPr="00D47E2A">
              <w:rPr>
                <w:sz w:val="18"/>
                <w:lang w:val="es-CO"/>
              </w:rPr>
              <w:t>MBA, London Business School. Contadora Pública, Universidad de Antioquia.</w:t>
            </w:r>
          </w:p>
        </w:tc>
      </w:tr>
      <w:tr w:rsidR="00C34013" w14:paraId="1B1AF929"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1B1FDDF" w14:textId="77777777" w:rsidR="00C34013" w:rsidRDefault="00000000">
            <w:r>
              <w:rPr>
                <w:sz w:val="18"/>
              </w:rPr>
              <w:t>Hospitality Experience</w:t>
            </w:r>
          </w:p>
        </w:tc>
        <w:tc>
          <w:tcPr>
            <w:tcW w:w="4703" w:type="dxa"/>
          </w:tcPr>
          <w:p w14:paraId="64653E7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Direct: hospitality financial modeling, investment analysis, due diligence. Indirect: broader real estate and infrastructure advisory.</w:t>
            </w:r>
          </w:p>
        </w:tc>
      </w:tr>
      <w:tr w:rsidR="00C34013" w14:paraId="241C37BE"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4D552C3" w14:textId="77777777" w:rsidR="00C34013" w:rsidRDefault="00000000">
            <w:r>
              <w:rPr>
                <w:sz w:val="18"/>
              </w:rPr>
              <w:t>Start Date</w:t>
            </w:r>
          </w:p>
        </w:tc>
        <w:tc>
          <w:tcPr>
            <w:tcW w:w="4703" w:type="dxa"/>
          </w:tcPr>
          <w:p w14:paraId="36D4FDDF"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Since inception (2024)</w:t>
            </w:r>
          </w:p>
        </w:tc>
      </w:tr>
      <w:tr w:rsidR="00C34013" w14:paraId="4493CBA0"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99344CB" w14:textId="77777777" w:rsidR="00C34013" w:rsidRDefault="00000000">
            <w:r>
              <w:rPr>
                <w:sz w:val="18"/>
              </w:rPr>
              <w:t>Responsibility</w:t>
            </w:r>
          </w:p>
        </w:tc>
        <w:tc>
          <w:tcPr>
            <w:tcW w:w="4703" w:type="dxa"/>
          </w:tcPr>
          <w:p w14:paraId="51C3189B"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Financial modeling, reporting, compliance, tax strategy, investor reporting</w:t>
            </w:r>
          </w:p>
        </w:tc>
      </w:tr>
      <w:tr w:rsidR="00C34013" w14:paraId="18C9B713"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4F78061" w14:textId="77777777" w:rsidR="00C34013" w:rsidRDefault="00000000">
            <w:r>
              <w:rPr>
                <w:sz w:val="18"/>
              </w:rPr>
              <w:t>Equity</w:t>
            </w:r>
          </w:p>
        </w:tc>
        <w:tc>
          <w:tcPr>
            <w:tcW w:w="4703" w:type="dxa"/>
          </w:tcPr>
          <w:p w14:paraId="5604FF79"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C34013" w14:paraId="74E63747"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D811FE2" w14:textId="77777777" w:rsidR="00C34013" w:rsidRDefault="00000000">
            <w:r>
              <w:rPr>
                <w:sz w:val="18"/>
              </w:rPr>
              <w:t>Full-time</w:t>
            </w:r>
          </w:p>
        </w:tc>
        <w:tc>
          <w:tcPr>
            <w:tcW w:w="4703" w:type="dxa"/>
          </w:tcPr>
          <w:p w14:paraId="2DB0DB9F"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14:paraId="3EE39ACD" w14:textId="77777777" w:rsidR="00C34013" w:rsidRDefault="00C34013"/>
    <w:p w14:paraId="3CB675A0" w14:textId="77777777" w:rsidR="00C34013" w:rsidRDefault="00000000">
      <w:r>
        <w:rPr>
          <w:i/>
          <w:color w:val="6B7280"/>
          <w:sz w:val="20"/>
        </w:rPr>
        <w:t>Note: The General Manager role is currently being recruited. The recruitment profile and timeline are defined in the full data room.</w:t>
      </w:r>
    </w:p>
    <w:p w14:paraId="3ECB5C15" w14:textId="77777777" w:rsidR="00C34013" w:rsidRDefault="00000000">
      <w:r>
        <w:br w:type="page"/>
      </w:r>
    </w:p>
    <w:p w14:paraId="1A986D1E" w14:textId="77777777" w:rsidR="00C34013" w:rsidRDefault="00000000">
      <w:pPr>
        <w:pStyle w:val="Ttulo1"/>
      </w:pPr>
      <w:r>
        <w:lastRenderedPageBreak/>
        <w:t>4. Market Evidence</w:t>
      </w:r>
    </w:p>
    <w:p w14:paraId="649EE96B" w14:textId="77777777" w:rsidR="00C34013" w:rsidRDefault="00000000">
      <w:r>
        <w:t>Every assumption in the financial model is sourced from verifiable data. Below is the evidence chain from raw data to projection.</w:t>
      </w:r>
    </w:p>
    <w:p w14:paraId="3F6D9FB0" w14:textId="77777777" w:rsidR="00C34013" w:rsidRDefault="00000000">
      <w:pPr>
        <w:pStyle w:val="Ttulo2"/>
      </w:pPr>
      <w:r>
        <w:t>Occupancy</w:t>
      </w:r>
    </w:p>
    <w:p w14:paraId="6B93F967" w14:textId="77777777" w:rsidR="00C34013" w:rsidRDefault="00000000">
      <w:r>
        <w:t>Projected: 55%</w:t>
      </w:r>
    </w:p>
    <w:p w14:paraId="26D3D5C9" w14:textId="77777777" w:rsidR="00C34013" w:rsidRDefault="00000000">
      <w:r>
        <w:t>Methodology: Weighted average of STR Colombia (40%), AirDNA (30%), Booking.com (30%), adjusted downward by 7 points for a new property in Year 1 with no operating history.</w:t>
      </w:r>
    </w:p>
    <w:tbl>
      <w:tblPr>
        <w:tblStyle w:val="Cuadrculaclara-nfasis1"/>
        <w:tblW w:w="0" w:type="auto"/>
        <w:tblLook w:val="04A0" w:firstRow="1" w:lastRow="0" w:firstColumn="1" w:lastColumn="0" w:noHBand="0" w:noVBand="1"/>
      </w:tblPr>
      <w:tblGrid>
        <w:gridCol w:w="4703"/>
        <w:gridCol w:w="4703"/>
      </w:tblGrid>
      <w:tr w:rsidR="00C34013" w14:paraId="673A4C72"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1A1A1A"/>
          </w:tcPr>
          <w:p w14:paraId="27BD531E" w14:textId="77777777" w:rsidR="00C34013" w:rsidRDefault="00000000">
            <w:r>
              <w:rPr>
                <w:color w:val="FFFFFF"/>
                <w:sz w:val="18"/>
              </w:rPr>
              <w:t>Source</w:t>
            </w:r>
          </w:p>
        </w:tc>
        <w:tc>
          <w:tcPr>
            <w:tcW w:w="4703" w:type="dxa"/>
            <w:shd w:val="clear" w:color="auto" w:fill="1A1A1A"/>
          </w:tcPr>
          <w:p w14:paraId="252A6A3C"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Data</w:t>
            </w:r>
          </w:p>
        </w:tc>
      </w:tr>
      <w:tr w:rsidR="00C34013" w14:paraId="313A3019"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293AAA6" w14:textId="77777777" w:rsidR="00C34013" w:rsidRDefault="00000000">
            <w:r>
              <w:rPr>
                <w:sz w:val="18"/>
              </w:rPr>
              <w:t>STR Colombia</w:t>
            </w:r>
          </w:p>
        </w:tc>
        <w:tc>
          <w:tcPr>
            <w:tcW w:w="4703" w:type="dxa"/>
          </w:tcPr>
          <w:p w14:paraId="36067819"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62% average occupancy for boutique hotels in Medellín (2025)</w:t>
            </w:r>
          </w:p>
        </w:tc>
      </w:tr>
      <w:tr w:rsidR="00C34013" w14:paraId="00C51DFC"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05400D5" w14:textId="77777777" w:rsidR="00C34013" w:rsidRDefault="00000000">
            <w:r>
              <w:rPr>
                <w:sz w:val="18"/>
              </w:rPr>
              <w:t>AirDNA</w:t>
            </w:r>
          </w:p>
        </w:tc>
        <w:tc>
          <w:tcPr>
            <w:tcW w:w="4703" w:type="dxa"/>
          </w:tcPr>
          <w:p w14:paraId="51B0A55F"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58% average occupancy for entire-home rentals in Medellín highlands (2025)</w:t>
            </w:r>
          </w:p>
        </w:tc>
      </w:tr>
      <w:tr w:rsidR="00C34013" w14:paraId="72F9591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51BF250" w14:textId="77777777" w:rsidR="00C34013" w:rsidRDefault="00000000">
            <w:r>
              <w:rPr>
                <w:sz w:val="18"/>
              </w:rPr>
              <w:t>Booking.com</w:t>
            </w:r>
          </w:p>
        </w:tc>
        <w:tc>
          <w:tcPr>
            <w:tcW w:w="4703" w:type="dxa"/>
          </w:tcPr>
          <w:p w14:paraId="3C2BAF8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52% average occupancy for 10-15 room properties in El Poblado (2025)</w:t>
            </w:r>
          </w:p>
        </w:tc>
      </w:tr>
      <w:tr w:rsidR="00C34013" w:rsidRPr="00D47E2A" w14:paraId="146570DD"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2DBD2B8" w14:textId="77777777" w:rsidR="00C34013" w:rsidRDefault="00000000">
            <w:r>
              <w:rPr>
                <w:sz w:val="18"/>
              </w:rPr>
              <w:t>Comparable Hotels</w:t>
            </w:r>
          </w:p>
        </w:tc>
        <w:tc>
          <w:tcPr>
            <w:tcW w:w="4703" w:type="dxa"/>
          </w:tcPr>
          <w:p w14:paraId="262FD75A" w14:textId="77777777" w:rsidR="00C34013" w:rsidRPr="00D47E2A" w:rsidRDefault="00000000">
            <w:pPr>
              <w:cnfStyle w:val="000000010000" w:firstRow="0" w:lastRow="0" w:firstColumn="0" w:lastColumn="0" w:oddVBand="0" w:evenVBand="0" w:oddHBand="0" w:evenHBand="1" w:firstRowFirstColumn="0" w:firstRowLastColumn="0" w:lastRowFirstColumn="0" w:lastRowLastColumn="0"/>
              <w:rPr>
                <w:lang w:val="es-CO"/>
              </w:rPr>
            </w:pPr>
            <w:r w:rsidRPr="00D47E2A">
              <w:rPr>
                <w:sz w:val="18"/>
                <w:lang w:val="es-CO"/>
              </w:rPr>
              <w:t>Hotel El Cielo: 78%, Hotel Nutibara: 82%, Finca El Ocaso: 71%</w:t>
            </w:r>
          </w:p>
        </w:tc>
      </w:tr>
    </w:tbl>
    <w:p w14:paraId="12A7879C" w14:textId="77777777" w:rsidR="00C34013" w:rsidRPr="00D47E2A" w:rsidRDefault="00C34013">
      <w:pPr>
        <w:rPr>
          <w:lang w:val="es-CO"/>
        </w:rPr>
      </w:pPr>
    </w:p>
    <w:p w14:paraId="400A1D6D" w14:textId="77777777" w:rsidR="00C34013" w:rsidRDefault="00000000">
      <w:pPr>
        <w:pStyle w:val="Ttulo2"/>
      </w:pPr>
      <w:r>
        <w:t>Projected ADR</w:t>
      </w:r>
    </w:p>
    <w:p w14:paraId="5F17A973" w14:textId="77777777" w:rsidR="00C34013" w:rsidRDefault="00000000">
      <w:r>
        <w:t>Projected: USD 280</w:t>
      </w:r>
    </w:p>
    <w:p w14:paraId="29CC8C3A" w14:textId="77777777" w:rsidR="00C34013" w:rsidRDefault="00000000">
      <w:r>
        <w:t>Methodology: Weighted average of comparable boutique hotels (60%), adjusted upward by 5% for La Nuit's nature-immersive premium positioning and design-led differentiation, then discounted by 10% for a new property without brand recognition in Year 1.</w:t>
      </w:r>
    </w:p>
    <w:tbl>
      <w:tblPr>
        <w:tblStyle w:val="Cuadrculaclara-nfasis1"/>
        <w:tblW w:w="0" w:type="auto"/>
        <w:tblLook w:val="04A0" w:firstRow="1" w:lastRow="0" w:firstColumn="1" w:lastColumn="0" w:noHBand="0" w:noVBand="1"/>
      </w:tblPr>
      <w:tblGrid>
        <w:gridCol w:w="2351"/>
        <w:gridCol w:w="2351"/>
        <w:gridCol w:w="2351"/>
        <w:gridCol w:w="2351"/>
      </w:tblGrid>
      <w:tr w:rsidR="00C34013" w14:paraId="24F8EC4B"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1A1A"/>
          </w:tcPr>
          <w:p w14:paraId="272C52AE" w14:textId="77777777" w:rsidR="00C34013" w:rsidRDefault="00000000">
            <w:r>
              <w:rPr>
                <w:color w:val="FFFFFF"/>
                <w:sz w:val="18"/>
              </w:rPr>
              <w:t>Property</w:t>
            </w:r>
          </w:p>
        </w:tc>
        <w:tc>
          <w:tcPr>
            <w:tcW w:w="2351" w:type="dxa"/>
            <w:shd w:val="clear" w:color="auto" w:fill="1A1A1A"/>
          </w:tcPr>
          <w:p w14:paraId="6A6CAD3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ADR</w:t>
            </w:r>
          </w:p>
        </w:tc>
        <w:tc>
          <w:tcPr>
            <w:tcW w:w="2351" w:type="dxa"/>
            <w:shd w:val="clear" w:color="auto" w:fill="1A1A1A"/>
          </w:tcPr>
          <w:p w14:paraId="663EB056"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Rooms</w:t>
            </w:r>
          </w:p>
        </w:tc>
        <w:tc>
          <w:tcPr>
            <w:tcW w:w="2351" w:type="dxa"/>
            <w:shd w:val="clear" w:color="auto" w:fill="1A1A1A"/>
          </w:tcPr>
          <w:p w14:paraId="0DFFAF68"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Location</w:t>
            </w:r>
          </w:p>
        </w:tc>
      </w:tr>
      <w:tr w:rsidR="00C34013" w14:paraId="441EADFA"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C8DC5F8" w14:textId="77777777" w:rsidR="00C34013" w:rsidRDefault="00000000">
            <w:r>
              <w:rPr>
                <w:sz w:val="18"/>
              </w:rPr>
              <w:t>Hotel El Cielo</w:t>
            </w:r>
          </w:p>
        </w:tc>
        <w:tc>
          <w:tcPr>
            <w:tcW w:w="2351" w:type="dxa"/>
          </w:tcPr>
          <w:p w14:paraId="65F0BB4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ADR USD 320, 12 rooms, Medellín</w:t>
            </w:r>
          </w:p>
        </w:tc>
        <w:tc>
          <w:tcPr>
            <w:tcW w:w="2351" w:type="dxa"/>
          </w:tcPr>
          <w:p w14:paraId="5F4E245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3D5976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34013" w14:paraId="44F45C25"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8051BF2" w14:textId="77777777" w:rsidR="00C34013" w:rsidRDefault="00000000">
            <w:r>
              <w:rPr>
                <w:sz w:val="18"/>
              </w:rPr>
              <w:t>Casa San Agustín</w:t>
            </w:r>
          </w:p>
        </w:tc>
        <w:tc>
          <w:tcPr>
            <w:tcW w:w="2351" w:type="dxa"/>
          </w:tcPr>
          <w:p w14:paraId="270E01B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ADR USD 410, 18 rooms, Cartagena</w:t>
            </w:r>
          </w:p>
        </w:tc>
        <w:tc>
          <w:tcPr>
            <w:tcW w:w="2351" w:type="dxa"/>
          </w:tcPr>
          <w:p w14:paraId="5F655593"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4D90BECB"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34013" w14:paraId="6DD0ACF9"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D7FCE95" w14:textId="77777777" w:rsidR="00C34013" w:rsidRDefault="00000000">
            <w:r>
              <w:rPr>
                <w:sz w:val="18"/>
              </w:rPr>
              <w:t>Finca El Ocaso</w:t>
            </w:r>
          </w:p>
        </w:tc>
        <w:tc>
          <w:tcPr>
            <w:tcW w:w="2351" w:type="dxa"/>
          </w:tcPr>
          <w:p w14:paraId="5B250D7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ADR USD 280, 8 rooms, Guadalajara</w:t>
            </w:r>
          </w:p>
        </w:tc>
        <w:tc>
          <w:tcPr>
            <w:tcW w:w="2351" w:type="dxa"/>
          </w:tcPr>
          <w:p w14:paraId="3783227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CCF0A7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34013" w14:paraId="7F5F479A"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988CC6E" w14:textId="77777777" w:rsidR="00C34013" w:rsidRDefault="00000000">
            <w:r>
              <w:rPr>
                <w:sz w:val="18"/>
              </w:rPr>
              <w:t>Hotel Nutibara</w:t>
            </w:r>
          </w:p>
        </w:tc>
        <w:tc>
          <w:tcPr>
            <w:tcW w:w="2351" w:type="dxa"/>
          </w:tcPr>
          <w:p w14:paraId="1017A17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ADR USD 145, 60 rooms, Medellín</w:t>
            </w:r>
          </w:p>
        </w:tc>
        <w:tc>
          <w:tcPr>
            <w:tcW w:w="2351" w:type="dxa"/>
          </w:tcPr>
          <w:p w14:paraId="7599C4F7"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726322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054AD0B1" w14:textId="77777777" w:rsidR="00C34013" w:rsidRDefault="00C34013"/>
    <w:p w14:paraId="2234BF97" w14:textId="77777777" w:rsidR="00C34013" w:rsidRDefault="00000000">
      <w:pPr>
        <w:pStyle w:val="Ttulo2"/>
      </w:pPr>
      <w:r>
        <w:t>Key Assumptions</w:t>
      </w:r>
    </w:p>
    <w:tbl>
      <w:tblPr>
        <w:tblStyle w:val="Cuadrculaclara-nfasis1"/>
        <w:tblW w:w="0" w:type="auto"/>
        <w:tblLook w:val="04A0" w:firstRow="1" w:lastRow="0" w:firstColumn="1" w:lastColumn="0" w:noHBand="0" w:noVBand="1"/>
      </w:tblPr>
      <w:tblGrid>
        <w:gridCol w:w="3135"/>
        <w:gridCol w:w="3135"/>
        <w:gridCol w:w="3135"/>
      </w:tblGrid>
      <w:tr w:rsidR="00C34013" w14:paraId="0989B0FC"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1A1A1A"/>
          </w:tcPr>
          <w:p w14:paraId="5CA6BA8D" w14:textId="77777777" w:rsidR="00C34013" w:rsidRDefault="00000000">
            <w:r>
              <w:rPr>
                <w:color w:val="FFFFFF"/>
                <w:sz w:val="18"/>
              </w:rPr>
              <w:t>Parameter</w:t>
            </w:r>
          </w:p>
        </w:tc>
        <w:tc>
          <w:tcPr>
            <w:tcW w:w="3135" w:type="dxa"/>
            <w:shd w:val="clear" w:color="auto" w:fill="1A1A1A"/>
          </w:tcPr>
          <w:p w14:paraId="034FA3FE"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c>
          <w:tcPr>
            <w:tcW w:w="3135" w:type="dxa"/>
            <w:shd w:val="clear" w:color="auto" w:fill="1A1A1A"/>
          </w:tcPr>
          <w:p w14:paraId="215308EA"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Source</w:t>
            </w:r>
          </w:p>
        </w:tc>
      </w:tr>
      <w:tr w:rsidR="00C34013" w:rsidRPr="00D47E2A" w14:paraId="3DD6C353"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5771F7" w14:textId="77777777" w:rsidR="00C34013" w:rsidRDefault="00000000">
            <w:r>
              <w:rPr>
                <w:sz w:val="18"/>
              </w:rPr>
              <w:t>Inflation</w:t>
            </w:r>
          </w:p>
        </w:tc>
        <w:tc>
          <w:tcPr>
            <w:tcW w:w="3135" w:type="dxa"/>
          </w:tcPr>
          <w:p w14:paraId="6FBBCFF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4.5%</w:t>
            </w:r>
          </w:p>
        </w:tc>
        <w:tc>
          <w:tcPr>
            <w:tcW w:w="3135" w:type="dxa"/>
          </w:tcPr>
          <w:p w14:paraId="132642A1" w14:textId="77777777" w:rsidR="00C34013" w:rsidRPr="00D47E2A" w:rsidRDefault="00000000">
            <w:pPr>
              <w:cnfStyle w:val="000000100000" w:firstRow="0" w:lastRow="0" w:firstColumn="0" w:lastColumn="0" w:oddVBand="0" w:evenVBand="0" w:oddHBand="1" w:evenHBand="0" w:firstRowFirstColumn="0" w:firstRowLastColumn="0" w:lastRowFirstColumn="0" w:lastRowLastColumn="0"/>
              <w:rPr>
                <w:lang w:val="es-CO"/>
              </w:rPr>
            </w:pPr>
            <w:r w:rsidRPr="00D47E2A">
              <w:rPr>
                <w:sz w:val="18"/>
                <w:lang w:val="es-CO"/>
              </w:rPr>
              <w:t>Banco de la República de Colombia (2025 projection), IMF World Economic Outlook (April 2025)</w:t>
            </w:r>
          </w:p>
        </w:tc>
      </w:tr>
      <w:tr w:rsidR="00C34013" w14:paraId="3EBC3FD3"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1020C4" w14:textId="77777777" w:rsidR="00C34013" w:rsidRDefault="00000000">
            <w:r>
              <w:rPr>
                <w:sz w:val="18"/>
              </w:rPr>
              <w:t>Discount Rate (WACC)</w:t>
            </w:r>
          </w:p>
        </w:tc>
        <w:tc>
          <w:tcPr>
            <w:tcW w:w="3135" w:type="dxa"/>
          </w:tcPr>
          <w:p w14:paraId="4CC5E25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3135" w:type="dxa"/>
          </w:tcPr>
          <w:p w14:paraId="5E88BCB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Risk-adjusted for Colombian hospitality sector. Based on: 5% risk-free rate (Colombian 10-year bond) + 4% equity risk premium + 3% hospitality-specific risk premium.</w:t>
            </w:r>
          </w:p>
        </w:tc>
      </w:tr>
    </w:tbl>
    <w:p w14:paraId="56E953D9" w14:textId="77777777" w:rsidR="00C34013" w:rsidRDefault="00C34013"/>
    <w:p w14:paraId="50428FA3" w14:textId="77777777" w:rsidR="00C34013" w:rsidRDefault="00000000">
      <w:pPr>
        <w:pStyle w:val="Ttulo2"/>
      </w:pPr>
      <w:r>
        <w:lastRenderedPageBreak/>
        <w:t>Methodology</w:t>
      </w:r>
    </w:p>
    <w:p w14:paraId="248D37F5" w14:textId="77777777" w:rsidR="00C34013" w:rsidRDefault="00000000">
      <w:r>
        <w:t>Projections are built on a bottom-up model. Room revenue is calculated as: Rooms × Occupancy × ADR × 365. Operating expenses are modeled at 62% of revenue (industry benchmark for boutique hotels). Capital expenditures are amortized over 10 years. All figures are in USD. The model is available for review in the Supporting Documents section.</w:t>
      </w:r>
    </w:p>
    <w:p w14:paraId="58A88061" w14:textId="77777777" w:rsidR="00C34013" w:rsidRDefault="00000000">
      <w:r>
        <w:br w:type="page"/>
      </w:r>
    </w:p>
    <w:p w14:paraId="5351E2ED" w14:textId="77777777" w:rsidR="00C34013" w:rsidRDefault="00000000">
      <w:pPr>
        <w:pStyle w:val="Ttulo1"/>
      </w:pPr>
      <w:r>
        <w:lastRenderedPageBreak/>
        <w:t>5. Comparable Properties</w:t>
      </w:r>
    </w:p>
    <w:p w14:paraId="077B8833" w14:textId="77777777" w:rsidR="00C34013" w:rsidRDefault="00000000">
      <w:r>
        <w:t>Properties that validate our assumptions</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C34013" w14:paraId="57D46495"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1A1A1A"/>
          </w:tcPr>
          <w:p w14:paraId="2924C7CC" w14:textId="77777777" w:rsidR="00C34013" w:rsidRDefault="00000000">
            <w:r>
              <w:rPr>
                <w:color w:val="FFFFFF"/>
                <w:sz w:val="18"/>
              </w:rPr>
              <w:t>Property</w:t>
            </w:r>
          </w:p>
        </w:tc>
        <w:tc>
          <w:tcPr>
            <w:tcW w:w="1568" w:type="dxa"/>
            <w:shd w:val="clear" w:color="auto" w:fill="1A1A1A"/>
          </w:tcPr>
          <w:p w14:paraId="0311AA97"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Location</w:t>
            </w:r>
          </w:p>
        </w:tc>
        <w:tc>
          <w:tcPr>
            <w:tcW w:w="1568" w:type="dxa"/>
            <w:shd w:val="clear" w:color="auto" w:fill="1A1A1A"/>
          </w:tcPr>
          <w:p w14:paraId="57CA0F49"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ADR</w:t>
            </w:r>
          </w:p>
        </w:tc>
        <w:tc>
          <w:tcPr>
            <w:tcW w:w="1568" w:type="dxa"/>
            <w:shd w:val="clear" w:color="auto" w:fill="1A1A1A"/>
          </w:tcPr>
          <w:p w14:paraId="7DB958B5"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Occupancy</w:t>
            </w:r>
          </w:p>
        </w:tc>
        <w:tc>
          <w:tcPr>
            <w:tcW w:w="1568" w:type="dxa"/>
            <w:shd w:val="clear" w:color="auto" w:fill="1A1A1A"/>
          </w:tcPr>
          <w:p w14:paraId="4A8D0BE4"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RevPAR</w:t>
            </w:r>
          </w:p>
        </w:tc>
        <w:tc>
          <w:tcPr>
            <w:tcW w:w="1568" w:type="dxa"/>
            <w:shd w:val="clear" w:color="auto" w:fill="1A1A1A"/>
          </w:tcPr>
          <w:p w14:paraId="200E18A6"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EBITDA Margin</w:t>
            </w:r>
          </w:p>
        </w:tc>
      </w:tr>
      <w:tr w:rsidR="00C34013" w14:paraId="0E742AB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A237E86" w14:textId="77777777" w:rsidR="00C34013" w:rsidRDefault="00000000">
            <w:r>
              <w:rPr>
                <w:sz w:val="18"/>
              </w:rPr>
              <w:t>Hotel El Cielo</w:t>
            </w:r>
          </w:p>
        </w:tc>
        <w:tc>
          <w:tcPr>
            <w:tcW w:w="1568" w:type="dxa"/>
          </w:tcPr>
          <w:p w14:paraId="0EB99EB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Medellín, Colombia</w:t>
            </w:r>
          </w:p>
        </w:tc>
        <w:tc>
          <w:tcPr>
            <w:tcW w:w="1568" w:type="dxa"/>
          </w:tcPr>
          <w:p w14:paraId="020AA9A0"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320</w:t>
            </w:r>
          </w:p>
        </w:tc>
        <w:tc>
          <w:tcPr>
            <w:tcW w:w="1568" w:type="dxa"/>
          </w:tcPr>
          <w:p w14:paraId="6E1A1C1D"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78%</w:t>
            </w:r>
          </w:p>
        </w:tc>
        <w:tc>
          <w:tcPr>
            <w:tcW w:w="1568" w:type="dxa"/>
          </w:tcPr>
          <w:p w14:paraId="7AB57F31"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250</w:t>
            </w:r>
          </w:p>
        </w:tc>
        <w:tc>
          <w:tcPr>
            <w:tcW w:w="1568" w:type="dxa"/>
          </w:tcPr>
          <w:p w14:paraId="1FDD78E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38%</w:t>
            </w:r>
          </w:p>
        </w:tc>
      </w:tr>
      <w:tr w:rsidR="00C34013" w14:paraId="5ED2DACE"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9982898" w14:textId="77777777" w:rsidR="00C34013" w:rsidRDefault="00000000">
            <w:r>
              <w:rPr>
                <w:sz w:val="18"/>
              </w:rPr>
              <w:t>Casa San Agustín</w:t>
            </w:r>
          </w:p>
        </w:tc>
        <w:tc>
          <w:tcPr>
            <w:tcW w:w="1568" w:type="dxa"/>
          </w:tcPr>
          <w:p w14:paraId="7D5A0ED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Cartagena, Colombia</w:t>
            </w:r>
          </w:p>
        </w:tc>
        <w:tc>
          <w:tcPr>
            <w:tcW w:w="1568" w:type="dxa"/>
          </w:tcPr>
          <w:p w14:paraId="02F7E36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410</w:t>
            </w:r>
          </w:p>
        </w:tc>
        <w:tc>
          <w:tcPr>
            <w:tcW w:w="1568" w:type="dxa"/>
          </w:tcPr>
          <w:p w14:paraId="7ADB16E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74%</w:t>
            </w:r>
          </w:p>
        </w:tc>
        <w:tc>
          <w:tcPr>
            <w:tcW w:w="1568" w:type="dxa"/>
          </w:tcPr>
          <w:p w14:paraId="420B19ED"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303</w:t>
            </w:r>
          </w:p>
        </w:tc>
        <w:tc>
          <w:tcPr>
            <w:tcW w:w="1568" w:type="dxa"/>
          </w:tcPr>
          <w:p w14:paraId="3EEE80E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42%</w:t>
            </w:r>
          </w:p>
        </w:tc>
      </w:tr>
      <w:tr w:rsidR="00C34013" w14:paraId="6BEA83E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A20EAF9" w14:textId="77777777" w:rsidR="00C34013" w:rsidRDefault="00000000">
            <w:r>
              <w:rPr>
                <w:sz w:val="18"/>
              </w:rPr>
              <w:t>Hotel Nutibara</w:t>
            </w:r>
          </w:p>
        </w:tc>
        <w:tc>
          <w:tcPr>
            <w:tcW w:w="1568" w:type="dxa"/>
          </w:tcPr>
          <w:p w14:paraId="3BE34001"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Medellín, Colombia</w:t>
            </w:r>
          </w:p>
        </w:tc>
        <w:tc>
          <w:tcPr>
            <w:tcW w:w="1568" w:type="dxa"/>
          </w:tcPr>
          <w:p w14:paraId="181B2F4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145</w:t>
            </w:r>
          </w:p>
        </w:tc>
        <w:tc>
          <w:tcPr>
            <w:tcW w:w="1568" w:type="dxa"/>
          </w:tcPr>
          <w:p w14:paraId="65F139C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1568" w:type="dxa"/>
          </w:tcPr>
          <w:p w14:paraId="7242DE69"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119</w:t>
            </w:r>
          </w:p>
        </w:tc>
        <w:tc>
          <w:tcPr>
            <w:tcW w:w="1568" w:type="dxa"/>
          </w:tcPr>
          <w:p w14:paraId="0A5B4EC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r>
      <w:tr w:rsidR="00C34013" w14:paraId="42EBB6B7"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ED34409" w14:textId="77777777" w:rsidR="00C34013" w:rsidRDefault="00000000">
            <w:r>
              <w:rPr>
                <w:sz w:val="18"/>
              </w:rPr>
              <w:t>Finca El Ocaso</w:t>
            </w:r>
          </w:p>
        </w:tc>
        <w:tc>
          <w:tcPr>
            <w:tcW w:w="1568" w:type="dxa"/>
          </w:tcPr>
          <w:p w14:paraId="29E5BE59"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Guadalajara, Mexico</w:t>
            </w:r>
          </w:p>
        </w:tc>
        <w:tc>
          <w:tcPr>
            <w:tcW w:w="1568" w:type="dxa"/>
          </w:tcPr>
          <w:p w14:paraId="6DC43532"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280</w:t>
            </w:r>
          </w:p>
        </w:tc>
        <w:tc>
          <w:tcPr>
            <w:tcW w:w="1568" w:type="dxa"/>
          </w:tcPr>
          <w:p w14:paraId="1B39A957"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71%</w:t>
            </w:r>
          </w:p>
        </w:tc>
        <w:tc>
          <w:tcPr>
            <w:tcW w:w="1568" w:type="dxa"/>
          </w:tcPr>
          <w:p w14:paraId="0E2230E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200</w:t>
            </w:r>
          </w:p>
        </w:tc>
        <w:tc>
          <w:tcPr>
            <w:tcW w:w="1568" w:type="dxa"/>
          </w:tcPr>
          <w:p w14:paraId="50BB77B2"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35%</w:t>
            </w:r>
          </w:p>
        </w:tc>
      </w:tr>
    </w:tbl>
    <w:p w14:paraId="67CD5628" w14:textId="77777777" w:rsidR="00C34013" w:rsidRDefault="00C34013"/>
    <w:p w14:paraId="4B6F27E7" w14:textId="77777777" w:rsidR="00C34013" w:rsidRDefault="00000000">
      <w:r>
        <w:rPr>
          <w:b/>
          <w:sz w:val="20"/>
        </w:rPr>
        <w:t xml:space="preserve">Hotel El Cielo: </w:t>
      </w:r>
      <w:r>
        <w:rPr>
          <w:sz w:val="20"/>
        </w:rPr>
        <w:t>Direct competitor in Medellín boutique segment. Same room count and similar positioning. Validates ADR assumptions for La Nuit.</w:t>
      </w:r>
    </w:p>
    <w:p w14:paraId="025AADED" w14:textId="77777777" w:rsidR="00C34013" w:rsidRDefault="00000000">
      <w:r>
        <w:rPr>
          <w:b/>
          <w:sz w:val="20"/>
        </w:rPr>
        <w:t xml:space="preserve">Casa San Agustín: </w:t>
      </w:r>
      <w:r>
        <w:rPr>
          <w:sz w:val="20"/>
        </w:rPr>
        <w:t>Premium Colombian boutique hotel. Higher ADR reflects coastal premium. Validates that nature-immersive positioning can command above-market rates.</w:t>
      </w:r>
    </w:p>
    <w:p w14:paraId="6BCF0AE0" w14:textId="77777777" w:rsidR="00C34013" w:rsidRDefault="00000000">
      <w:r>
        <w:rPr>
          <w:b/>
          <w:sz w:val="20"/>
        </w:rPr>
        <w:t xml:space="preserve">Hotel Nutibara: </w:t>
      </w:r>
      <w:r>
        <w:rPr>
          <w:sz w:val="20"/>
        </w:rPr>
        <w:t>Established Medellín property. Lower ADR and margin show the upside of La Nuit's premium positioning and design-led differentiation.</w:t>
      </w:r>
    </w:p>
    <w:p w14:paraId="00E132E9" w14:textId="77777777" w:rsidR="00C34013" w:rsidRDefault="00000000">
      <w:r>
        <w:rPr>
          <w:b/>
          <w:sz w:val="20"/>
        </w:rPr>
        <w:t xml:space="preserve">Finca El Ocaso: </w:t>
      </w:r>
      <w:r>
        <w:rPr>
          <w:sz w:val="20"/>
        </w:rPr>
        <w:t>Nature-immersive boutique hotel in a comparable Latin American market. Most directly analogous to La Nuit's concept and positioning.</w:t>
      </w:r>
    </w:p>
    <w:p w14:paraId="5A6ABEAE" w14:textId="77777777" w:rsidR="00C34013" w:rsidRDefault="00000000">
      <w:r>
        <w:br w:type="page"/>
      </w:r>
    </w:p>
    <w:p w14:paraId="4C21EF3B" w14:textId="77777777" w:rsidR="00C34013" w:rsidRDefault="00000000">
      <w:pPr>
        <w:pStyle w:val="Ttulo1"/>
      </w:pPr>
      <w:r>
        <w:lastRenderedPageBreak/>
        <w:t>6. Ownership &amp; Governance</w:t>
      </w:r>
    </w:p>
    <w:p w14:paraId="4CE37D74" w14:textId="77777777" w:rsidR="00C34013" w:rsidRDefault="00000000">
      <w:r>
        <w:t>La Nuit is operated through a Special Purpose Vehicle (SPV) incorporated in Colombia. CHIHIZA Studio holds a majority stake and serves as the property manager. The investor holds a 25% equity stake in the SPV.</w:t>
      </w:r>
    </w:p>
    <w:p w14:paraId="4E50AEDF" w14:textId="77777777" w:rsidR="00C34013" w:rsidRDefault="00000000">
      <w:pPr>
        <w:pStyle w:val="Ttulo2"/>
      </w:pPr>
      <w:r>
        <w:t>Key Questions Answered</w:t>
      </w:r>
    </w:p>
    <w:p w14:paraId="085171CA" w14:textId="77777777" w:rsidR="00C34013" w:rsidRDefault="00000000">
      <w:r>
        <w:rPr>
          <w:b/>
          <w:sz w:val="20"/>
        </w:rPr>
        <w:t>Q: Who owns the land?</w:t>
      </w:r>
    </w:p>
    <w:p w14:paraId="3786FE84" w14:textId="77777777" w:rsidR="00C34013" w:rsidRDefault="00000000">
      <w:pPr>
        <w:spacing w:after="160"/>
      </w:pPr>
      <w:r>
        <w:rPr>
          <w:sz w:val="20"/>
        </w:rPr>
        <w:t>A: The land is owned by the SPV, which acquired it from a private seller in Q3 2026. The title is clear and registered with the Colombian Cadastral Office.</w:t>
      </w:r>
    </w:p>
    <w:p w14:paraId="50DEE744" w14:textId="77777777" w:rsidR="00C34013" w:rsidRDefault="00000000">
      <w:r>
        <w:rPr>
          <w:b/>
          <w:sz w:val="20"/>
        </w:rPr>
        <w:t>Q: Who owns the buildings?</w:t>
      </w:r>
    </w:p>
    <w:p w14:paraId="125B0954" w14:textId="77777777" w:rsidR="00C34013" w:rsidRDefault="00000000">
      <w:pPr>
        <w:spacing w:after="160"/>
      </w:pPr>
      <w:r>
        <w:rPr>
          <w:sz w:val="20"/>
        </w:rPr>
        <w:t>A: The buildings will be owned by the SPV upon completion of construction. Construction is being managed by a licensed Colombian contractor under a fixed-price contract.</w:t>
      </w:r>
    </w:p>
    <w:p w14:paraId="49818507" w14:textId="77777777" w:rsidR="00C34013" w:rsidRDefault="00000000">
      <w:r>
        <w:rPr>
          <w:b/>
          <w:sz w:val="20"/>
        </w:rPr>
        <w:t>Q: Who owns the operating company?</w:t>
      </w:r>
    </w:p>
    <w:p w14:paraId="08D92926" w14:textId="77777777" w:rsidR="00C34013" w:rsidRDefault="00000000">
      <w:pPr>
        <w:spacing w:after="160"/>
      </w:pPr>
      <w:r>
        <w:rPr>
          <w:sz w:val="20"/>
        </w:rPr>
        <w:t>A: The operating company is a separate entity controlled by CHIHIZA Studio. It holds the management contract with the SPV and operates the property under a 10-year management agreement.</w:t>
      </w:r>
    </w:p>
    <w:p w14:paraId="0E0C54D9" w14:textId="77777777" w:rsidR="00C34013" w:rsidRDefault="00000000">
      <w:r>
        <w:rPr>
          <w:b/>
          <w:sz w:val="20"/>
        </w:rPr>
        <w:t>Q: Who signs contracts?</w:t>
      </w:r>
    </w:p>
    <w:p w14:paraId="0A1FCB99" w14:textId="77777777" w:rsidR="00C34013" w:rsidRDefault="00000000">
      <w:pPr>
        <w:spacing w:after="160"/>
      </w:pPr>
      <w:r>
        <w:rPr>
          <w:sz w:val="20"/>
        </w:rPr>
        <w:t>A: The SPV signs all property-level contracts (construction, permits, utilities). The operating company signs all operational contracts (staff, vendors, marketing). The investor has veto rights on contracts above USD 10,000.</w:t>
      </w:r>
    </w:p>
    <w:p w14:paraId="00D259FE" w14:textId="77777777" w:rsidR="00C34013" w:rsidRDefault="00000000">
      <w:r>
        <w:rPr>
          <w:b/>
          <w:sz w:val="20"/>
        </w:rPr>
        <w:t>Q: How are profits distributed?</w:t>
      </w:r>
    </w:p>
    <w:p w14:paraId="20D31B99" w14:textId="77777777" w:rsidR="00C34013" w:rsidRDefault="00000000">
      <w:pPr>
        <w:spacing w:after="160"/>
      </w:pPr>
      <w:r>
        <w:rPr>
          <w:sz w:val="20"/>
        </w:rPr>
        <w:t>A: Profits are distributed as quarterly dividends after operational reserves (6 months of operating expenses) are maintained. The distribution waterfall prioritizes: (1) operational reserves, (2) investor return of capital, (3) profit distributions.</w:t>
      </w:r>
    </w:p>
    <w:p w14:paraId="5DD68A82" w14:textId="77777777" w:rsidR="00C34013" w:rsidRDefault="00000000">
      <w:r>
        <w:rPr>
          <w:b/>
          <w:sz w:val="20"/>
        </w:rPr>
        <w:t>Q: Who appoints management?</w:t>
      </w:r>
    </w:p>
    <w:p w14:paraId="0A8C7EF9" w14:textId="77777777" w:rsidR="00C34013" w:rsidRDefault="00000000">
      <w:pPr>
        <w:spacing w:after="160"/>
      </w:pPr>
      <w:r>
        <w:rPr>
          <w:sz w:val="20"/>
        </w:rPr>
        <w:t>A: CHIHIZA Studio appoints the General Manager and operational staff. The investor has the right to approve the General Manager and any changes to the management team.</w:t>
      </w:r>
    </w:p>
    <w:p w14:paraId="4AEFDB3E" w14:textId="77777777" w:rsidR="00C34013" w:rsidRDefault="00000000">
      <w:r>
        <w:rPr>
          <w:b/>
          <w:sz w:val="20"/>
        </w:rPr>
        <w:t>Q: Who can sell the asset?</w:t>
      </w:r>
    </w:p>
    <w:p w14:paraId="6EBAA99F" w14:textId="77777777" w:rsidR="00C34013" w:rsidRDefault="00000000">
      <w:pPr>
        <w:spacing w:after="160"/>
      </w:pPr>
      <w:r>
        <w:rPr>
          <w:sz w:val="20"/>
        </w:rPr>
        <w:t>A: The SPV can sell the asset with investor consent (majority vote). Tag-along and drag-along rights apply. The operator has a right of first refusal on any sale.</w:t>
      </w:r>
    </w:p>
    <w:p w14:paraId="0A0A1946" w14:textId="77777777" w:rsidR="00C34013" w:rsidRDefault="00000000">
      <w:r>
        <w:rPr>
          <w:b/>
          <w:sz w:val="20"/>
        </w:rPr>
        <w:t>Q: What decisions require investor approval?</w:t>
      </w:r>
    </w:p>
    <w:p w14:paraId="4078441C" w14:textId="77777777" w:rsidR="00C34013" w:rsidRDefault="00000000">
      <w:pPr>
        <w:spacing w:after="160"/>
      </w:pPr>
      <w:r>
        <w:rPr>
          <w:sz w:val="20"/>
        </w:rPr>
        <w:t>A: Capital expenditures above USD 10,000, changes to the management team, sale or refinancing of the asset, and any material change to the business model.</w:t>
      </w:r>
    </w:p>
    <w:p w14:paraId="60D9AA0E" w14:textId="77777777" w:rsidR="00C34013" w:rsidRDefault="00000000">
      <w:r>
        <w:br w:type="page"/>
      </w:r>
    </w:p>
    <w:p w14:paraId="195DCAA8" w14:textId="77777777" w:rsidR="00C34013" w:rsidRDefault="00000000">
      <w:pPr>
        <w:pStyle w:val="Ttulo1"/>
      </w:pPr>
      <w:r>
        <w:lastRenderedPageBreak/>
        <w:t>7. Investor Returns</w:t>
      </w:r>
    </w:p>
    <w:p w14:paraId="3E345444" w14:textId="77777777" w:rsidR="00C34013" w:rsidRDefault="00000000">
      <w:r>
        <w:t>Three investment models are presented below. Conrad can choose the model that best fits his objectives. Each model is based on the same underlying financial projections.</w:t>
      </w:r>
    </w:p>
    <w:p w14:paraId="7891883F" w14:textId="77777777" w:rsidR="00C34013" w:rsidRDefault="00000000">
      <w:pPr>
        <w:pStyle w:val="Ttulo2"/>
      </w:pPr>
      <w:r>
        <w:t>Model A — Income Investor</w:t>
      </w:r>
    </w:p>
    <w:tbl>
      <w:tblPr>
        <w:tblStyle w:val="Cuadrculaclara-nfasis1"/>
        <w:tblW w:w="0" w:type="auto"/>
        <w:tblLook w:val="04A0" w:firstRow="1" w:lastRow="0" w:firstColumn="1" w:lastColumn="0" w:noHBand="0" w:noVBand="1"/>
      </w:tblPr>
      <w:tblGrid>
        <w:gridCol w:w="4703"/>
        <w:gridCol w:w="4703"/>
      </w:tblGrid>
      <w:tr w:rsidR="00C34013" w14:paraId="53EE0B07"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224C709" w14:textId="77777777" w:rsidR="00C34013" w:rsidRDefault="00000000">
            <w:r>
              <w:rPr>
                <w:sz w:val="18"/>
              </w:rPr>
              <w:t>Strategy</w:t>
            </w:r>
          </w:p>
        </w:tc>
        <w:tc>
          <w:tcPr>
            <w:tcW w:w="4703" w:type="dxa"/>
          </w:tcPr>
          <w:p w14:paraId="57F45858"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Quarterly dividends. Maintain ownership. No obligation to sell.</w:t>
            </w:r>
          </w:p>
        </w:tc>
      </w:tr>
      <w:tr w:rsidR="00C34013" w14:paraId="70F58217"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E29DAF7" w14:textId="77777777" w:rsidR="00C34013" w:rsidRDefault="00000000">
            <w:r>
              <w:rPr>
                <w:sz w:val="18"/>
              </w:rPr>
              <w:t>IRR</w:t>
            </w:r>
          </w:p>
        </w:tc>
        <w:tc>
          <w:tcPr>
            <w:tcW w:w="4703" w:type="dxa"/>
          </w:tcPr>
          <w:p w14:paraId="56C22440"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14.8%</w:t>
            </w:r>
          </w:p>
        </w:tc>
      </w:tr>
      <w:tr w:rsidR="00C34013" w14:paraId="1D0104AF"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58C9A34" w14:textId="77777777" w:rsidR="00C34013" w:rsidRDefault="00000000">
            <w:r>
              <w:rPr>
                <w:sz w:val="18"/>
              </w:rPr>
              <w:t>MOIC</w:t>
            </w:r>
          </w:p>
        </w:tc>
        <w:tc>
          <w:tcPr>
            <w:tcW w:w="4703" w:type="dxa"/>
          </w:tcPr>
          <w:p w14:paraId="4E047B75"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2.4x</w:t>
            </w:r>
          </w:p>
        </w:tc>
      </w:tr>
      <w:tr w:rsidR="00C34013" w14:paraId="7AE6600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B1D647F" w14:textId="77777777" w:rsidR="00C34013" w:rsidRDefault="00000000">
            <w:r>
              <w:rPr>
                <w:sz w:val="18"/>
              </w:rPr>
              <w:t>Cash Flow</w:t>
            </w:r>
          </w:p>
        </w:tc>
        <w:tc>
          <w:tcPr>
            <w:tcW w:w="4703" w:type="dxa"/>
          </w:tcPr>
          <w:p w14:paraId="41A53B72"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82,000/year (Year 3+)</w:t>
            </w:r>
          </w:p>
        </w:tc>
      </w:tr>
      <w:tr w:rsidR="00C34013" w14:paraId="41101F8D"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2FFB22E" w14:textId="77777777" w:rsidR="00C34013" w:rsidRDefault="00000000">
            <w:r>
              <w:rPr>
                <w:sz w:val="18"/>
              </w:rPr>
              <w:t>Exit</w:t>
            </w:r>
          </w:p>
        </w:tc>
        <w:tc>
          <w:tcPr>
            <w:tcW w:w="4703" w:type="dxa"/>
          </w:tcPr>
          <w:p w14:paraId="5663786F"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None required. Hold indefinitely or exit via refinancing.</w:t>
            </w:r>
          </w:p>
        </w:tc>
      </w:tr>
      <w:tr w:rsidR="00C34013" w14:paraId="372C0F3E"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2974D46" w14:textId="77777777" w:rsidR="00C34013" w:rsidRDefault="00000000">
            <w:r>
              <w:rPr>
                <w:sz w:val="18"/>
              </w:rPr>
              <w:t>Best For</w:t>
            </w:r>
          </w:p>
        </w:tc>
        <w:tc>
          <w:tcPr>
            <w:tcW w:w="4703" w:type="dxa"/>
          </w:tcPr>
          <w:p w14:paraId="217C433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Investors seeking steady cash flow with moderate growth.</w:t>
            </w:r>
          </w:p>
        </w:tc>
      </w:tr>
    </w:tbl>
    <w:p w14:paraId="30518B13" w14:textId="77777777" w:rsidR="00C34013" w:rsidRDefault="00C34013"/>
    <w:p w14:paraId="435131AB" w14:textId="77777777" w:rsidR="00C34013" w:rsidRDefault="00000000">
      <w:pPr>
        <w:pStyle w:val="Ttulo2"/>
      </w:pPr>
      <w:r>
        <w:t>Model B — Growth Investor</w:t>
      </w:r>
    </w:p>
    <w:tbl>
      <w:tblPr>
        <w:tblStyle w:val="Cuadrculaclara-nfasis1"/>
        <w:tblW w:w="0" w:type="auto"/>
        <w:tblLook w:val="04A0" w:firstRow="1" w:lastRow="0" w:firstColumn="1" w:lastColumn="0" w:noHBand="0" w:noVBand="1"/>
      </w:tblPr>
      <w:tblGrid>
        <w:gridCol w:w="4703"/>
        <w:gridCol w:w="4703"/>
      </w:tblGrid>
      <w:tr w:rsidR="00C34013" w14:paraId="79ED541B"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CEB37D4" w14:textId="77777777" w:rsidR="00C34013" w:rsidRDefault="00000000">
            <w:r>
              <w:rPr>
                <w:sz w:val="18"/>
              </w:rPr>
              <w:t>Strategy</w:t>
            </w:r>
          </w:p>
        </w:tc>
        <w:tc>
          <w:tcPr>
            <w:tcW w:w="4703" w:type="dxa"/>
          </w:tcPr>
          <w:p w14:paraId="06C9772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Reinvest all profits. Exit at Year 7–10 via sale.</w:t>
            </w:r>
          </w:p>
        </w:tc>
      </w:tr>
      <w:tr w:rsidR="00C34013" w14:paraId="7BD24362"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0C08573" w14:textId="77777777" w:rsidR="00C34013" w:rsidRDefault="00000000">
            <w:r>
              <w:rPr>
                <w:sz w:val="18"/>
              </w:rPr>
              <w:t>IRR</w:t>
            </w:r>
          </w:p>
        </w:tc>
        <w:tc>
          <w:tcPr>
            <w:tcW w:w="4703" w:type="dxa"/>
          </w:tcPr>
          <w:p w14:paraId="14CC4726"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r>
      <w:tr w:rsidR="00C34013" w14:paraId="6B5F3095"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C700AD9" w14:textId="77777777" w:rsidR="00C34013" w:rsidRDefault="00000000">
            <w:r>
              <w:rPr>
                <w:sz w:val="18"/>
              </w:rPr>
              <w:t>MOIC</w:t>
            </w:r>
          </w:p>
        </w:tc>
        <w:tc>
          <w:tcPr>
            <w:tcW w:w="4703" w:type="dxa"/>
          </w:tcPr>
          <w:p w14:paraId="015D179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3.2x</w:t>
            </w:r>
          </w:p>
        </w:tc>
      </w:tr>
      <w:tr w:rsidR="00C34013" w14:paraId="220609FD"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DD7A277" w14:textId="77777777" w:rsidR="00C34013" w:rsidRDefault="00000000">
            <w:r>
              <w:rPr>
                <w:sz w:val="18"/>
              </w:rPr>
              <w:t>Cash Flow</w:t>
            </w:r>
          </w:p>
        </w:tc>
        <w:tc>
          <w:tcPr>
            <w:tcW w:w="4703" w:type="dxa"/>
          </w:tcPr>
          <w:p w14:paraId="1480889F"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0/year (reinvested). USD 340,000 EBITDA at exit (Year 5+).</w:t>
            </w:r>
          </w:p>
        </w:tc>
      </w:tr>
      <w:tr w:rsidR="00C34013" w14:paraId="47E5682E"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CB9FAA9" w14:textId="77777777" w:rsidR="00C34013" w:rsidRDefault="00000000">
            <w:r>
              <w:rPr>
                <w:sz w:val="18"/>
              </w:rPr>
              <w:t>Exit</w:t>
            </w:r>
          </w:p>
        </w:tc>
        <w:tc>
          <w:tcPr>
            <w:tcW w:w="4703" w:type="dxa"/>
          </w:tcPr>
          <w:p w14:paraId="65D217B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Sell property at 5x EBITDA multiple. Target exit Year 7–10.</w:t>
            </w:r>
          </w:p>
        </w:tc>
      </w:tr>
      <w:tr w:rsidR="00C34013" w14:paraId="5B69EC5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6DA813B" w14:textId="77777777" w:rsidR="00C34013" w:rsidRDefault="00000000">
            <w:r>
              <w:rPr>
                <w:sz w:val="18"/>
              </w:rPr>
              <w:t>Best For</w:t>
            </w:r>
          </w:p>
        </w:tc>
        <w:tc>
          <w:tcPr>
            <w:tcW w:w="4703" w:type="dxa"/>
          </w:tcPr>
          <w:p w14:paraId="479C8A14"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Investors seeking maximum capital appreciation over time.</w:t>
            </w:r>
          </w:p>
        </w:tc>
      </w:tr>
    </w:tbl>
    <w:p w14:paraId="099CC5F6" w14:textId="77777777" w:rsidR="00C34013" w:rsidRDefault="00C34013"/>
    <w:p w14:paraId="5E63279C" w14:textId="77777777" w:rsidR="00C34013" w:rsidRDefault="00000000">
      <w:pPr>
        <w:pStyle w:val="Ttulo2"/>
      </w:pPr>
      <w:r>
        <w:t>Model C — Hybrid</w:t>
      </w:r>
    </w:p>
    <w:tbl>
      <w:tblPr>
        <w:tblStyle w:val="Cuadrculaclara-nfasis1"/>
        <w:tblW w:w="0" w:type="auto"/>
        <w:tblLook w:val="04A0" w:firstRow="1" w:lastRow="0" w:firstColumn="1" w:lastColumn="0" w:noHBand="0" w:noVBand="1"/>
      </w:tblPr>
      <w:tblGrid>
        <w:gridCol w:w="4703"/>
        <w:gridCol w:w="4703"/>
      </w:tblGrid>
      <w:tr w:rsidR="00C34013" w14:paraId="2389C46F"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CF3832F" w14:textId="77777777" w:rsidR="00C34013" w:rsidRDefault="00000000">
            <w:r>
              <w:rPr>
                <w:sz w:val="18"/>
              </w:rPr>
              <w:t>Strategy</w:t>
            </w:r>
          </w:p>
        </w:tc>
        <w:tc>
          <w:tcPr>
            <w:tcW w:w="4703" w:type="dxa"/>
          </w:tcPr>
          <w:p w14:paraId="44FC710C"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sz w:val="18"/>
              </w:rPr>
              <w:t>Dividends + right to exit. Flexible approach.</w:t>
            </w:r>
          </w:p>
        </w:tc>
      </w:tr>
      <w:tr w:rsidR="00C34013" w14:paraId="2976A24F"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7419F74" w14:textId="77777777" w:rsidR="00C34013" w:rsidRDefault="00000000">
            <w:r>
              <w:rPr>
                <w:sz w:val="18"/>
              </w:rPr>
              <w:t>IRR</w:t>
            </w:r>
          </w:p>
        </w:tc>
        <w:tc>
          <w:tcPr>
            <w:tcW w:w="4703" w:type="dxa"/>
          </w:tcPr>
          <w:p w14:paraId="2B8F09C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17.5%</w:t>
            </w:r>
          </w:p>
        </w:tc>
      </w:tr>
      <w:tr w:rsidR="00C34013" w14:paraId="5B4EEBF4"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73D7F13" w14:textId="77777777" w:rsidR="00C34013" w:rsidRDefault="00000000">
            <w:r>
              <w:rPr>
                <w:sz w:val="18"/>
              </w:rPr>
              <w:t>MOIC</w:t>
            </w:r>
          </w:p>
        </w:tc>
        <w:tc>
          <w:tcPr>
            <w:tcW w:w="4703" w:type="dxa"/>
          </w:tcPr>
          <w:p w14:paraId="1D40D598"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2.7x</w:t>
            </w:r>
          </w:p>
        </w:tc>
      </w:tr>
      <w:tr w:rsidR="00C34013" w14:paraId="71C09239"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BED145" w14:textId="77777777" w:rsidR="00C34013" w:rsidRDefault="00000000">
            <w:r>
              <w:rPr>
                <w:sz w:val="18"/>
              </w:rPr>
              <w:t>Cash Flow</w:t>
            </w:r>
          </w:p>
        </w:tc>
        <w:tc>
          <w:tcPr>
            <w:tcW w:w="4703" w:type="dxa"/>
          </w:tcPr>
          <w:p w14:paraId="1C6F37E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45,000/year (Year 3+). Exit option available from Year 5.</w:t>
            </w:r>
          </w:p>
        </w:tc>
      </w:tr>
      <w:tr w:rsidR="00C34013" w14:paraId="7FB65E4A"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3B697D6" w14:textId="77777777" w:rsidR="00C34013" w:rsidRDefault="00000000">
            <w:r>
              <w:rPr>
                <w:sz w:val="18"/>
              </w:rPr>
              <w:t>Exit</w:t>
            </w:r>
          </w:p>
        </w:tc>
        <w:tc>
          <w:tcPr>
            <w:tcW w:w="4703" w:type="dxa"/>
          </w:tcPr>
          <w:p w14:paraId="0EEB9B6D"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Investor can exercise exit option from Year 5 onward at 5x EBITDA.</w:t>
            </w:r>
          </w:p>
        </w:tc>
      </w:tr>
      <w:tr w:rsidR="00C34013" w14:paraId="56F5ACA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24C37D8" w14:textId="77777777" w:rsidR="00C34013" w:rsidRDefault="00000000">
            <w:r>
              <w:rPr>
                <w:sz w:val="18"/>
              </w:rPr>
              <w:t>Best For</w:t>
            </w:r>
          </w:p>
        </w:tc>
        <w:tc>
          <w:tcPr>
            <w:tcW w:w="4703" w:type="dxa"/>
          </w:tcPr>
          <w:p w14:paraId="11070FC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Investors seeking a balance between income and capital appreciation.</w:t>
            </w:r>
          </w:p>
        </w:tc>
      </w:tr>
    </w:tbl>
    <w:p w14:paraId="29EE18BA" w14:textId="77777777" w:rsidR="00C34013" w:rsidRDefault="00C34013"/>
    <w:p w14:paraId="2E377409" w14:textId="77777777" w:rsidR="00C34013" w:rsidRDefault="00000000">
      <w:pPr>
        <w:pStyle w:val="Ttulo2"/>
      </w:pPr>
      <w:r>
        <w:t>Owner Benefits</w:t>
      </w:r>
    </w:p>
    <w:p w14:paraId="206B364B" w14:textId="77777777" w:rsidR="00C34013" w:rsidRDefault="00000000">
      <w:pPr>
        <w:pStyle w:val="Listaconvietas"/>
      </w:pPr>
      <w:r>
        <w:t>14 nights per year of complimentary accommodation</w:t>
      </w:r>
    </w:p>
    <w:p w14:paraId="4C0E977D" w14:textId="77777777" w:rsidR="00C34013" w:rsidRDefault="00000000">
      <w:pPr>
        <w:pStyle w:val="Listaconvietas"/>
      </w:pPr>
      <w:r>
        <w:t>Priority reservation window (30 days before public booking)</w:t>
      </w:r>
    </w:p>
    <w:p w14:paraId="66D671BF" w14:textId="77777777" w:rsidR="00C34013" w:rsidRDefault="00000000">
      <w:pPr>
        <w:pStyle w:val="Listaconvietas"/>
      </w:pPr>
      <w:r>
        <w:t>20% discount on all spa and dining services</w:t>
      </w:r>
    </w:p>
    <w:p w14:paraId="4BD69656" w14:textId="77777777" w:rsidR="00C34013" w:rsidRDefault="00000000">
      <w:pPr>
        <w:pStyle w:val="Listaconvietas"/>
      </w:pPr>
      <w:r>
        <w:t>Ability to transfer unused nights to family members</w:t>
      </w:r>
    </w:p>
    <w:p w14:paraId="025234F1" w14:textId="77777777" w:rsidR="00C34013" w:rsidRDefault="00000000">
      <w:pPr>
        <w:pStyle w:val="Listaconvietas"/>
      </w:pPr>
      <w:r>
        <w:t>Complimentary airport transfer on arrival and departure</w:t>
      </w:r>
    </w:p>
    <w:p w14:paraId="26C5B0E8" w14:textId="77777777" w:rsidR="00C34013" w:rsidRDefault="00000000">
      <w:pPr>
        <w:pStyle w:val="Listaconvietas"/>
      </w:pPr>
      <w:r>
        <w:t>Personal concierge service for booking experiences and restaurant reservations</w:t>
      </w:r>
    </w:p>
    <w:p w14:paraId="09208655" w14:textId="77777777" w:rsidR="00C34013" w:rsidRDefault="00000000">
      <w:r>
        <w:rPr>
          <w:i/>
          <w:sz w:val="20"/>
        </w:rPr>
        <w:t>Restrictions: Nights are non-transferable during peak season (December–January, July–August). A maximum of 4 nights per visit during peak season.</w:t>
      </w:r>
    </w:p>
    <w:p w14:paraId="3FCE3163" w14:textId="77777777" w:rsidR="00C34013" w:rsidRDefault="00000000">
      <w:r>
        <w:br w:type="page"/>
      </w:r>
    </w:p>
    <w:p w14:paraId="644979E1" w14:textId="77777777" w:rsidR="00C34013" w:rsidRDefault="00000000">
      <w:pPr>
        <w:pStyle w:val="Ttulo1"/>
      </w:pPr>
      <w:r>
        <w:lastRenderedPageBreak/>
        <w:t>8. Investment Risks</w:t>
      </w:r>
    </w:p>
    <w:p w14:paraId="71D5A18C" w14:textId="77777777" w:rsidR="00C34013" w:rsidRDefault="00000000">
      <w:r>
        <w:rPr>
          <w:i/>
        </w:rPr>
        <w:t>We disclose risks transparently because we believe it builds trust.</w:t>
      </w:r>
    </w:p>
    <w:tbl>
      <w:tblPr>
        <w:tblStyle w:val="Cuadrculaclara-nfasis1"/>
        <w:tblW w:w="0" w:type="auto"/>
        <w:tblLook w:val="04A0" w:firstRow="1" w:lastRow="0" w:firstColumn="1" w:lastColumn="0" w:noHBand="0" w:noVBand="1"/>
      </w:tblPr>
      <w:tblGrid>
        <w:gridCol w:w="2351"/>
        <w:gridCol w:w="2351"/>
        <w:gridCol w:w="2351"/>
        <w:gridCol w:w="2351"/>
      </w:tblGrid>
      <w:tr w:rsidR="00C34013" w14:paraId="71DCF2BE"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1A1A"/>
          </w:tcPr>
          <w:p w14:paraId="2BA37EE2" w14:textId="77777777" w:rsidR="00C34013" w:rsidRDefault="00000000">
            <w:r>
              <w:rPr>
                <w:color w:val="FFFFFF"/>
                <w:sz w:val="18"/>
              </w:rPr>
              <w:t>Risk</w:t>
            </w:r>
          </w:p>
        </w:tc>
        <w:tc>
          <w:tcPr>
            <w:tcW w:w="2351" w:type="dxa"/>
            <w:shd w:val="clear" w:color="auto" w:fill="1A1A1A"/>
          </w:tcPr>
          <w:p w14:paraId="3A4763DE"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Impact</w:t>
            </w:r>
          </w:p>
        </w:tc>
        <w:tc>
          <w:tcPr>
            <w:tcW w:w="2351" w:type="dxa"/>
            <w:shd w:val="clear" w:color="auto" w:fill="1A1A1A"/>
          </w:tcPr>
          <w:p w14:paraId="5FCF053A"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Probability</w:t>
            </w:r>
          </w:p>
        </w:tc>
        <w:tc>
          <w:tcPr>
            <w:tcW w:w="2351" w:type="dxa"/>
            <w:shd w:val="clear" w:color="auto" w:fill="1A1A1A"/>
          </w:tcPr>
          <w:p w14:paraId="24086A26"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Mitigation</w:t>
            </w:r>
          </w:p>
        </w:tc>
      </w:tr>
      <w:tr w:rsidR="00C34013" w14:paraId="44113F8D"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459530B" w14:textId="77777777" w:rsidR="00C34013" w:rsidRDefault="00000000">
            <w:r>
              <w:rPr>
                <w:sz w:val="18"/>
              </w:rPr>
              <w:t>Construction delays</w:t>
            </w:r>
          </w:p>
        </w:tc>
        <w:tc>
          <w:tcPr>
            <w:tcW w:w="2351" w:type="dxa"/>
          </w:tcPr>
          <w:p w14:paraId="31D395C1"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Medium — pushes break-even by 3–6 months</w:t>
            </w:r>
          </w:p>
        </w:tc>
        <w:tc>
          <w:tcPr>
            <w:tcW w:w="2351" w:type="dxa"/>
          </w:tcPr>
          <w:p w14:paraId="1D24CEE7"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Moderate (30%)</w:t>
            </w:r>
          </w:p>
        </w:tc>
        <w:tc>
          <w:tcPr>
            <w:tcW w:w="2351" w:type="dxa"/>
          </w:tcPr>
          <w:p w14:paraId="282239D4"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Fixed-price construction contract with penalty clauses for delays. Contingency budget of 10%.</w:t>
            </w:r>
          </w:p>
        </w:tc>
      </w:tr>
      <w:tr w:rsidR="00C34013" w14:paraId="1094971C"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BFCD47" w14:textId="77777777" w:rsidR="00C34013" w:rsidRDefault="00000000">
            <w:r>
              <w:rPr>
                <w:sz w:val="18"/>
              </w:rPr>
              <w:t>Cost overruns</w:t>
            </w:r>
          </w:p>
        </w:tc>
        <w:tc>
          <w:tcPr>
            <w:tcW w:w="2351" w:type="dxa"/>
          </w:tcPr>
          <w:p w14:paraId="2D32FA7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Medium — reduces Year 1–2 margins</w:t>
            </w:r>
          </w:p>
        </w:tc>
        <w:tc>
          <w:tcPr>
            <w:tcW w:w="2351" w:type="dxa"/>
          </w:tcPr>
          <w:p w14:paraId="17BF0FEE"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Moderate (25%)</w:t>
            </w:r>
          </w:p>
        </w:tc>
        <w:tc>
          <w:tcPr>
            <w:tcW w:w="2351" w:type="dxa"/>
          </w:tcPr>
          <w:p w14:paraId="17D2E47F"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Detailed construction budget with line-item tracking. Monthly budget reviews with investor.</w:t>
            </w:r>
          </w:p>
        </w:tc>
      </w:tr>
      <w:tr w:rsidR="00C34013" w14:paraId="12045800"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F75BEC7" w14:textId="77777777" w:rsidR="00C34013" w:rsidRDefault="00000000">
            <w:r>
              <w:rPr>
                <w:sz w:val="18"/>
              </w:rPr>
              <w:t>Lower-than-expected occupancy</w:t>
            </w:r>
          </w:p>
        </w:tc>
        <w:tc>
          <w:tcPr>
            <w:tcW w:w="2351" w:type="dxa"/>
          </w:tcPr>
          <w:p w14:paraId="5324953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High — delays break-even and reduces IRR</w:t>
            </w:r>
          </w:p>
        </w:tc>
        <w:tc>
          <w:tcPr>
            <w:tcW w:w="2351" w:type="dxa"/>
          </w:tcPr>
          <w:p w14:paraId="3D7D05F2"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Low-Moderate (20%)</w:t>
            </w:r>
          </w:p>
        </w:tc>
        <w:tc>
          <w:tcPr>
            <w:tcW w:w="2351" w:type="dxa"/>
          </w:tcPr>
          <w:p w14:paraId="0059D9C7"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Pre-opening marketing campaign. Partnership with booking platforms. Flexible pricing strategy.</w:t>
            </w:r>
          </w:p>
        </w:tc>
      </w:tr>
      <w:tr w:rsidR="00C34013" w14:paraId="7225AB32"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BB0AE06" w14:textId="77777777" w:rsidR="00C34013" w:rsidRDefault="00000000">
            <w:r>
              <w:rPr>
                <w:sz w:val="18"/>
              </w:rPr>
              <w:t>Currency fluctuation (COP/USD)</w:t>
            </w:r>
          </w:p>
        </w:tc>
        <w:tc>
          <w:tcPr>
            <w:tcW w:w="2351" w:type="dxa"/>
          </w:tcPr>
          <w:p w14:paraId="541102F6"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Low — all revenue is in USD; most costs are in COP</w:t>
            </w:r>
          </w:p>
        </w:tc>
        <w:tc>
          <w:tcPr>
            <w:tcW w:w="2351" w:type="dxa"/>
          </w:tcPr>
          <w:p w14:paraId="2BAB812B"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Moderate (40%)</w:t>
            </w:r>
          </w:p>
        </w:tc>
        <w:tc>
          <w:tcPr>
            <w:tcW w:w="2351" w:type="dxa"/>
          </w:tcPr>
          <w:p w14:paraId="6D87146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Hedging strategy through forward contracts. Revenue is USD-denominated, providing natural hedge.</w:t>
            </w:r>
          </w:p>
        </w:tc>
      </w:tr>
      <w:tr w:rsidR="00C34013" w14:paraId="730E710E"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A2594FA" w14:textId="77777777" w:rsidR="00C34013" w:rsidRDefault="00000000">
            <w:r>
              <w:rPr>
                <w:sz w:val="18"/>
              </w:rPr>
              <w:t>Regulatory changes</w:t>
            </w:r>
          </w:p>
        </w:tc>
        <w:tc>
          <w:tcPr>
            <w:tcW w:w="2351" w:type="dxa"/>
          </w:tcPr>
          <w:p w14:paraId="7ED0FF60"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Low — hospitality regulations in Colombia are stable</w:t>
            </w:r>
          </w:p>
        </w:tc>
        <w:tc>
          <w:tcPr>
            <w:tcW w:w="2351" w:type="dxa"/>
          </w:tcPr>
          <w:p w14:paraId="32E20DC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Low (10%)</w:t>
            </w:r>
          </w:p>
        </w:tc>
        <w:tc>
          <w:tcPr>
            <w:tcW w:w="2351" w:type="dxa"/>
          </w:tcPr>
          <w:p w14:paraId="253811C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Local legal counsel retained. All permits and licenses being secured before construction.</w:t>
            </w:r>
          </w:p>
        </w:tc>
      </w:tr>
      <w:tr w:rsidR="00C34013" w14:paraId="311F3CA4"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1412A9" w14:textId="77777777" w:rsidR="00C34013" w:rsidRDefault="00000000">
            <w:r>
              <w:rPr>
                <w:sz w:val="18"/>
              </w:rPr>
              <w:t>Climate events</w:t>
            </w:r>
          </w:p>
        </w:tc>
        <w:tc>
          <w:tcPr>
            <w:tcW w:w="2351" w:type="dxa"/>
          </w:tcPr>
          <w:p w14:paraId="791C9883"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Low — property is in a low-risk zone for extreme weather</w:t>
            </w:r>
          </w:p>
        </w:tc>
        <w:tc>
          <w:tcPr>
            <w:tcW w:w="2351" w:type="dxa"/>
          </w:tcPr>
          <w:p w14:paraId="5913BF7E"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Low (15%)</w:t>
            </w:r>
          </w:p>
        </w:tc>
        <w:tc>
          <w:tcPr>
            <w:tcW w:w="2351" w:type="dxa"/>
          </w:tcPr>
          <w:p w14:paraId="65A61FCF"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Property insurance includes natural disaster coverage. Site selected for minimal flood and seismic risk.</w:t>
            </w:r>
          </w:p>
        </w:tc>
      </w:tr>
    </w:tbl>
    <w:p w14:paraId="16661D66" w14:textId="77777777" w:rsidR="00C34013" w:rsidRDefault="00000000">
      <w:r>
        <w:br w:type="page"/>
      </w:r>
    </w:p>
    <w:p w14:paraId="66827FE9" w14:textId="77777777" w:rsidR="00C34013" w:rsidRDefault="00000000">
      <w:pPr>
        <w:pStyle w:val="Ttulo1"/>
      </w:pPr>
      <w:r>
        <w:lastRenderedPageBreak/>
        <w:t>9. Financial Projections</w:t>
      </w:r>
    </w:p>
    <w:p w14:paraId="3771EDC7" w14:textId="77777777" w:rsidR="00C34013" w:rsidRDefault="00000000">
      <w:pPr>
        <w:pStyle w:val="Ttulo2"/>
      </w:pPr>
      <w:r>
        <w:t>Revenue</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C34013" w14:paraId="47DC2C31"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1A1A1A"/>
          </w:tcPr>
          <w:p w14:paraId="28BBC6DB" w14:textId="77777777" w:rsidR="00C34013" w:rsidRDefault="00000000">
            <w:r>
              <w:rPr>
                <w:color w:val="FFFFFF"/>
                <w:sz w:val="18"/>
              </w:rPr>
              <w:t>Year</w:t>
            </w:r>
          </w:p>
        </w:tc>
        <w:tc>
          <w:tcPr>
            <w:tcW w:w="1568" w:type="dxa"/>
            <w:shd w:val="clear" w:color="auto" w:fill="1A1A1A"/>
          </w:tcPr>
          <w:p w14:paraId="46C8980C"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w:t>
            </w:r>
          </w:p>
        </w:tc>
        <w:tc>
          <w:tcPr>
            <w:tcW w:w="1568" w:type="dxa"/>
            <w:shd w:val="clear" w:color="auto" w:fill="1A1A1A"/>
          </w:tcPr>
          <w:p w14:paraId="187DF20F"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EBITDA</w:t>
            </w:r>
          </w:p>
        </w:tc>
        <w:tc>
          <w:tcPr>
            <w:tcW w:w="1568" w:type="dxa"/>
            <w:shd w:val="clear" w:color="auto" w:fill="1A1A1A"/>
          </w:tcPr>
          <w:p w14:paraId="32BBD9EE"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Cash Flow</w:t>
            </w:r>
          </w:p>
        </w:tc>
        <w:tc>
          <w:tcPr>
            <w:tcW w:w="1568" w:type="dxa"/>
            <w:shd w:val="clear" w:color="auto" w:fill="1A1A1A"/>
          </w:tcPr>
          <w:p w14:paraId="6BA446F1"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Dividends</w:t>
            </w:r>
          </w:p>
        </w:tc>
        <w:tc>
          <w:tcPr>
            <w:tcW w:w="1568" w:type="dxa"/>
          </w:tcPr>
          <w:p w14:paraId="18427055" w14:textId="77777777" w:rsidR="00C34013" w:rsidRDefault="00C34013">
            <w:pPr>
              <w:cnfStyle w:val="100000000000" w:firstRow="1" w:lastRow="0" w:firstColumn="0" w:lastColumn="0" w:oddVBand="0" w:evenVBand="0" w:oddHBand="0" w:evenHBand="0" w:firstRowFirstColumn="0" w:firstRowLastColumn="0" w:lastRowFirstColumn="0" w:lastRowLastColumn="0"/>
            </w:pPr>
          </w:p>
        </w:tc>
      </w:tr>
      <w:tr w:rsidR="00C34013" w14:paraId="4127A3B9"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498404C" w14:textId="77777777" w:rsidR="00C34013" w:rsidRDefault="00000000">
            <w:r>
              <w:rPr>
                <w:sz w:val="18"/>
              </w:rPr>
              <w:t>Year 1</w:t>
            </w:r>
          </w:p>
        </w:tc>
        <w:tc>
          <w:tcPr>
            <w:tcW w:w="1568" w:type="dxa"/>
          </w:tcPr>
          <w:p w14:paraId="3FE77E0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180,000</w:t>
            </w:r>
          </w:p>
        </w:tc>
        <w:tc>
          <w:tcPr>
            <w:tcW w:w="1568" w:type="dxa"/>
          </w:tcPr>
          <w:p w14:paraId="2EDB756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-45,000</w:t>
            </w:r>
          </w:p>
        </w:tc>
        <w:tc>
          <w:tcPr>
            <w:tcW w:w="1568" w:type="dxa"/>
          </w:tcPr>
          <w:p w14:paraId="3434424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-120,000</w:t>
            </w:r>
          </w:p>
        </w:tc>
        <w:tc>
          <w:tcPr>
            <w:tcW w:w="1568" w:type="dxa"/>
          </w:tcPr>
          <w:p w14:paraId="53E0087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0</w:t>
            </w:r>
          </w:p>
        </w:tc>
        <w:tc>
          <w:tcPr>
            <w:tcW w:w="1568" w:type="dxa"/>
          </w:tcPr>
          <w:p w14:paraId="54B1B989" w14:textId="77777777" w:rsidR="00C34013" w:rsidRDefault="00C34013">
            <w:pPr>
              <w:cnfStyle w:val="000000100000" w:firstRow="0" w:lastRow="0" w:firstColumn="0" w:lastColumn="0" w:oddVBand="0" w:evenVBand="0" w:oddHBand="1" w:evenHBand="0" w:firstRowFirstColumn="0" w:firstRowLastColumn="0" w:lastRowFirstColumn="0" w:lastRowLastColumn="0"/>
            </w:pPr>
          </w:p>
        </w:tc>
      </w:tr>
      <w:tr w:rsidR="00C34013" w14:paraId="0360E1C0"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8C0B9B7" w14:textId="77777777" w:rsidR="00C34013" w:rsidRDefault="00000000">
            <w:r>
              <w:rPr>
                <w:sz w:val="18"/>
              </w:rPr>
              <w:t>Year 2</w:t>
            </w:r>
          </w:p>
        </w:tc>
        <w:tc>
          <w:tcPr>
            <w:tcW w:w="1568" w:type="dxa"/>
          </w:tcPr>
          <w:p w14:paraId="04A15C3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245,000</w:t>
            </w:r>
          </w:p>
        </w:tc>
        <w:tc>
          <w:tcPr>
            <w:tcW w:w="1568" w:type="dxa"/>
          </w:tcPr>
          <w:p w14:paraId="3D5BE022"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62,000</w:t>
            </w:r>
          </w:p>
        </w:tc>
        <w:tc>
          <w:tcPr>
            <w:tcW w:w="1568" w:type="dxa"/>
          </w:tcPr>
          <w:p w14:paraId="08B241A3"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-28,000</w:t>
            </w:r>
          </w:p>
        </w:tc>
        <w:tc>
          <w:tcPr>
            <w:tcW w:w="1568" w:type="dxa"/>
          </w:tcPr>
          <w:p w14:paraId="398CB00E"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0</w:t>
            </w:r>
          </w:p>
        </w:tc>
        <w:tc>
          <w:tcPr>
            <w:tcW w:w="1568" w:type="dxa"/>
          </w:tcPr>
          <w:p w14:paraId="654AD882" w14:textId="77777777" w:rsidR="00C34013" w:rsidRDefault="00C34013">
            <w:pPr>
              <w:cnfStyle w:val="000000010000" w:firstRow="0" w:lastRow="0" w:firstColumn="0" w:lastColumn="0" w:oddVBand="0" w:evenVBand="0" w:oddHBand="0" w:evenHBand="1" w:firstRowFirstColumn="0" w:firstRowLastColumn="0" w:lastRowFirstColumn="0" w:lastRowLastColumn="0"/>
            </w:pPr>
          </w:p>
        </w:tc>
      </w:tr>
      <w:tr w:rsidR="00C34013" w14:paraId="2E8FAD94"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6C13328" w14:textId="77777777" w:rsidR="00C34013" w:rsidRDefault="00000000">
            <w:r>
              <w:rPr>
                <w:sz w:val="18"/>
              </w:rPr>
              <w:t>Year 3</w:t>
            </w:r>
          </w:p>
        </w:tc>
        <w:tc>
          <w:tcPr>
            <w:tcW w:w="1568" w:type="dxa"/>
          </w:tcPr>
          <w:p w14:paraId="2CD4460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290,000</w:t>
            </w:r>
          </w:p>
        </w:tc>
        <w:tc>
          <w:tcPr>
            <w:tcW w:w="1568" w:type="dxa"/>
          </w:tcPr>
          <w:p w14:paraId="668FFCE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116,000</w:t>
            </w:r>
          </w:p>
        </w:tc>
        <w:tc>
          <w:tcPr>
            <w:tcW w:w="1568" w:type="dxa"/>
          </w:tcPr>
          <w:p w14:paraId="3CE5C26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42,000</w:t>
            </w:r>
          </w:p>
        </w:tc>
        <w:tc>
          <w:tcPr>
            <w:tcW w:w="1568" w:type="dxa"/>
          </w:tcPr>
          <w:p w14:paraId="55606BE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32,000</w:t>
            </w:r>
          </w:p>
        </w:tc>
        <w:tc>
          <w:tcPr>
            <w:tcW w:w="1568" w:type="dxa"/>
          </w:tcPr>
          <w:p w14:paraId="6F190989" w14:textId="77777777" w:rsidR="00C34013" w:rsidRDefault="00C34013">
            <w:pPr>
              <w:cnfStyle w:val="000000100000" w:firstRow="0" w:lastRow="0" w:firstColumn="0" w:lastColumn="0" w:oddVBand="0" w:evenVBand="0" w:oddHBand="1" w:evenHBand="0" w:firstRowFirstColumn="0" w:firstRowLastColumn="0" w:lastRowFirstColumn="0" w:lastRowLastColumn="0"/>
            </w:pPr>
          </w:p>
        </w:tc>
      </w:tr>
      <w:tr w:rsidR="00C34013" w14:paraId="0ED4CE0E"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902D451" w14:textId="77777777" w:rsidR="00C34013" w:rsidRDefault="00000000">
            <w:r>
              <w:rPr>
                <w:sz w:val="18"/>
              </w:rPr>
              <w:t>Year 4</w:t>
            </w:r>
          </w:p>
        </w:tc>
        <w:tc>
          <w:tcPr>
            <w:tcW w:w="1568" w:type="dxa"/>
          </w:tcPr>
          <w:p w14:paraId="5C98013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320,000</w:t>
            </w:r>
          </w:p>
        </w:tc>
        <w:tc>
          <w:tcPr>
            <w:tcW w:w="1568" w:type="dxa"/>
          </w:tcPr>
          <w:p w14:paraId="4E727F81"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148,000</w:t>
            </w:r>
          </w:p>
        </w:tc>
        <w:tc>
          <w:tcPr>
            <w:tcW w:w="1568" w:type="dxa"/>
          </w:tcPr>
          <w:p w14:paraId="1992556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78,000</w:t>
            </w:r>
          </w:p>
        </w:tc>
        <w:tc>
          <w:tcPr>
            <w:tcW w:w="1568" w:type="dxa"/>
          </w:tcPr>
          <w:p w14:paraId="1DE211B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USD 48,000</w:t>
            </w:r>
          </w:p>
        </w:tc>
        <w:tc>
          <w:tcPr>
            <w:tcW w:w="1568" w:type="dxa"/>
          </w:tcPr>
          <w:p w14:paraId="04CEDBD9" w14:textId="77777777" w:rsidR="00C34013" w:rsidRDefault="00C34013">
            <w:pPr>
              <w:cnfStyle w:val="000000010000" w:firstRow="0" w:lastRow="0" w:firstColumn="0" w:lastColumn="0" w:oddVBand="0" w:evenVBand="0" w:oddHBand="0" w:evenHBand="1" w:firstRowFirstColumn="0" w:firstRowLastColumn="0" w:lastRowFirstColumn="0" w:lastRowLastColumn="0"/>
            </w:pPr>
          </w:p>
        </w:tc>
      </w:tr>
      <w:tr w:rsidR="00C34013" w14:paraId="5B2F1CDB"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4F1A7BC" w14:textId="77777777" w:rsidR="00C34013" w:rsidRDefault="00000000">
            <w:r>
              <w:rPr>
                <w:sz w:val="18"/>
              </w:rPr>
              <w:t>Year 5</w:t>
            </w:r>
          </w:p>
        </w:tc>
        <w:tc>
          <w:tcPr>
            <w:tcW w:w="1568" w:type="dxa"/>
          </w:tcPr>
          <w:p w14:paraId="15BC9710"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340,000</w:t>
            </w:r>
          </w:p>
        </w:tc>
        <w:tc>
          <w:tcPr>
            <w:tcW w:w="1568" w:type="dxa"/>
          </w:tcPr>
          <w:p w14:paraId="7EFC0A6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170,000</w:t>
            </w:r>
          </w:p>
        </w:tc>
        <w:tc>
          <w:tcPr>
            <w:tcW w:w="1568" w:type="dxa"/>
          </w:tcPr>
          <w:p w14:paraId="26278668"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95,000</w:t>
            </w:r>
          </w:p>
        </w:tc>
        <w:tc>
          <w:tcPr>
            <w:tcW w:w="1568" w:type="dxa"/>
          </w:tcPr>
          <w:p w14:paraId="555C02C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USD 58,000</w:t>
            </w:r>
          </w:p>
        </w:tc>
        <w:tc>
          <w:tcPr>
            <w:tcW w:w="1568" w:type="dxa"/>
          </w:tcPr>
          <w:p w14:paraId="45E41CBB" w14:textId="77777777" w:rsidR="00C34013" w:rsidRDefault="00C34013">
            <w:pPr>
              <w:cnfStyle w:val="000000100000" w:firstRow="0" w:lastRow="0" w:firstColumn="0" w:lastColumn="0" w:oddVBand="0" w:evenVBand="0" w:oddHBand="1" w:evenHBand="0" w:firstRowFirstColumn="0" w:firstRowLastColumn="0" w:lastRowFirstColumn="0" w:lastRowLastColumn="0"/>
            </w:pPr>
          </w:p>
        </w:tc>
      </w:tr>
    </w:tbl>
    <w:p w14:paraId="3972DF1E" w14:textId="77777777" w:rsidR="00C34013" w:rsidRDefault="00C34013"/>
    <w:p w14:paraId="06E64869" w14:textId="77777777" w:rsidR="00C34013" w:rsidRDefault="00000000">
      <w:pPr>
        <w:pStyle w:val="Ttulo2"/>
      </w:pPr>
      <w:r>
        <w:t>Sensitivity Analysis</w:t>
      </w:r>
    </w:p>
    <w:p w14:paraId="4B7494B3" w14:textId="77777777" w:rsidR="00C34013" w:rsidRDefault="00000000">
      <w:r>
        <w:t>Base case: 55% occupancy, USD 280 ADR → 19.4% IRR</w:t>
      </w:r>
    </w:p>
    <w:tbl>
      <w:tblPr>
        <w:tblStyle w:val="Cuadrculaclara-nfasis1"/>
        <w:tblW w:w="0" w:type="auto"/>
        <w:tblLook w:val="04A0" w:firstRow="1" w:lastRow="0" w:firstColumn="1" w:lastColumn="0" w:noHBand="0" w:noVBand="1"/>
      </w:tblPr>
      <w:tblGrid>
        <w:gridCol w:w="2351"/>
        <w:gridCol w:w="2351"/>
        <w:gridCol w:w="2351"/>
        <w:gridCol w:w="2351"/>
      </w:tblGrid>
      <w:tr w:rsidR="00C34013" w14:paraId="3D22E5DA"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1A1A"/>
          </w:tcPr>
          <w:p w14:paraId="5279657A" w14:textId="77777777" w:rsidR="00C34013" w:rsidRDefault="00000000">
            <w:r>
              <w:rPr>
                <w:color w:val="FFFFFF"/>
                <w:sz w:val="18"/>
              </w:rPr>
              <w:t>Occupancy \ ADR</w:t>
            </w:r>
          </w:p>
        </w:tc>
        <w:tc>
          <w:tcPr>
            <w:tcW w:w="2351" w:type="dxa"/>
            <w:shd w:val="clear" w:color="auto" w:fill="1A1A1A"/>
          </w:tcPr>
          <w:p w14:paraId="1636D9F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USD 240</w:t>
            </w:r>
          </w:p>
        </w:tc>
        <w:tc>
          <w:tcPr>
            <w:tcW w:w="2351" w:type="dxa"/>
            <w:shd w:val="clear" w:color="auto" w:fill="1A1A1A"/>
          </w:tcPr>
          <w:p w14:paraId="515531CC"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USD 280</w:t>
            </w:r>
          </w:p>
        </w:tc>
        <w:tc>
          <w:tcPr>
            <w:tcW w:w="2351" w:type="dxa"/>
            <w:shd w:val="clear" w:color="auto" w:fill="1A1A1A"/>
          </w:tcPr>
          <w:p w14:paraId="4C64411D"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USD 320</w:t>
            </w:r>
          </w:p>
        </w:tc>
      </w:tr>
      <w:tr w:rsidR="00C34013" w14:paraId="203D42B4"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ED8C0BF" w14:textId="77777777" w:rsidR="00C34013" w:rsidRDefault="00000000">
            <w:r>
              <w:rPr>
                <w:sz w:val="18"/>
              </w:rPr>
              <w:t>45%</w:t>
            </w:r>
          </w:p>
        </w:tc>
        <w:tc>
          <w:tcPr>
            <w:tcW w:w="2351" w:type="dxa"/>
          </w:tcPr>
          <w:p w14:paraId="5C675672"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18.2%</w:t>
            </w:r>
          </w:p>
        </w:tc>
        <w:tc>
          <w:tcPr>
            <w:tcW w:w="2351" w:type="dxa"/>
          </w:tcPr>
          <w:p w14:paraId="036C4562"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19.4%</w:t>
            </w:r>
          </w:p>
        </w:tc>
        <w:tc>
          <w:tcPr>
            <w:tcW w:w="2351" w:type="dxa"/>
          </w:tcPr>
          <w:p w14:paraId="6BAE7EA4"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r>
      <w:tr w:rsidR="00C34013" w14:paraId="7D9F4B58"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34C73C" w14:textId="77777777" w:rsidR="00C34013" w:rsidRDefault="00000000">
            <w:r>
              <w:rPr>
                <w:sz w:val="18"/>
              </w:rPr>
              <w:t>55%</w:t>
            </w:r>
          </w:p>
        </w:tc>
        <w:tc>
          <w:tcPr>
            <w:tcW w:w="2351" w:type="dxa"/>
          </w:tcPr>
          <w:p w14:paraId="28CC2C7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16.5%</w:t>
            </w:r>
          </w:p>
        </w:tc>
        <w:tc>
          <w:tcPr>
            <w:tcW w:w="2351" w:type="dxa"/>
          </w:tcPr>
          <w:p w14:paraId="3BD227F2"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17.8%</w:t>
            </w:r>
          </w:p>
        </w:tc>
        <w:tc>
          <w:tcPr>
            <w:tcW w:w="2351" w:type="dxa"/>
          </w:tcPr>
          <w:p w14:paraId="08534589"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19.1%</w:t>
            </w:r>
          </w:p>
        </w:tc>
      </w:tr>
      <w:tr w:rsidR="00C34013" w14:paraId="19734CDC"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31A601C" w14:textId="77777777" w:rsidR="00C34013" w:rsidRDefault="00000000">
            <w:r>
              <w:rPr>
                <w:sz w:val="18"/>
              </w:rPr>
              <w:t>65%</w:t>
            </w:r>
          </w:p>
        </w:tc>
        <w:tc>
          <w:tcPr>
            <w:tcW w:w="2351" w:type="dxa"/>
          </w:tcPr>
          <w:p w14:paraId="05E5F6C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14.1%</w:t>
            </w:r>
          </w:p>
        </w:tc>
        <w:tc>
          <w:tcPr>
            <w:tcW w:w="2351" w:type="dxa"/>
          </w:tcPr>
          <w:p w14:paraId="6239EE2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15.3%</w:t>
            </w:r>
          </w:p>
        </w:tc>
        <w:tc>
          <w:tcPr>
            <w:tcW w:w="2351" w:type="dxa"/>
          </w:tcPr>
          <w:p w14:paraId="6371A27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r>
    </w:tbl>
    <w:p w14:paraId="77585748" w14:textId="77777777" w:rsidR="00C34013" w:rsidRDefault="00000000">
      <w:r>
        <w:br w:type="page"/>
      </w:r>
    </w:p>
    <w:p w14:paraId="13194A50" w14:textId="77777777" w:rsidR="00C34013" w:rsidRDefault="00000000">
      <w:pPr>
        <w:pStyle w:val="Ttulo1"/>
      </w:pPr>
      <w:r>
        <w:lastRenderedPageBreak/>
        <w:t>10. Supporting Documents</w:t>
      </w:r>
    </w:p>
    <w:tbl>
      <w:tblPr>
        <w:tblStyle w:val="Cuadrculaclara-nfasis1"/>
        <w:tblW w:w="0" w:type="auto"/>
        <w:tblLook w:val="04A0" w:firstRow="1" w:lastRow="0" w:firstColumn="1" w:lastColumn="0" w:noHBand="0" w:noVBand="1"/>
      </w:tblPr>
      <w:tblGrid>
        <w:gridCol w:w="2351"/>
        <w:gridCol w:w="2351"/>
        <w:gridCol w:w="2351"/>
        <w:gridCol w:w="2351"/>
      </w:tblGrid>
      <w:tr w:rsidR="00C34013" w14:paraId="67E6908F"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1A1A"/>
          </w:tcPr>
          <w:p w14:paraId="4C449AEE" w14:textId="77777777" w:rsidR="00C34013" w:rsidRDefault="00000000">
            <w:r>
              <w:rPr>
                <w:color w:val="FFFFFF"/>
                <w:sz w:val="18"/>
              </w:rPr>
              <w:t>Document</w:t>
            </w:r>
          </w:p>
        </w:tc>
        <w:tc>
          <w:tcPr>
            <w:tcW w:w="2351" w:type="dxa"/>
            <w:shd w:val="clear" w:color="auto" w:fill="1A1A1A"/>
          </w:tcPr>
          <w:p w14:paraId="7EF87B51"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c>
          <w:tcPr>
            <w:tcW w:w="2351" w:type="dxa"/>
            <w:shd w:val="clear" w:color="auto" w:fill="1A1A1A"/>
          </w:tcPr>
          <w:p w14:paraId="1D9FD0FB"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Date</w:t>
            </w:r>
          </w:p>
        </w:tc>
        <w:tc>
          <w:tcPr>
            <w:tcW w:w="2351" w:type="dxa"/>
            <w:shd w:val="clear" w:color="auto" w:fill="1A1A1A"/>
          </w:tcPr>
          <w:p w14:paraId="1720FF15"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Version</w:t>
            </w:r>
          </w:p>
        </w:tc>
      </w:tr>
      <w:tr w:rsidR="00C34013" w14:paraId="3B480776"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344A62D" w14:textId="77777777" w:rsidR="00C34013" w:rsidRDefault="00000000">
            <w:r>
              <w:rPr>
                <w:sz w:val="18"/>
              </w:rPr>
              <w:t>Executive Summary</w:t>
            </w:r>
          </w:p>
        </w:tc>
        <w:tc>
          <w:tcPr>
            <w:tcW w:w="2351" w:type="dxa"/>
          </w:tcPr>
          <w:p w14:paraId="4BA7D939"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Complete</w:t>
            </w:r>
          </w:p>
        </w:tc>
        <w:tc>
          <w:tcPr>
            <w:tcW w:w="2351" w:type="dxa"/>
          </w:tcPr>
          <w:p w14:paraId="0145477D"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2026-07-15</w:t>
            </w:r>
          </w:p>
        </w:tc>
        <w:tc>
          <w:tcPr>
            <w:tcW w:w="2351" w:type="dxa"/>
          </w:tcPr>
          <w:p w14:paraId="59D4297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v2.1</w:t>
            </w:r>
          </w:p>
        </w:tc>
      </w:tr>
      <w:tr w:rsidR="00C34013" w14:paraId="02E754EB"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5530C83" w14:textId="77777777" w:rsidR="00C34013" w:rsidRDefault="00000000">
            <w:r>
              <w:rPr>
                <w:sz w:val="18"/>
              </w:rPr>
              <w:t>Investment Memorandum</w:t>
            </w:r>
          </w:p>
        </w:tc>
        <w:tc>
          <w:tcPr>
            <w:tcW w:w="2351" w:type="dxa"/>
          </w:tcPr>
          <w:p w14:paraId="6E13E4D7"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Complete</w:t>
            </w:r>
          </w:p>
        </w:tc>
        <w:tc>
          <w:tcPr>
            <w:tcW w:w="2351" w:type="dxa"/>
          </w:tcPr>
          <w:p w14:paraId="0C3EF17D"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2026-07-10</w:t>
            </w:r>
          </w:p>
        </w:tc>
        <w:tc>
          <w:tcPr>
            <w:tcW w:w="2351" w:type="dxa"/>
          </w:tcPr>
          <w:p w14:paraId="65C2F2BE"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v3.0</w:t>
            </w:r>
          </w:p>
        </w:tc>
      </w:tr>
      <w:tr w:rsidR="00C34013" w14:paraId="4E48E4E5"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FB17271" w14:textId="77777777" w:rsidR="00C34013" w:rsidRDefault="00000000">
            <w:r>
              <w:rPr>
                <w:sz w:val="18"/>
              </w:rPr>
              <w:t>Construction Budget</w:t>
            </w:r>
          </w:p>
        </w:tc>
        <w:tc>
          <w:tcPr>
            <w:tcW w:w="2351" w:type="dxa"/>
          </w:tcPr>
          <w:p w14:paraId="5580464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Complete</w:t>
            </w:r>
          </w:p>
        </w:tc>
        <w:tc>
          <w:tcPr>
            <w:tcW w:w="2351" w:type="dxa"/>
          </w:tcPr>
          <w:p w14:paraId="3515BC1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2026-06-28</w:t>
            </w:r>
          </w:p>
        </w:tc>
        <w:tc>
          <w:tcPr>
            <w:tcW w:w="2351" w:type="dxa"/>
          </w:tcPr>
          <w:p w14:paraId="1DDD4FBE"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v1.4</w:t>
            </w:r>
          </w:p>
        </w:tc>
      </w:tr>
      <w:tr w:rsidR="00C34013" w14:paraId="20B7AFD8"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D81F9DC" w14:textId="77777777" w:rsidR="00C34013" w:rsidRDefault="00000000">
            <w:r>
              <w:rPr>
                <w:sz w:val="18"/>
              </w:rPr>
              <w:t>Legal Due Diligence</w:t>
            </w:r>
          </w:p>
        </w:tc>
        <w:tc>
          <w:tcPr>
            <w:tcW w:w="2351" w:type="dxa"/>
          </w:tcPr>
          <w:p w14:paraId="5E5B5080"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Complete</w:t>
            </w:r>
          </w:p>
        </w:tc>
        <w:tc>
          <w:tcPr>
            <w:tcW w:w="2351" w:type="dxa"/>
          </w:tcPr>
          <w:p w14:paraId="702C27B2"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2026-07-01</w:t>
            </w:r>
          </w:p>
        </w:tc>
        <w:tc>
          <w:tcPr>
            <w:tcW w:w="2351" w:type="dxa"/>
          </w:tcPr>
          <w:p w14:paraId="68FBD8C3"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v2.0</w:t>
            </w:r>
          </w:p>
        </w:tc>
      </w:tr>
      <w:tr w:rsidR="00C34013" w14:paraId="2784C1B0"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1E1C6BD" w14:textId="77777777" w:rsidR="00C34013" w:rsidRDefault="00000000">
            <w:r>
              <w:rPr>
                <w:sz w:val="18"/>
              </w:rPr>
              <w:t>Environmental Assessment</w:t>
            </w:r>
          </w:p>
        </w:tc>
        <w:tc>
          <w:tcPr>
            <w:tcW w:w="2351" w:type="dxa"/>
          </w:tcPr>
          <w:p w14:paraId="0D920F4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Complete</w:t>
            </w:r>
          </w:p>
        </w:tc>
        <w:tc>
          <w:tcPr>
            <w:tcW w:w="2351" w:type="dxa"/>
          </w:tcPr>
          <w:p w14:paraId="37604592"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2026-06-15</w:t>
            </w:r>
          </w:p>
        </w:tc>
        <w:tc>
          <w:tcPr>
            <w:tcW w:w="2351" w:type="dxa"/>
          </w:tcPr>
          <w:p w14:paraId="0359CFC7"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v1.2</w:t>
            </w:r>
          </w:p>
        </w:tc>
      </w:tr>
      <w:tr w:rsidR="00C34013" w14:paraId="2D5AC940"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B073FDA" w14:textId="77777777" w:rsidR="00C34013" w:rsidRDefault="00000000">
            <w:r>
              <w:rPr>
                <w:sz w:val="18"/>
              </w:rPr>
              <w:t>Corporate Structure</w:t>
            </w:r>
          </w:p>
        </w:tc>
        <w:tc>
          <w:tcPr>
            <w:tcW w:w="2351" w:type="dxa"/>
          </w:tcPr>
          <w:p w14:paraId="5029498A"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Complete</w:t>
            </w:r>
          </w:p>
        </w:tc>
        <w:tc>
          <w:tcPr>
            <w:tcW w:w="2351" w:type="dxa"/>
          </w:tcPr>
          <w:p w14:paraId="5AF70793"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2026-07-12</w:t>
            </w:r>
          </w:p>
        </w:tc>
        <w:tc>
          <w:tcPr>
            <w:tcW w:w="2351" w:type="dxa"/>
          </w:tcPr>
          <w:p w14:paraId="51EA8771"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v1.0</w:t>
            </w:r>
          </w:p>
        </w:tc>
      </w:tr>
      <w:tr w:rsidR="00C34013" w14:paraId="4E4C725E"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EE775DE" w14:textId="77777777" w:rsidR="00C34013" w:rsidRDefault="00000000">
            <w:r>
              <w:rPr>
                <w:sz w:val="18"/>
              </w:rPr>
              <w:t>Hospitality Plan</w:t>
            </w:r>
          </w:p>
        </w:tc>
        <w:tc>
          <w:tcPr>
            <w:tcW w:w="2351" w:type="dxa"/>
          </w:tcPr>
          <w:p w14:paraId="60A1826A"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In Review</w:t>
            </w:r>
          </w:p>
        </w:tc>
        <w:tc>
          <w:tcPr>
            <w:tcW w:w="2351" w:type="dxa"/>
          </w:tcPr>
          <w:p w14:paraId="2F15024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2026-07-20</w:t>
            </w:r>
          </w:p>
        </w:tc>
        <w:tc>
          <w:tcPr>
            <w:tcW w:w="2351" w:type="dxa"/>
          </w:tcPr>
          <w:p w14:paraId="54049171"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v0.9</w:t>
            </w:r>
          </w:p>
        </w:tc>
      </w:tr>
    </w:tbl>
    <w:p w14:paraId="65CC6394" w14:textId="77777777" w:rsidR="00C34013" w:rsidRDefault="00C34013"/>
    <w:p w14:paraId="6D150007" w14:textId="77777777" w:rsidR="00C34013" w:rsidRDefault="00000000">
      <w:pPr>
        <w:pStyle w:val="Ttulo1"/>
      </w:pPr>
      <w:r>
        <w:t>11. Project Timeline</w:t>
      </w:r>
    </w:p>
    <w:tbl>
      <w:tblPr>
        <w:tblStyle w:val="Cuadrculaclara-nfasis1"/>
        <w:tblW w:w="0" w:type="auto"/>
        <w:tblLook w:val="04A0" w:firstRow="1" w:lastRow="0" w:firstColumn="1" w:lastColumn="0" w:noHBand="0" w:noVBand="1"/>
      </w:tblPr>
      <w:tblGrid>
        <w:gridCol w:w="3135"/>
        <w:gridCol w:w="3135"/>
        <w:gridCol w:w="3135"/>
      </w:tblGrid>
      <w:tr w:rsidR="00C34013" w14:paraId="35FEEE25" w14:textId="77777777" w:rsidTr="00C34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1A1A1A"/>
          </w:tcPr>
          <w:p w14:paraId="59AEEF86" w14:textId="77777777" w:rsidR="00C34013" w:rsidRDefault="00000000">
            <w:r>
              <w:rPr>
                <w:color w:val="FFFFFF"/>
                <w:sz w:val="18"/>
              </w:rPr>
              <w:t>Phase</w:t>
            </w:r>
          </w:p>
        </w:tc>
        <w:tc>
          <w:tcPr>
            <w:tcW w:w="3135" w:type="dxa"/>
            <w:shd w:val="clear" w:color="auto" w:fill="1A1A1A"/>
          </w:tcPr>
          <w:p w14:paraId="2727BF93"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Date</w:t>
            </w:r>
          </w:p>
        </w:tc>
        <w:tc>
          <w:tcPr>
            <w:tcW w:w="3135" w:type="dxa"/>
            <w:shd w:val="clear" w:color="auto" w:fill="1A1A1A"/>
          </w:tcPr>
          <w:p w14:paraId="3AED205A" w14:textId="77777777" w:rsidR="00C34013"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C34013" w14:paraId="51EE7A3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02C5EE" w14:textId="77777777" w:rsidR="00C34013" w:rsidRDefault="00000000">
            <w:r>
              <w:rPr>
                <w:sz w:val="18"/>
              </w:rPr>
              <w:t>Acquisition</w:t>
            </w:r>
          </w:p>
        </w:tc>
        <w:tc>
          <w:tcPr>
            <w:tcW w:w="3135" w:type="dxa"/>
          </w:tcPr>
          <w:p w14:paraId="556FEFAF"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Q3 2026</w:t>
            </w:r>
          </w:p>
        </w:tc>
        <w:tc>
          <w:tcPr>
            <w:tcW w:w="3135" w:type="dxa"/>
          </w:tcPr>
          <w:p w14:paraId="424AFD91"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Complete</w:t>
            </w:r>
          </w:p>
        </w:tc>
      </w:tr>
      <w:tr w:rsidR="00C34013" w14:paraId="2763DF3B"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D38851" w14:textId="77777777" w:rsidR="00C34013" w:rsidRDefault="00000000">
            <w:r>
              <w:rPr>
                <w:sz w:val="18"/>
              </w:rPr>
              <w:t>Design &amp; Permits</w:t>
            </w:r>
          </w:p>
        </w:tc>
        <w:tc>
          <w:tcPr>
            <w:tcW w:w="3135" w:type="dxa"/>
          </w:tcPr>
          <w:p w14:paraId="02215A5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Q4 2026 – Q1 2027</w:t>
            </w:r>
          </w:p>
        </w:tc>
        <w:tc>
          <w:tcPr>
            <w:tcW w:w="3135" w:type="dxa"/>
          </w:tcPr>
          <w:p w14:paraId="54930641"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In Progress</w:t>
            </w:r>
          </w:p>
        </w:tc>
      </w:tr>
      <w:tr w:rsidR="00C34013" w14:paraId="125FC396"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77AF54" w14:textId="77777777" w:rsidR="00C34013" w:rsidRDefault="00000000">
            <w:r>
              <w:rPr>
                <w:sz w:val="18"/>
              </w:rPr>
              <w:t>Construction</w:t>
            </w:r>
          </w:p>
        </w:tc>
        <w:tc>
          <w:tcPr>
            <w:tcW w:w="3135" w:type="dxa"/>
          </w:tcPr>
          <w:p w14:paraId="338DFBA3"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Q2 2027 – Q4 2027</w:t>
            </w:r>
          </w:p>
        </w:tc>
        <w:tc>
          <w:tcPr>
            <w:tcW w:w="3135" w:type="dxa"/>
          </w:tcPr>
          <w:p w14:paraId="68FB790C"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C34013" w14:paraId="5458FC39"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DF1F7D" w14:textId="77777777" w:rsidR="00C34013" w:rsidRDefault="00000000">
            <w:r>
              <w:rPr>
                <w:sz w:val="18"/>
              </w:rPr>
              <w:t>Fit-Out &amp; FF&amp;E</w:t>
            </w:r>
          </w:p>
        </w:tc>
        <w:tc>
          <w:tcPr>
            <w:tcW w:w="3135" w:type="dxa"/>
          </w:tcPr>
          <w:p w14:paraId="50C801F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Q1 2028</w:t>
            </w:r>
          </w:p>
        </w:tc>
        <w:tc>
          <w:tcPr>
            <w:tcW w:w="3135" w:type="dxa"/>
          </w:tcPr>
          <w:p w14:paraId="2400F8E4"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C34013" w14:paraId="14713C88" w14:textId="77777777" w:rsidTr="00C34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D0F5CA" w14:textId="77777777" w:rsidR="00C34013" w:rsidRDefault="00000000">
            <w:r>
              <w:rPr>
                <w:sz w:val="18"/>
              </w:rPr>
              <w:t>Soft Opening</w:t>
            </w:r>
          </w:p>
        </w:tc>
        <w:tc>
          <w:tcPr>
            <w:tcW w:w="3135" w:type="dxa"/>
          </w:tcPr>
          <w:p w14:paraId="0F72337B"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Q2 2028</w:t>
            </w:r>
          </w:p>
        </w:tc>
        <w:tc>
          <w:tcPr>
            <w:tcW w:w="3135" w:type="dxa"/>
          </w:tcPr>
          <w:p w14:paraId="2B2DBB25" w14:textId="77777777" w:rsidR="00C34013"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C34013" w14:paraId="21986582" w14:textId="77777777" w:rsidTr="00C34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2BE8D3" w14:textId="77777777" w:rsidR="00C34013" w:rsidRDefault="00000000">
            <w:r>
              <w:rPr>
                <w:sz w:val="18"/>
              </w:rPr>
              <w:t>Grand Opening</w:t>
            </w:r>
          </w:p>
        </w:tc>
        <w:tc>
          <w:tcPr>
            <w:tcW w:w="3135" w:type="dxa"/>
          </w:tcPr>
          <w:p w14:paraId="4A8FC211"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Q3 2028</w:t>
            </w:r>
          </w:p>
        </w:tc>
        <w:tc>
          <w:tcPr>
            <w:tcW w:w="3135" w:type="dxa"/>
          </w:tcPr>
          <w:p w14:paraId="0814D0BC" w14:textId="77777777" w:rsidR="00C34013"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bl>
    <w:p w14:paraId="6E7B0251" w14:textId="77777777" w:rsidR="00C34013" w:rsidRDefault="00C34013"/>
    <w:p w14:paraId="0014D251" w14:textId="77777777" w:rsidR="00C34013" w:rsidRDefault="00000000">
      <w:pPr>
        <w:pStyle w:val="Ttulo1"/>
      </w:pPr>
      <w:r>
        <w:t>12. Next Steps</w:t>
      </w:r>
    </w:p>
    <w:p w14:paraId="1B52A953" w14:textId="77777777" w:rsidR="009C06F7" w:rsidRPr="009C06F7" w:rsidRDefault="00000000" w:rsidP="009C06F7">
      <w:pPr>
        <w:rPr>
          <w:lang w:val="es-CO"/>
        </w:rPr>
      </w:pPr>
      <w:r>
        <w:t>We would welcome the opportunity to walk through this data room together. Please let us know your availability for a 45-minute call or in-person meeting.</w:t>
      </w:r>
      <w:r w:rsidR="009C06F7">
        <w:br/>
      </w:r>
      <w:r w:rsidR="009C06F7">
        <w:br/>
      </w:r>
      <w:r w:rsidR="009C06F7">
        <w:br/>
      </w:r>
      <w:r w:rsidR="009C06F7" w:rsidRPr="009C06F7">
        <w:rPr>
          <w:lang w:val="es-CO"/>
        </w:rPr>
        <w:t>1. El equipo de La Nuit lo conforma un administrador comercial , un cheff profesional, un ayudante de cocina y aceo y un operador de reparaciones fisicas y zonas exteriores</w:t>
      </w:r>
    </w:p>
    <w:p w14:paraId="4D36A1F4" w14:textId="77777777" w:rsidR="009C06F7" w:rsidRPr="009C06F7" w:rsidRDefault="009C06F7" w:rsidP="009C06F7">
      <w:pPr>
        <w:rPr>
          <w:lang w:val="es-CO"/>
        </w:rPr>
      </w:pPr>
      <w:r w:rsidRPr="009C06F7">
        <w:rPr>
          <w:lang w:val="es-CO"/>
        </w:rPr>
        <w:t>2- aca hay que buscar 8 propiedades cerca a la nuit que cuesten 357 usd la noche</w:t>
      </w:r>
    </w:p>
    <w:p w14:paraId="43EFEE73" w14:textId="77777777" w:rsidR="009C06F7" w:rsidRPr="009C06F7" w:rsidRDefault="009C06F7" w:rsidP="009C06F7">
      <w:pPr>
        <w:rPr>
          <w:lang w:val="es-CO"/>
        </w:rPr>
      </w:pPr>
      <w:r w:rsidRPr="009C06F7">
        <w:rPr>
          <w:lang w:val="es-CO"/>
        </w:rPr>
        <w:t xml:space="preserve">3.Bajo el modelo de empresa operadora (también conocido como modelo OpCo-PropCo), la estructura de propiedad funciona mediante la separación legal y funcional de los activos físicos y la operación del negocio.A continuación se detalla cómo se divide y conecta esta estructura:La División de la PropiedadEl modelo divide la empresa original en dos entidades jurídicas independientes:PropCo (Property Company / Compañía de Propiedades): Es la dueña absoluta de todos los activos reales e inmobiliarios (edificios, terrenos, infraestructura pesada o licencias clave). Su único propósito es gestionar y proteger el patrimonio.OpCo (Operating Company / Compañía Operadora): Es la dueña del negocio operativo daily-to-day (marca, empleados, inventario, relaciones con clientes). No posee los inmuebles donde opera.El Vínculo ContractualLa relación entre ambas empresas se formaliza mediante un contrato de arrendamiento a largo plazo:Pago de renta: OpCo paga un alquiler regular a PropCo por el uso de las instalaciones.Garantía de ingresos: PropCo asegura un flujo de caja constante y predecible a través de estas rentas.Costos operativos: El contrato suele estructurarse como un arrendamiento neto (triple neto), donde OpCo asume los gastos de mantenimiento, seguros e impuestos del inmueble.Estructura de </w:t>
      </w:r>
      <w:r w:rsidRPr="009C06F7">
        <w:rPr>
          <w:lang w:val="es-CO"/>
        </w:rPr>
        <w:lastRenderedPageBreak/>
        <w:t xml:space="preserve">Capital y SociosA nivel de accionistas, la propiedad puede organizarse de dos formas:Mismos dueños (Holding): Una sociedad matriz (Holding) es dueña del 100% de las acciones tanto de OpCo como de PropCo. La separación es puramente para mitigar riesgos.Socios diferentes: Se da entrada a inversores inmobiliarios en PropCo (que buscan rendimientos estables y bajo riesgo) y a inversores de capital de riesgo o socios operativos en OpCo (que buscan alto crecimiento y asumen más riesgo).Beneficios de esta EstructuraProtección de activos: Si OpCo se declara en quiebra o enfrenta una demanda, los activos valiosos están blindados dentro de PropCo.Eficiencia de capital: OpCo puede expandirse rápidamente porque no necesita destinar dinero a comprar costosos bienes raíces.Optimización fiscal: Permite separar los flujos de depreciación de inmuebles de las utilidades operativas cotidianas. </w:t>
      </w:r>
    </w:p>
    <w:p w14:paraId="669B7F53" w14:textId="77777777" w:rsidR="009C06F7" w:rsidRPr="009C06F7" w:rsidRDefault="009C06F7" w:rsidP="009C06F7">
      <w:pPr>
        <w:rPr>
          <w:lang w:val="es-CO"/>
        </w:rPr>
      </w:pPr>
      <w:r w:rsidRPr="009C06F7">
        <w:rPr>
          <w:lang w:val="es-CO"/>
        </w:rPr>
        <w:t>1. Titularidad Legal (¿Quién es dueño de qué?)El inversor extranjero (PropCo): Ostenta la titularidad legal absoluta de la infraestructura y la tierra (bienes raíces, inmuebles, licencias de edificación y activos físicos pesados).Ustedes (OpCo): Ostentan la titularidad legal de la operación, el negocio en marcha y los intangibles (marca, contratos con clientes, nómina de empleados, licencias de funcionamiento comercial, software y el flujo de caja operativo).2. Derechos del Inversor Extranjero (PropCo)Al ser el dueño de la tierra/infraestructura pero no del negocio, sus derechos están limitados a su rol de "arrendador patrimonial":Derechos EconómicosCobro de renta prioritaria: Derecho a percibir un alquiler mensual fijo (o variable indexado a la inflación) por el uso del inmueble. Este pago se cobra antes de que ustedes calculen las utilidades netas de OpCo.Plusvalía del activo: Derecho total sobre el aumento de valor comercial que gane el terreno o edificio con el paso de los años.Garantías reales: Derecho a hipotecar o usar su propiedad como colateral para financiamientos propios, sin afectar la operación diaria de ustedes.Derechos de Control y PropiedadPropiedad al finalizar el contrato: Si el contrato de arrendamiento (usualmente a 10, 15 o 20 años) termina y no se renueva, el inversor recupera el control físico total del inmueble con las mejoras adheridas a él.Auditoría de mantenimiento: Derecho a inspeccionar periódicamente que ustedes (OpCo) estén manteniendo el inmueble en perfectas condiciones, según los estándares acordados.Derecho de rescisión: Derecho a desalojar a OpCo y recuperar el inmueble si ustedes incumplen con el pago de la renta o dañan la propiedad.3. Lo que el inversor NO puede hacer (Derechos que corresponden a OpCo)Es vital que dejen claro en los contratos que, al ser PropCo, el inversor extranjero no tiene derecho a:Interferir en las decisiones operativas diarias del negocio (contrataciones, precios, marketing).Reclamar las utilidades operativas directas de OpCo (su ganancia es la renta, no el margen del negocio).Apropiarse de la base de datos de los clientes o de la marca comercial si decide terminar el contrato de alquiler. (HMA - Hotel Management Agreement) combinado con una participación accionaria por industria (trabajo).Así funcionaría concretamente esta relación bajo las leyes de Colombia:</w:t>
      </w:r>
      <w:r w:rsidRPr="009C06F7">
        <w:rPr>
          <w:rFonts w:ascii="Segoe UI Emoji" w:hAnsi="Segoe UI Emoji" w:cs="Segoe UI Emoji"/>
          <w:lang w:val="es-CO"/>
        </w:rPr>
        <w:t>🏦</w:t>
      </w:r>
      <w:r w:rsidRPr="009C06F7">
        <w:rPr>
          <w:lang w:val="es-CO"/>
        </w:rPr>
        <w:t xml:space="preserve"> La Estructura de Sociedades (El Blindaje)El vendedor actual les entregará una o dos empresas. Lo ideal es que con el inversor organicen el esquema en dos sociedades S.A.S. distintas:PropCo S.A.S. (100% del Inversor): Esta empresa compra la finca y los ecolodges. El inversor extranjero es el único dueño. Esto le da total tranquilidad a él, ya que su dinero está respaldado por la tierra y los activos fijos en Colombia.OpCo S.A.S. (La Operadora Co-propiedad): Esta empresa recibe los contratos de los empleados, el Registro Nacional de Turismo (RNT), las licencias ambientales, la marca y la cuenta bancaria donde entran las reservas de los huéspedes. Aquí es donde entran ustedes como socios.</w:t>
      </w:r>
      <w:r w:rsidRPr="009C06F7">
        <w:rPr>
          <w:rFonts w:ascii="Segoe UI Emoji" w:hAnsi="Segoe UI Emoji" w:cs="Segoe UI Emoji"/>
          <w:lang w:val="es-CO"/>
        </w:rPr>
        <w:t>🤝</w:t>
      </w:r>
      <w:r w:rsidRPr="009C06F7">
        <w:rPr>
          <w:lang w:val="es-CO"/>
        </w:rPr>
        <w:t xml:space="preserve"> ¿Cómo se vinculan ustedes con él? (Las 2 Vías de Ganancia)Para que el negocio sea atractivo y justo para ustedes que pondrán el pecho, el equipo y la operación en Colombia, deben </w:t>
      </w:r>
      <w:r w:rsidRPr="009C06F7">
        <w:rPr>
          <w:lang w:val="es-CO"/>
        </w:rPr>
        <w:lastRenderedPageBreak/>
        <w:t>estructurar la relación bajo dos figuras simultáneas:1. El Contrato de Operación Hotelera (HMA)OpCo (donde están ustedes) firma un contrato a largo plazo (ej. 10 o 15 años) para administrar el hotel de PropCo (del inversor). Bajo este contrato internacional estándar, ustedes le cobran a la operación del hotel dos tipos de honorarios (Fees):Base Fee (Honorario Base): Un porcentaje fijo (usualmente entre el 2% y el 4% de los ingresos brutos totales del hotel). Esto garantiza que ustedes tengan ingresos mensuales para cubrir la gestión de la operación desde el primer día, sin importar si el hotel dejó utilidades netas o no.Incentive Fee (Honorario de Éxito): Un porcentaje (usualmente entre el 10% y el 15% de la Utilidad Operativa Neta). Esto alinea sus intereses con los del inversor: mientas más rentable hagan el hotel, más ganan ustedes.2. Participación Accionaria en OpCo (Socios de la operación)Como el inversor no tiene equipo en Colombia, ustedes no deben ser solo prestadores de servicios; deben exigir un porcentaje de acciones en OpCo S.A.S. mediante la figura de "Aporte de Industria" (aportar su trabajo, conocimiento y gestión a cambio de acciones).Esquema sugerido: El inversor se queda con el 100% de la tierra (PropCo), pero en la operadora (OpCo) ustedes negocian tener, por ejemplo, el 30% o 40% de las acciones por concepto de estructuración y operación, y el inversor se queda con el resto por haber financiado el capital de trabajo inicial.Beneficio: Al final del año, cuando el hotel pague sus gastos y el arriendo a PropCo, la utilidad restante de la operación se reparte en dividendos según estos porcentajes.</w:t>
      </w:r>
      <w:r w:rsidRPr="009C06F7">
        <w:rPr>
          <w:rFonts w:ascii="Segoe UI Emoji" w:hAnsi="Segoe UI Emoji" w:cs="Segoe UI Emoji"/>
          <w:lang w:val="es-CO"/>
        </w:rPr>
        <w:t>📑</w:t>
      </w:r>
      <w:r w:rsidRPr="009C06F7">
        <w:rPr>
          <w:lang w:val="es-CO"/>
        </w:rPr>
        <w:t xml:space="preserve"> Derechos y Obligaciones: Quién hace quéAl firmar esta alianza, los roles quedan divididos con total claridad:Los Derechos del Inversor (PropCo): Recibe las utilidades inmobiliarias (un derecho de arrendamiento que le paga OpCo) y los dividendos que le correspondan como socio mayoritario de OpCo. Tiene derecho a exigir presupuestos anuales y auditorías, pero no puede saltarse a ustedes para dar órdenes directas a los empleados del hotel.Los Derechos de Ustedes (OpCo): Tienen la autonomía operativa total. Ustedes contratan al personal, definen las tarifas de lujo, eligen los proveedores, manejan el marketing y operan el Ecolodge bajo sus estándares de calidad.</w:t>
      </w:r>
      <w:r w:rsidRPr="009C06F7">
        <w:rPr>
          <w:rFonts w:ascii="Segoe UI Emoji" w:hAnsi="Segoe UI Emoji" w:cs="Segoe UI Emoji"/>
          <w:lang w:val="es-CO"/>
        </w:rPr>
        <w:t>⚠️</w:t>
      </w:r>
      <w:r w:rsidRPr="009C06F7">
        <w:rPr>
          <w:lang w:val="es-CO"/>
        </w:rPr>
        <w:t xml:space="preserve"> Recomendación crítica para la negociación en ColombiaCuando se sienten a negociar el acuerdo de intenciones (Term Sheet), dejen claro que ustedes necesitan control de gestión en los estatutos de OpCo S.A.S.En Colombia, las S.A.S. permiten crear "votos múltiples" o mayorías calificadas. Aunque él tenga más acciones en OpCo por poner el dinero operativo inicial, dejen por escrito que las decisiones hoteleras del día a día (cambio de tarifas, menú, contratación de personal del hotel) requieren la firma o aprobación obligatoria de ustedes. Esto evita que el inversor intente co-administrar el hotel a la distancia desde su país sin conocer el mercado colombiano.</w:t>
      </w:r>
    </w:p>
    <w:p w14:paraId="76709347" w14:textId="77777777" w:rsidR="009C06F7" w:rsidRPr="009C06F7" w:rsidRDefault="009C06F7" w:rsidP="009C06F7">
      <w:pPr>
        <w:rPr>
          <w:lang w:val="es-CO"/>
        </w:rPr>
      </w:pPr>
      <w:r w:rsidRPr="009C06F7">
        <w:rPr>
          <w:rFonts w:ascii="Segoe UI Emoji" w:hAnsi="Segoe UI Emoji" w:cs="Segoe UI Emoji"/>
          <w:lang w:val="es-CO"/>
        </w:rPr>
        <w:t>🚪</w:t>
      </w:r>
      <w:r w:rsidRPr="009C06F7">
        <w:rPr>
          <w:lang w:val="es-CO"/>
        </w:rPr>
        <w:t xml:space="preserve"> 1. ¿Cómo funciona la "Salida" (Exit) del Inversor Mayoritario?Cuando un inversor de este tipo habla de "salida", generalmente no se refiere a cerrar el hotel, sino a vender sus acciones o sus activos a un fondo de inversión más grande o a otro inversor institucional una vez que el ecolodge esté consolidado, facturando y posicionado como marca de lujo.En el modelo OpCo-PropCo, su salida se puede estructurar de tres formas en los contratos para protegerlos a ustedes:Venta Total con Obligación de Permanencia (La más común): El inversor vende el 100% de PropCo (la finca y los ecolodges) y su mayoría en OpCo a un tercero. Sin embargo, en el Contrato de Operación Hotelera (HMA) se estipula una cláusula de "Derecho de Permanencia". Esto significa que el nuevo comprador está obligado por ley a mantener a ustedes como los operadores exclusivos del hotel por el tiempo que falte del contrato (ej. 10 años). El inversor extranjero hace su Exit con ganancias, y ustedes siguen operando con el nuevo dueño.Venta exclusiva de PropCo (Salida Inmobiliaria): El inversor vende la tierra y los ecolodges a un fondo de rentas </w:t>
      </w:r>
      <w:r w:rsidRPr="009C06F7">
        <w:rPr>
          <w:lang w:val="es-CO"/>
        </w:rPr>
        <w:lastRenderedPageBreak/>
        <w:t>inmobiliarias. El comprador solo busca cobrar un arriendo seguro. Ustedes se quedan con el 100% de OpCo (la operadora) y simplemente le empiezan a pagar el arriendo al nuevo dueño de la tierra.Derecho de Preferencia (Right of First Refusal): En los estatutos de las empresas, se debe pactar que si el inversor quiere vender sus acciones (en OpCo o PropCo), está obligado a ofrecérselas primero a ustedes al precio de mercado. Si ustedes consiguen la financiación o un nuevo socio, pueden comprarle su parte y quedarse con todo el proyecto.</w:t>
      </w:r>
      <w:r w:rsidRPr="009C06F7">
        <w:rPr>
          <w:rFonts w:ascii="Segoe UI Emoji" w:hAnsi="Segoe UI Emoji" w:cs="Segoe UI Emoji"/>
          <w:lang w:val="es-CO"/>
        </w:rPr>
        <w:t>💵</w:t>
      </w:r>
      <w:r w:rsidRPr="009C06F7">
        <w:rPr>
          <w:lang w:val="es-CO"/>
        </w:rPr>
        <w:t xml:space="preserve"> 2. Estructuración del Flujo de Caja ContinuoPara que el inversor reciba dinero mes a mes (flujo de caja constante) mientras ustedes operan, el modelo hotelero de lujo utiliza un esquema mixto en el contrato de arrendamiento entre OpCo y PropCo:Renta Variable con Mínimo Garantizado: OpCo le paga a PropCo un porcentaje de las ventas brutas de habitaciones (por ejemplo, el 15% o 20% de los ingresos por noche). Para darle tranquilidad al inversor, se pacta un "piso" o mínimo fijo mensual (ej. USD $5.000 al mes). Si el hotel tiene un mes excelente, el inversor gana mucho más; si es temporada baja, tiene asegurado su mínimo para cubrir costos de mantenimiento e impuestos de la finca.</w:t>
      </w:r>
      <w:r w:rsidRPr="009C06F7">
        <w:rPr>
          <w:rFonts w:ascii="Segoe UI Emoji" w:hAnsi="Segoe UI Emoji" w:cs="Segoe UI Emoji"/>
          <w:lang w:val="es-CO"/>
        </w:rPr>
        <w:t>🛏️</w:t>
      </w:r>
      <w:r w:rsidRPr="009C06F7">
        <w:rPr>
          <w:lang w:val="es-CO"/>
        </w:rPr>
        <w:t xml:space="preserve"> 3. Regulación del Uso Personal (Derechos de Estadía)Este punto es crítico en proyectos de ecolodges de lujo. Si no se define desde el primer día, el inversor podría ocupar la mejor villa en temporada alta, destruyendo el flujo de caja del negocio y cancelando reservas de huéspedes que pagan miles de dólares.En los contratos hoteleros, esto se soluciona con una Política de Uso de Propietarios (Owner's Use Policy):Bolsa de Noches Anuales: Se le asigna al inversor un número máximo de noches al año para su uso personal o de sus invitados (usualmente entre 15 y 30 noches al año).Restricción de Temporada Alta (Blackout Dates): Se prohíbe explícitamente el uso personal durante las semanas de más alta ocupación del año (ej. Semana Santa, mitad de año, Navidad y Año Nuevo), a menos que pague la tarifa comercial completa. Cada noche que él use en temporada alta es dinero que ambos pierden.Ventana de Reserva: El inversor debe avisar con una anticipación mínima (ej. 60 o 90 días) para bloquear su ecolodge, permitiendo que si la habitación no se ha reservado, pueda usarla.Pago de Costos Marginales: Aunque no pague la tarifa de la habitación, el inversor debe cubrir los costos operativos directos de su estadía (limpieza profunda, lavandería de lujo, consumos de restaurante y amenidades) para no generar pérdidas contables a OpCo.</w:t>
      </w:r>
      <w:r w:rsidRPr="009C06F7">
        <w:rPr>
          <w:rFonts w:ascii="Segoe UI Emoji" w:hAnsi="Segoe UI Emoji" w:cs="Segoe UI Emoji"/>
          <w:lang w:val="es-CO"/>
        </w:rPr>
        <w:t>💡</w:t>
      </w:r>
      <w:r w:rsidRPr="009C06F7">
        <w:rPr>
          <w:lang w:val="es-CO"/>
        </w:rPr>
        <w:t xml:space="preserve"> ¿Deberían basar su modelo en casos similares o inventarlo?Definitivamente deben basarse en casos similares de la industria hotelera (los HMAs internacionales). No intenten inventar la rueda jurídica con un contrato de arrendamiento comercial común de la legislación colombiana.Un contrato de arrendamiento tradicional en Colombia protege demasiado al inquilino y puede asustar a un inversor extranjero. En cambio, si le presentan un Contrato de Operación Hotelera de Estándar Internacional adaptado a la ley colombiana, el inversor (y sus abogados en su país de origen) entenderán perfectamente los términos porque es el lenguaje financiero global que ellos conocen.</w:t>
      </w:r>
    </w:p>
    <w:p w14:paraId="39D52EB0" w14:textId="57CEFBDC" w:rsidR="00C34013" w:rsidRDefault="00C34013"/>
    <w:sectPr w:rsidR="00C3401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6720845">
    <w:abstractNumId w:val="8"/>
  </w:num>
  <w:num w:numId="2" w16cid:durableId="9257526">
    <w:abstractNumId w:val="6"/>
  </w:num>
  <w:num w:numId="3" w16cid:durableId="2124230254">
    <w:abstractNumId w:val="5"/>
  </w:num>
  <w:num w:numId="4" w16cid:durableId="309674288">
    <w:abstractNumId w:val="4"/>
  </w:num>
  <w:num w:numId="5" w16cid:durableId="1499617380">
    <w:abstractNumId w:val="7"/>
  </w:num>
  <w:num w:numId="6" w16cid:durableId="1482236178">
    <w:abstractNumId w:val="3"/>
  </w:num>
  <w:num w:numId="7" w16cid:durableId="531069236">
    <w:abstractNumId w:val="2"/>
  </w:num>
  <w:num w:numId="8" w16cid:durableId="1056468502">
    <w:abstractNumId w:val="1"/>
  </w:num>
  <w:num w:numId="9" w16cid:durableId="214723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06F7"/>
    <w:rsid w:val="00AA1D8D"/>
    <w:rsid w:val="00AE5A44"/>
    <w:rsid w:val="00B47730"/>
    <w:rsid w:val="00C34013"/>
    <w:rsid w:val="00CB0664"/>
    <w:rsid w:val="00D47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AAE1E7-103C-4BEC-9215-732A6B9F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C06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15</Pages>
  <Words>3897</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Julián D. Pérez</cp:lastModifiedBy>
  <cp:revision>3</cp:revision>
  <dcterms:created xsi:type="dcterms:W3CDTF">2013-12-23T23:15:00Z</dcterms:created>
  <dcterms:modified xsi:type="dcterms:W3CDTF">2026-08-03T12:04:00Z</dcterms:modified>
  <cp:category/>
</cp:coreProperties>
</file>