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Calibri" w:hAnsi="Calibri"/>
          <w:b/>
          <w:color w:val="1A3650"/>
          <w:sz w:val="40"/>
        </w:rPr>
        <w:t>Miraslau Pisaryk</w:t>
      </w:r>
    </w:p>
    <w:p>
      <w:pPr>
        <w:spacing w:after="60"/>
      </w:pPr>
      <w:r>
        <w:rPr>
          <w:rFonts w:ascii="Calibri" w:hAnsi="Calibri"/>
          <w:b/>
          <w:color w:val="3D4F65"/>
          <w:sz w:val="24"/>
        </w:rPr>
        <w:t>Java / Spring Boot Backend Engineer  |  BSUIR Student &amp; Production Portfolio</w:t>
      </w:r>
    </w:p>
    <w:p>
      <w:pPr>
        <w:spacing w:after="30"/>
      </w:pPr>
      <w:r>
        <w:rPr>
          <w:rFonts w:ascii="Calibri" w:hAnsi="Calibri"/>
          <w:color w:val="3D4F65"/>
          <w:sz w:val="19"/>
        </w:rPr>
        <w:t>bhasdgjkg5@gmail.com   |   +375 29 749-77-19   |   Telegram: @yxxtg   |   Minsk, Belarus</w:t>
      </w:r>
    </w:p>
    <w:p>
      <w:pPr>
        <w:spacing w:after="140"/>
      </w:pPr>
      <w:r>
        <w:rPr>
          <w:rFonts w:ascii="Calibri" w:hAnsi="Calibri"/>
          <w:color w:val="3D4F65"/>
          <w:sz w:val="19"/>
        </w:rPr>
        <w:t xml:space="preserve">github.com/CHIKOJgg   |   linkedin.com/in/miroslav-pisaryk-953490261   |   </w:t>
      </w:r>
      <w:r>
        <w:rPr>
          <w:rFonts w:ascii="Calibri" w:hAnsi="Calibri"/>
          <w:b/>
          <w:color w:val="0D6E8E"/>
          <w:sz w:val="19"/>
        </w:rPr>
        <w:t>Open to Internships / Junior Positions / Remote Work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SUMMARY</w:t>
      </w:r>
    </w:p>
    <w:p>
      <w:pPr>
        <w:spacing w:after="100" w:line="269" w:lineRule="auto"/>
      </w:pPr>
      <w:r>
        <w:rPr>
          <w:rFonts w:ascii="Calibri" w:hAnsi="Calibri"/>
          <w:color w:val="1E1E1E"/>
          <w:sz w:val="20"/>
        </w:rPr>
        <w:t>Computer Science student at BSUIR specializing in building production-grade distributed backends on Java 21/25 and Spring Boot 3/4. Practical experience: thread-safe in-memory matching engine, real-time WebSocket streaming, event-driven microservices with Spring AI RAG and autonomous Function Calling, Keycloak 26 OAuth2 IAM integration. 100% Testcontainers test isolation. English C1 Advanced.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SKILLS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Languages &amp; Core:  </w:t>
      </w:r>
      <w:r>
        <w:rPr>
          <w:rFonts w:ascii="Calibri" w:hAnsi="Calibri"/>
          <w:color w:val="1E1E1E"/>
          <w:sz w:val="19"/>
        </w:rPr>
        <w:t>Java (17, 21, 25), SQL, Concurrency (Virtual Threads / Loom, ReentrantLock, CompletableFuture, ConcurrentHashMap), Stream API, Generics, OOP/SOLID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Frameworks:  </w:t>
      </w:r>
      <w:r>
        <w:rPr>
          <w:rFonts w:ascii="Calibri" w:hAnsi="Calibri"/>
          <w:color w:val="1E1E1E"/>
          <w:sz w:val="19"/>
        </w:rPr>
        <w:t>Spring Boot 3/4, Spring AI 1.0, Spring Cloud OpenFeign, Spring Data JPA / Hibernate, Spring Security (OAuth2 Resource Server), WebSocket (STOMP), Resilience4j, Bucket4j, MapStruct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IAM &amp; Security:  </w:t>
      </w:r>
      <w:r>
        <w:rPr>
          <w:rFonts w:ascii="Calibri" w:hAnsi="Calibri"/>
          <w:color w:val="1E1E1E"/>
          <w:sz w:val="19"/>
        </w:rPr>
        <w:t>Keycloak 26 (OIDC, OAuth2 Authorization Code + PKCE, JWT JWKS Verification, Realm Role Mapping, JIT User Provisioning, TokenRelayInterceptor)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Messaging &amp; Streaming:  </w:t>
      </w:r>
      <w:r>
        <w:rPr>
          <w:rFonts w:ascii="Calibri" w:hAnsi="Calibri"/>
          <w:color w:val="1E1E1E"/>
          <w:sz w:val="19"/>
        </w:rPr>
        <w:t>RabbitMQ 3.13 (Topic Exchanges, Dead-Letter Queues, AMQP, JSON Message Converter, Asynchronous Domain Events)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Databases &amp; Search:  </w:t>
      </w:r>
      <w:r>
        <w:rPr>
          <w:rFonts w:ascii="Calibri" w:hAnsi="Calibri"/>
          <w:color w:val="1E1E1E"/>
          <w:sz w:val="19"/>
        </w:rPr>
        <w:t>PostgreSQL 17, pgvector (1536-dim Vector Embeddings, Cosine Similarity, HNSW Index), Redis 7 (Caching, Rate Limiting, Pub/Sub), Flyway Migrations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AI &amp; LLM Engineering:  </w:t>
      </w:r>
      <w:r>
        <w:rPr>
          <w:rFonts w:ascii="Calibri" w:hAnsi="Calibri"/>
          <w:color w:val="1E1E1E"/>
          <w:sz w:val="19"/>
        </w:rPr>
        <w:t>Spring AI (ChatClient, @Tool Function Calling, VectorStore RAG, Dynamic System Prompts), OpenAI API, Model Context Protocol (MCP)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DevOps &amp; Quality:  </w:t>
      </w:r>
      <w:r>
        <w:rPr>
          <w:rFonts w:ascii="Calibri" w:hAnsi="Calibri"/>
          <w:color w:val="1E1E1E"/>
          <w:sz w:val="19"/>
        </w:rPr>
        <w:t>Docker, Docker Compose, GitHub Actions CI/CD, Maven Multi-Module, Linux/Bash, JUnit 5, AssertJ, Mockito, Testcontainers (PostgreSQL, Redis, RabbitMQ)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Architecture:  </w:t>
      </w:r>
      <w:r>
        <w:rPr>
          <w:rFonts w:ascii="Calibri" w:hAnsi="Calibri"/>
          <w:color w:val="1E1E1E"/>
          <w:sz w:val="19"/>
        </w:rPr>
        <w:t>Event-Driven Microservices, Multi-Module Monorepo, DDD, Clean Architecture, REST API (RFC 7807 Problem Details), Agile Scrum/Kanban</w:t>
      </w:r>
    </w:p>
    <w:p>
      <w:pPr>
        <w:spacing w:before="0" w:after="40" w:line="264" w:lineRule="auto"/>
      </w:pPr>
      <w:r>
        <w:rPr>
          <w:rFonts w:ascii="Calibri" w:hAnsi="Calibri"/>
          <w:b/>
          <w:color w:val="1A3650"/>
          <w:sz w:val="19"/>
        </w:rPr>
        <w:t xml:space="preserve">Languages:  </w:t>
      </w:r>
      <w:r>
        <w:rPr>
          <w:rFonts w:ascii="Calibri" w:hAnsi="Calibri"/>
          <w:color w:val="1E1E1E"/>
          <w:sz w:val="19"/>
        </w:rPr>
        <w:t>English — C1 Advanced (EF SET 70/100, verified cert.efset.org/ru/cAsbkU); Polish — beginner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FEATURED ENGINEERING PROJECTS</w:t>
      </w:r>
    </w:p>
    <w:p>
      <w:pPr>
        <w:keepNext/>
        <w:spacing w:before="100" w:after="20"/>
      </w:pPr>
      <w:r>
        <w:rPr>
          <w:rFonts w:ascii="Calibri" w:hAnsi="Calibri"/>
          <w:b/>
          <w:color w:val="1A3650"/>
          <w:sz w:val="22"/>
        </w:rPr>
        <w:t>AI Assistant Klawa  —  Distributed Event-Driven Microservices Architecture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3.4, Spring AI 1.0, PostgreSQL 17 + pgvector, Keycloak 26, RabbitMQ 3.13, OpenFeign, Redis 7, Testcontainers</w:t>
        <w:br/>
        <w:t>github.com/CHIKOJgg/klawa  |  Maven Multi-Module Monorepo (contracts, core, ai-agent)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Monolith → Microservices Migration:  </w:t>
      </w:r>
      <w:r>
        <w:rPr>
          <w:rFonts w:ascii="Calibri" w:hAnsi="Calibri"/>
          <w:color w:val="1E1E1E"/>
          <w:sz w:val="19"/>
        </w:rPr>
        <w:t>Architected the end-to-end migration from a Spring Boot monolith to an Event-Driven Microservices platform structured as a Maven multi-module monorepo with shared contracts (klawa-contracts, klawa-core, klawa-ai-agent).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Core Service &amp; Virtual Threads:  </w:t>
      </w:r>
      <w:r>
        <w:rPr>
          <w:rFonts w:ascii="Calibri" w:hAnsi="Calibri"/>
          <w:color w:val="1E1E1E"/>
          <w:sz w:val="19"/>
        </w:rPr>
        <w:t>Developed the high-throughput klawa-core service on Java 21 utilizing Virtual Threads (Project Loom) for non-blocking I/O across task orchestration, project management, Telegram adapter, and reminder scheduling.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Keycloak 26 Enterprise Security:  </w:t>
      </w:r>
      <w:r>
        <w:rPr>
          <w:rFonts w:ascii="Calibri" w:hAnsi="Calibri"/>
          <w:color w:val="1E1E1E"/>
          <w:sz w:val="19"/>
        </w:rPr>
        <w:t>Integrated Keycloak 26 as an OAuth2 Resource Server with stateless JWT signature verification via JWKS endpoint, realm role mapping through custom JwtGrantedAuthoritiesConverter, and Just-In-Time (JIT) user provisioning.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Spring AI &amp; pgvector RAG Pipeline:  </w:t>
      </w:r>
      <w:r>
        <w:rPr>
          <w:rFonts w:ascii="Calibri" w:hAnsi="Calibri"/>
          <w:color w:val="1E1E1E"/>
          <w:sz w:val="19"/>
        </w:rPr>
        <w:t>Built the klawa-ai-agent microservice on Spring AI 1.0; implemented Retrieval-Augmented Generation using PostgreSQL 17 with pgvector (1536-dim HNSW index, cosine similarity) for real-time semantic context search over user tasks.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Autonomous @Tool Function Calling:  </w:t>
      </w:r>
      <w:r>
        <w:rPr>
          <w:rFonts w:ascii="Calibri" w:hAnsi="Calibri"/>
          <w:color w:val="1E1E1E"/>
          <w:sz w:val="19"/>
        </w:rPr>
        <w:t>Implemented @Tool-annotated methods allowing the LLM to autonomously create tasks, change statuses, and query projects — calls execute synchronously in klawa-core via Spring Cloud OpenFeign with TokenRelayInterceptor (JWT propagation).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RabbitMQ Domain Event Bus:  </w:t>
      </w:r>
      <w:r>
        <w:rPr>
          <w:rFonts w:ascii="Calibri" w:hAnsi="Calibri"/>
          <w:color w:val="1E1E1E"/>
          <w:sz w:val="19"/>
        </w:rPr>
        <w:t>Configured RabbitMQ 3.13 topology (Topic Exchange klawa.events, JSON MessageConverter) for asynchronous domain events (TaskCreatedEvent, AiTaskAnalysisRequestedEvent); decoupled embedding generation keeping HTTP latency &lt;50ms.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Resilience &amp; Observability:  </w:t>
      </w:r>
      <w:r>
        <w:rPr>
          <w:rFonts w:ascii="Calibri" w:hAnsi="Calibri"/>
          <w:color w:val="1E1E1E"/>
          <w:sz w:val="19"/>
        </w:rPr>
        <w:t>Integrated Resilience4j Circuit Breakers for AI API failover, Bucket4j token-bucket rate limiting, Redis response caching, and 100% isolated integration tests via Testcontainers (PostgreSQL, Redis, RabbitMQ).</w:t>
      </w:r>
    </w:p>
    <w:p>
      <w:pPr>
        <w:keepNext/>
        <w:spacing w:before="140" w:after="20"/>
      </w:pPr>
      <w:r>
        <w:rPr>
          <w:rFonts w:ascii="Calibri" w:hAnsi="Calibri"/>
          <w:b/>
          <w:color w:val="1A3650"/>
          <w:sz w:val="22"/>
        </w:rPr>
        <w:t>High-Frequency Trading Platform  —  In-Memory Matching Engine &amp; Real-Time Streaming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Spring Boot 3.3, PostgreSQL, Redis, WebSocket (STOMP), Spring Security (JWT), Flyway, Docker, GitHub Actions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FinTech Platform Core:  </w:t>
      </w:r>
      <w:r>
        <w:rPr>
          <w:rFonts w:ascii="Calibri" w:hAnsi="Calibri"/>
          <w:color w:val="1E1E1E"/>
          <w:sz w:val="19"/>
        </w:rPr>
        <w:t>Developing the backend of a multi-currency banking and exchange platform for account management, trading, and real-time market quotes in a distributed Agile team of 8 engineers.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In-Memory Matching Engine:  </w:t>
      </w:r>
      <w:r>
        <w:rPr>
          <w:rFonts w:ascii="Calibri" w:hAnsi="Calibri"/>
          <w:color w:val="1E1E1E"/>
          <w:sz w:val="19"/>
        </w:rPr>
        <w:t>Architected a thread-safe in-memory order matching engine with price-time priority for limit/market orders, leveraging Java Concurrency lock-free primitives (CAS, ConcurrentSkipListMap) to sustain 5,000+ ops/sec with zero data races.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Redis Caching &amp; Load Reduction:  </w:t>
      </w:r>
      <w:r>
        <w:rPr>
          <w:rFonts w:ascii="Calibri" w:hAnsi="Calibri"/>
          <w:color w:val="1E1E1E"/>
          <w:sz w:val="19"/>
        </w:rPr>
        <w:t>Integrated Redis for order book depth caching and message buffering, reducing PostgreSQL transactional read load by ~40% during peak market volatility.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Real-Time WebSocket Streaming:  </w:t>
      </w:r>
      <w:r>
        <w:rPr>
          <w:rFonts w:ascii="Calibri" w:hAnsi="Calibri"/>
          <w:color w:val="1E1E1E"/>
          <w:sz w:val="19"/>
        </w:rPr>
        <w:t>Engineered real-time order book depth and private account notification streaming over WebSocket (STOMP) for 200+ concurrent clients with sub-100ms delivery latency.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Financial Schema &amp; Migrations:  </w:t>
      </w:r>
      <w:r>
        <w:rPr>
          <w:rFonts w:ascii="Calibri" w:hAnsi="Calibri"/>
          <w:color w:val="1E1E1E"/>
          <w:sz w:val="19"/>
        </w:rPr>
        <w:t>Designed a normalized 13-table PostgreSQL schema with double-entry accounting ledgers and immutable audit trails; automated multi-stage schema evolution via Flyway.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ADDITIONAL PROJECTS</w:t>
      </w:r>
    </w:p>
    <w:p>
      <w:pPr>
        <w:keepNext/>
        <w:spacing w:before="60" w:after="20"/>
      </w:pPr>
      <w:r>
        <w:rPr>
          <w:rFonts w:ascii="Calibri" w:hAnsi="Calibri"/>
          <w:b/>
          <w:color w:val="1A3650"/>
          <w:sz w:val="22"/>
        </w:rPr>
        <w:t>Crypto Portfolio Optimizer  —  Quantitative Analysis &amp; Backtesting Engine</w:t>
      </w:r>
    </w:p>
    <w:p>
      <w:pPr>
        <w:keepNext/>
        <w:spacing w:before="0" w:after="50"/>
      </w:pPr>
      <w:r>
        <w:rPr>
          <w:rFonts w:ascii="Calibri" w:hAnsi="Calibri"/>
          <w:color w:val="3D4F65"/>
          <w:sz w:val="18"/>
        </w:rPr>
        <w:t>Java 21, JavaFX, ojalgo, CoinGecko API  |  github.com/CHIKOJgg/MarkowitzModel-java-crypto-analysis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Quantitative Alpha Models:  </w:t>
      </w:r>
      <w:r>
        <w:rPr>
          <w:rFonts w:ascii="Calibri" w:hAnsi="Calibri"/>
          <w:color w:val="1E1E1E"/>
          <w:sz w:val="19"/>
        </w:rPr>
        <w:t>Engineered 12 quantitative alpha strategies (Momentum, EWMA, RSI, MACD, Bollinger Bands) and 9 portfolio allocation frameworks (Markowitz Mean-Variance, Risk Parity, HRP, CVaR, Black-Litterman).</w:t>
      </w:r>
    </w:p>
    <w:p>
      <w:pPr>
        <w:pStyle w:val="ListParagraph"/>
        <w:spacing w:before="0" w:after="50" w:line="264" w:lineRule="auto"/>
        <w:ind w:left="317"/>
      </w:pPr>
      <w:r>
        <w:rPr>
          <w:rFonts w:ascii="Calibri" w:hAnsi="Calibri"/>
          <w:b/>
          <w:color w:val="0D6E8E"/>
          <w:sz w:val="19"/>
        </w:rPr>
        <w:t xml:space="preserve">▸  </w:t>
      </w:r>
      <w:r>
        <w:rPr>
          <w:rFonts w:ascii="Calibri" w:hAnsi="Calibri"/>
          <w:b/>
          <w:color w:val="1A3650"/>
          <w:sz w:val="19"/>
        </w:rPr>
        <w:t xml:space="preserve">Backtesting &amp; Risk Engine:  </w:t>
      </w:r>
      <w:r>
        <w:rPr>
          <w:rFonts w:ascii="Calibri" w:hAnsi="Calibri"/>
          <w:color w:val="1E1E1E"/>
          <w:sz w:val="19"/>
        </w:rPr>
        <w:t>Built a walk-forward backtesting engine with Monte Carlo simulation (Geometric Brownian Motion) and real-time risk metrics: Sharpe, Sortino, Calmar ratios, VaR/CVaR 95%, Brinson attribution.</w:t>
      </w:r>
    </w:p>
    <w:p>
      <w:pPr>
        <w:keepNext/>
        <w:spacing w:before="200" w:after="60"/>
        <w:pBdr>
          <w:bottom w:val="single" w:sz="5" w:space="2" w:color="1A3650"/>
        </w:pBdr>
      </w:pPr>
      <w:r>
        <w:rPr>
          <w:rFonts w:ascii="Calibri" w:hAnsi="Calibri"/>
          <w:b/>
          <w:color w:val="1A3650"/>
          <w:sz w:val="23"/>
        </w:rPr>
        <w:t>EDUCATION &amp; CREDENTIALS</w:t>
      </w:r>
    </w:p>
    <w:p>
      <w:pPr>
        <w:spacing w:before="40" w:after="20"/>
      </w:pPr>
      <w:r>
        <w:rPr>
          <w:rFonts w:ascii="Calibri" w:hAnsi="Calibri"/>
          <w:b/>
          <w:color w:val="1A3650"/>
          <w:sz w:val="20"/>
        </w:rPr>
        <w:t>Belarusian State University of Informatics and Radioelectronics (BSUIR)</w:t>
      </w:r>
    </w:p>
    <w:p>
      <w:pPr>
        <w:spacing w:after="30"/>
      </w:pPr>
      <w:r>
        <w:rPr>
          <w:rFonts w:ascii="Calibri" w:hAnsi="Calibri"/>
          <w:color w:val="1E1E1E"/>
          <w:sz w:val="19"/>
        </w:rPr>
        <w:t>Bachelor's in Information Systems and Technologies (Computer Science)  |  2024 – 2028  |  Minsk, Belarus</w:t>
      </w:r>
    </w:p>
    <w:p>
      <w:pPr>
        <w:spacing w:after="0"/>
      </w:pPr>
      <w:r>
        <w:rPr>
          <w:rFonts w:ascii="Calibri" w:hAnsi="Calibri"/>
          <w:b/>
          <w:color w:val="0D6E8E"/>
          <w:sz w:val="19"/>
        </w:rPr>
        <w:t>English Certificate: EF SET — Score 70/100, C1 Advanced  |  cert.efset.org/ru/cAsbkU</w:t>
      </w:r>
    </w:p>
    <w:sectPr w:rsidR="00FC693F" w:rsidRPr="0006063C" w:rsidSect="00034616">
      <w:pgSz w:w="12240" w:h="15840"/>
      <w:pgMar w:top="648" w:right="749" w:bottom="648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