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20"/>
        <w:jc w:val="center"/>
      </w:pPr>
      <w:r>
        <w:rPr>
          <w:rFonts w:ascii="Calibri" w:hAnsi="Calibri"/>
          <w:b/>
          <w:color w:val="007791"/>
          <w:sz w:val="25"/>
        </w:rPr>
        <w:t>DIGITAL ASSIGNMENT 3 (DA3) TECHNICAL REPORT</w:t>
      </w:r>
    </w:p>
    <w:p>
      <w:pPr>
        <w:spacing w:before="160" w:after="200"/>
        <w:jc w:val="center"/>
      </w:pPr>
      <w:r>
        <w:rPr>
          <w:rFonts w:ascii="Calibri" w:hAnsi="Calibri"/>
          <w:b/>
          <w:color w:val="1B365D"/>
          <w:sz w:val="52"/>
        </w:rPr>
        <w:t>PHARMACORE &amp; PHARMAGRAPH</w:t>
      </w:r>
    </w:p>
    <w:p>
      <w:pPr>
        <w:spacing w:before="0" w:after="400"/>
        <w:jc w:val="center"/>
      </w:pPr>
      <w:r>
        <w:rPr>
          <w:rFonts w:ascii="Calibri Light" w:hAnsi="Calibri Light"/>
          <w:color w:val="2C3E50"/>
          <w:sz w:val="26"/>
        </w:rPr>
        <w:t>Enterprise Hybrid Relational &amp; Neo4j Property Graph Pharmaceutical Supply Chain System</w:t>
      </w:r>
    </w:p>
    <w:p>
      <w:pPr>
        <w:spacing w:after="560"/>
        <w:jc w:val="center"/>
      </w:pPr>
      <w:r>
        <w:rPr>
          <w:b/>
          <w:color w:val="007791"/>
        </w:rPr>
        <w:t>━━━━━━━━━━━━━━━━━━━━━━━━━━━━━━━━━━━━━━━━━━</w:t>
      </w:r>
    </w:p>
    <w:tbl>
      <w:tblPr>
        <w:tblW w:type="auto" w:w="0"/>
        <w:jc w:val="center"/>
        <w:tblLayout w:type="fixed"/>
        <w:tblLook w:firstColumn="1" w:firstRow="1" w:lastColumn="0" w:lastRow="0" w:noHBand="0" w:noVBand="1" w:val="04A0"/>
      </w:tblPr>
      <w:tblGrid>
        <w:gridCol w:w="4824"/>
        <w:gridCol w:w="4824"/>
      </w:tblGrid>
      <w:tr>
        <w:tc>
          <w:tcPr>
            <w:tcW w:type="dxa" w:w="3600"/>
            <w:shd w:fill="F8FAFC"/>
            <w:tcMar>
              <w:top w:w="50" w:type="dxa"/>
              <w:bottom w:w="50" w:type="dxa"/>
              <w:left w:w="80" w:type="dxa"/>
              <w:right w:w="80" w:type="dxa"/>
            </w:tcMar>
          </w:tcPr>
          <w:p>
            <w:r>
              <w:rPr>
                <w:b/>
                <w:color w:val="1B365D"/>
                <w:sz w:val="19"/>
              </w:rPr>
              <w:t>Course / Specialization:</w:t>
            </w:r>
          </w:p>
        </w:tc>
        <w:tc>
          <w:tcPr>
            <w:tcW w:type="dxa" w:w="6048"/>
            <w:shd w:fill="FFFFFF"/>
            <w:tcMar>
              <w:top w:w="50" w:type="dxa"/>
              <w:bottom w:w="50" w:type="dxa"/>
              <w:left w:w="80" w:type="dxa"/>
              <w:right w:w="80" w:type="dxa"/>
            </w:tcMar>
          </w:tcPr>
          <w:p>
            <w:r>
              <w:rPr>
                <w:color w:val="2C3E50"/>
                <w:sz w:val="19"/>
              </w:rPr>
              <w:t>Database Technologies / Modern Distributed &amp; Graph Databases</w:t>
            </w:r>
          </w:p>
        </w:tc>
      </w:tr>
      <w:tr>
        <w:tc>
          <w:tcPr>
            <w:tcW w:type="dxa" w:w="3600"/>
            <w:shd w:fill="F8FAFC"/>
            <w:tcMar>
              <w:top w:w="50" w:type="dxa"/>
              <w:bottom w:w="50" w:type="dxa"/>
              <w:left w:w="80" w:type="dxa"/>
              <w:right w:w="80" w:type="dxa"/>
            </w:tcMar>
          </w:tcPr>
          <w:p>
            <w:r>
              <w:rPr>
                <w:b/>
                <w:color w:val="1B365D"/>
                <w:sz w:val="19"/>
              </w:rPr>
              <w:t>Modern Database Implemented:</w:t>
            </w:r>
          </w:p>
        </w:tc>
        <w:tc>
          <w:tcPr>
            <w:tcW w:type="dxa" w:w="6048"/>
            <w:shd w:fill="FFFFFF"/>
            <w:tcMar>
              <w:top w:w="50" w:type="dxa"/>
              <w:bottom w:w="50" w:type="dxa"/>
              <w:left w:w="80" w:type="dxa"/>
              <w:right w:w="80" w:type="dxa"/>
            </w:tcMar>
          </w:tcPr>
          <w:p>
            <w:r>
              <w:rPr>
                <w:color w:val="2C3E50"/>
                <w:sz w:val="19"/>
              </w:rPr>
              <w:t>Graph Database (Neo4j Property Graph Model / openCypher Engine)</w:t>
            </w:r>
          </w:p>
        </w:tc>
      </w:tr>
      <w:tr>
        <w:tc>
          <w:tcPr>
            <w:tcW w:type="dxa" w:w="3600"/>
            <w:shd w:fill="F8FAFC"/>
            <w:tcMar>
              <w:top w:w="50" w:type="dxa"/>
              <w:bottom w:w="50" w:type="dxa"/>
              <w:left w:w="80" w:type="dxa"/>
              <w:right w:w="80" w:type="dxa"/>
            </w:tcMar>
          </w:tcPr>
          <w:p>
            <w:r>
              <w:rPr>
                <w:b/>
                <w:color w:val="1B365D"/>
                <w:sz w:val="19"/>
              </w:rPr>
              <w:t>Live Web Deployments:</w:t>
            </w:r>
          </w:p>
        </w:tc>
        <w:tc>
          <w:tcPr>
            <w:tcW w:type="dxa" w:w="6048"/>
            <w:shd w:fill="FFFFFF"/>
            <w:tcMar>
              <w:top w:w="50" w:type="dxa"/>
              <w:bottom w:w="50" w:type="dxa"/>
              <w:left w:w="80" w:type="dxa"/>
              <w:right w:w="80" w:type="dxa"/>
            </w:tcMar>
          </w:tcPr>
          <w:p>
            <w:r>
              <w:rPr>
                <w:color w:val="2C3E50"/>
                <w:sz w:val="19"/>
              </w:rPr>
              <w:t>Primary System: http://127.0.0.1:8000 | Pure Graph Engine: http://127.0.0.1:5050</w:t>
            </w:r>
          </w:p>
        </w:tc>
      </w:tr>
      <w:tr>
        <w:tc>
          <w:tcPr>
            <w:tcW w:type="dxa" w:w="3600"/>
            <w:shd w:fill="F8FAFC"/>
            <w:tcMar>
              <w:top w:w="50" w:type="dxa"/>
              <w:bottom w:w="50" w:type="dxa"/>
              <w:left w:w="80" w:type="dxa"/>
              <w:right w:w="80" w:type="dxa"/>
            </w:tcMar>
          </w:tcPr>
          <w:p>
            <w:r>
              <w:rPr>
                <w:b/>
                <w:color w:val="1B365D"/>
                <w:sz w:val="19"/>
              </w:rPr>
              <w:t>Source Code Repository:</w:t>
            </w:r>
          </w:p>
        </w:tc>
        <w:tc>
          <w:tcPr>
            <w:tcW w:type="dxa" w:w="6048"/>
            <w:shd w:fill="FFFFFF"/>
            <w:tcMar>
              <w:top w:w="50" w:type="dxa"/>
              <w:bottom w:w="50" w:type="dxa"/>
              <w:left w:w="80" w:type="dxa"/>
              <w:right w:w="80" w:type="dxa"/>
            </w:tcMar>
          </w:tcPr>
          <w:p>
            <w:r>
              <w:rPr>
                <w:color w:val="2C3E50"/>
                <w:sz w:val="19"/>
              </w:rPr>
              <w:t>https://github.com/CHINg2008/PharmaCore.git</w:t>
            </w:r>
          </w:p>
        </w:tc>
      </w:tr>
      <w:tr>
        <w:tc>
          <w:tcPr>
            <w:tcW w:type="dxa" w:w="3600"/>
            <w:shd w:fill="F8FAFC"/>
            <w:tcMar>
              <w:top w:w="50" w:type="dxa"/>
              <w:bottom w:w="50" w:type="dxa"/>
              <w:left w:w="80" w:type="dxa"/>
              <w:right w:w="80" w:type="dxa"/>
            </w:tcMar>
          </w:tcPr>
          <w:p>
            <w:r>
              <w:rPr>
                <w:b/>
                <w:color w:val="1B365D"/>
                <w:sz w:val="19"/>
              </w:rPr>
              <w:t>Academic Term / Submission Date:</w:t>
            </w:r>
          </w:p>
        </w:tc>
        <w:tc>
          <w:tcPr>
            <w:tcW w:type="dxa" w:w="6048"/>
            <w:shd w:fill="FFFFFF"/>
            <w:tcMar>
              <w:top w:w="50" w:type="dxa"/>
              <w:bottom w:w="50" w:type="dxa"/>
              <w:left w:w="80" w:type="dxa"/>
              <w:right w:w="80" w:type="dxa"/>
            </w:tcMar>
          </w:tcPr>
          <w:p>
            <w:r>
              <w:rPr>
                <w:color w:val="2C3E50"/>
                <w:sz w:val="19"/>
              </w:rPr>
              <w:t>October 22, 2026</w:t>
            </w:r>
          </w:p>
        </w:tc>
      </w:tr>
    </w:tbl>
    <w:p>
      <w:pPr>
        <w:spacing w:before="600" w:after="160"/>
        <w:jc w:val="center"/>
      </w:pPr>
      <w:r>
        <w:rPr>
          <w:b/>
          <w:color w:val="1B365D"/>
          <w:sz w:val="22"/>
        </w:rPr>
        <w:t>PROJECT SUBMITTED BY TEAM MEMBERS:</w:t>
      </w:r>
    </w:p>
    <w:tbl>
      <w:tblPr>
        <w:tblW w:type="auto" w:w="0"/>
        <w:jc w:val="center"/>
        <w:tblLayout w:type="fixed"/>
        <w:tblLook w:firstColumn="1" w:firstRow="1" w:lastColumn="0" w:lastRow="0" w:noHBand="0" w:noVBand="1" w:val="04A0"/>
      </w:tblPr>
      <w:tblGrid>
        <w:gridCol w:w="3216"/>
        <w:gridCol w:w="3216"/>
        <w:gridCol w:w="3216"/>
      </w:tblGrid>
      <w:tr>
        <w:tc>
          <w:tcPr>
            <w:tcW w:type="dxa" w:w="1152"/>
            <w:shd w:fill="1B365D"/>
            <w:tcMar>
              <w:top w:w="70" w:type="dxa"/>
              <w:bottom w:w="70" w:type="dxa"/>
              <w:left w:w="90" w:type="dxa"/>
              <w:right w:w="90" w:type="dxa"/>
            </w:tcMar>
          </w:tcPr>
          <w:p>
            <w:pPr>
              <w:jc w:val="center"/>
            </w:pPr>
            <w:r>
              <w:rPr>
                <w:b/>
                <w:color w:val="FFFFFF"/>
                <w:sz w:val="20"/>
              </w:rPr>
              <w:t>S.No.</w:t>
            </w:r>
          </w:p>
        </w:tc>
        <w:tc>
          <w:tcPr>
            <w:tcW w:type="dxa" w:w="4752"/>
            <w:shd w:fill="1B365D"/>
            <w:tcMar>
              <w:top w:w="70" w:type="dxa"/>
              <w:bottom w:w="70" w:type="dxa"/>
              <w:left w:w="90" w:type="dxa"/>
              <w:right w:w="90" w:type="dxa"/>
            </w:tcMar>
          </w:tcPr>
          <w:p>
            <w:pPr>
              <w:jc w:val="center"/>
            </w:pPr>
            <w:r>
              <w:rPr>
                <w:b/>
                <w:color w:val="FFFFFF"/>
                <w:sz w:val="20"/>
              </w:rPr>
              <w:t>Student Name</w:t>
            </w:r>
          </w:p>
        </w:tc>
        <w:tc>
          <w:tcPr>
            <w:tcW w:type="dxa" w:w="3744"/>
            <w:shd w:fill="1B365D"/>
            <w:tcMar>
              <w:top w:w="70" w:type="dxa"/>
              <w:bottom w:w="70" w:type="dxa"/>
              <w:left w:w="90" w:type="dxa"/>
              <w:right w:w="90" w:type="dxa"/>
            </w:tcMar>
          </w:tcPr>
          <w:p>
            <w:pPr>
              <w:jc w:val="center"/>
            </w:pPr>
            <w:r>
              <w:rPr>
                <w:b/>
                <w:color w:val="FFFFFF"/>
                <w:sz w:val="20"/>
              </w:rPr>
              <w:t>Register Number</w:t>
            </w:r>
          </w:p>
        </w:tc>
      </w:tr>
      <w:tr>
        <w:tc>
          <w:tcPr>
            <w:tcW w:type="dxa" w:w="1152"/>
            <w:shd w:fill="FFFFFF"/>
            <w:tcMar>
              <w:top w:w="60" w:type="dxa"/>
              <w:bottom w:w="60" w:type="dxa"/>
              <w:left w:w="80" w:type="dxa"/>
              <w:right w:w="80" w:type="dxa"/>
            </w:tcMar>
          </w:tcPr>
          <w:p>
            <w:pPr>
              <w:jc w:val="center"/>
            </w:pPr>
            <w:r>
              <w:rPr>
                <w:sz w:val="19"/>
              </w:rPr>
              <w:t>1</w:t>
            </w:r>
          </w:p>
        </w:tc>
        <w:tc>
          <w:tcPr>
            <w:tcW w:type="dxa" w:w="4752"/>
            <w:shd w:fill="FFFFFF"/>
            <w:tcMar>
              <w:top w:w="60" w:type="dxa"/>
              <w:bottom w:w="60" w:type="dxa"/>
              <w:left w:w="80" w:type="dxa"/>
              <w:right w:w="80" w:type="dxa"/>
            </w:tcMar>
          </w:tcPr>
          <w:p>
            <w:r>
              <w:rPr>
                <w:b/>
                <w:color w:val="1B365D"/>
                <w:sz w:val="19"/>
              </w:rPr>
              <w:t>CHINMAY GUPTA</w:t>
            </w:r>
          </w:p>
        </w:tc>
        <w:tc>
          <w:tcPr>
            <w:tcW w:type="dxa" w:w="3744"/>
            <w:shd w:fill="FFFFFF"/>
            <w:tcMar>
              <w:top w:w="60" w:type="dxa"/>
              <w:bottom w:w="60" w:type="dxa"/>
              <w:left w:w="80" w:type="dxa"/>
              <w:right w:w="80" w:type="dxa"/>
            </w:tcMar>
          </w:tcPr>
          <w:p>
            <w:r>
              <w:rPr>
                <w:sz w:val="19"/>
              </w:rPr>
              <w:t>25BAI1314</w:t>
            </w:r>
          </w:p>
        </w:tc>
      </w:tr>
      <w:tr>
        <w:tc>
          <w:tcPr>
            <w:tcW w:type="dxa" w:w="1152"/>
            <w:shd w:fill="F8FAFC"/>
            <w:tcMar>
              <w:top w:w="60" w:type="dxa"/>
              <w:bottom w:w="60" w:type="dxa"/>
              <w:left w:w="80" w:type="dxa"/>
              <w:right w:w="80" w:type="dxa"/>
            </w:tcMar>
          </w:tcPr>
          <w:p>
            <w:pPr>
              <w:jc w:val="center"/>
            </w:pPr>
            <w:r>
              <w:rPr>
                <w:sz w:val="19"/>
              </w:rPr>
              <w:t>2</w:t>
            </w:r>
          </w:p>
        </w:tc>
        <w:tc>
          <w:tcPr>
            <w:tcW w:type="dxa" w:w="4752"/>
            <w:shd w:fill="F8FAFC"/>
            <w:tcMar>
              <w:top w:w="60" w:type="dxa"/>
              <w:bottom w:w="60" w:type="dxa"/>
              <w:left w:w="80" w:type="dxa"/>
              <w:right w:w="80" w:type="dxa"/>
            </w:tcMar>
          </w:tcPr>
          <w:p>
            <w:r>
              <w:rPr>
                <w:b/>
                <w:color w:val="1B365D"/>
                <w:sz w:val="19"/>
              </w:rPr>
              <w:t>SABHARISH RAJ G K</w:t>
            </w:r>
          </w:p>
        </w:tc>
        <w:tc>
          <w:tcPr>
            <w:tcW w:type="dxa" w:w="3744"/>
            <w:shd w:fill="F8FAFC"/>
            <w:tcMar>
              <w:top w:w="60" w:type="dxa"/>
              <w:bottom w:w="60" w:type="dxa"/>
              <w:left w:w="80" w:type="dxa"/>
              <w:right w:w="80" w:type="dxa"/>
            </w:tcMar>
          </w:tcPr>
          <w:p>
            <w:r>
              <w:rPr>
                <w:sz w:val="19"/>
              </w:rPr>
              <w:t>25BAI1423</w:t>
            </w:r>
          </w:p>
        </w:tc>
      </w:tr>
      <w:tr>
        <w:tc>
          <w:tcPr>
            <w:tcW w:type="dxa" w:w="1152"/>
            <w:shd w:fill="FFFFFF"/>
            <w:tcMar>
              <w:top w:w="60" w:type="dxa"/>
              <w:bottom w:w="60" w:type="dxa"/>
              <w:left w:w="80" w:type="dxa"/>
              <w:right w:w="80" w:type="dxa"/>
            </w:tcMar>
          </w:tcPr>
          <w:p>
            <w:pPr>
              <w:jc w:val="center"/>
            </w:pPr>
            <w:r>
              <w:rPr>
                <w:sz w:val="19"/>
              </w:rPr>
              <w:t>3</w:t>
            </w:r>
          </w:p>
        </w:tc>
        <w:tc>
          <w:tcPr>
            <w:tcW w:type="dxa" w:w="4752"/>
            <w:shd w:fill="FFFFFF"/>
            <w:tcMar>
              <w:top w:w="60" w:type="dxa"/>
              <w:bottom w:w="60" w:type="dxa"/>
              <w:left w:w="80" w:type="dxa"/>
              <w:right w:w="80" w:type="dxa"/>
            </w:tcMar>
          </w:tcPr>
          <w:p>
            <w:r>
              <w:rPr>
                <w:b/>
                <w:color w:val="1B365D"/>
                <w:sz w:val="19"/>
              </w:rPr>
              <w:t>THARUN ADHITHYA S K</w:t>
            </w:r>
          </w:p>
        </w:tc>
        <w:tc>
          <w:tcPr>
            <w:tcW w:type="dxa" w:w="3744"/>
            <w:shd w:fill="FFFFFF"/>
            <w:tcMar>
              <w:top w:w="60" w:type="dxa"/>
              <w:bottom w:w="60" w:type="dxa"/>
              <w:left w:w="80" w:type="dxa"/>
              <w:right w:w="80" w:type="dxa"/>
            </w:tcMar>
          </w:tcPr>
          <w:p>
            <w:r>
              <w:rPr>
                <w:sz w:val="19"/>
              </w:rPr>
              <w:t>25BAI1462</w:t>
            </w:r>
          </w:p>
        </w:tc>
      </w:tr>
    </w:tbl>
    <w:p>
      <w:r>
        <w:br w:type="page"/>
      </w:r>
    </w:p>
    <w:p>
      <w:pPr>
        <w:keepNext/>
        <w:spacing w:before="360" w:after="120"/>
      </w:pPr>
      <w:r>
        <w:rPr>
          <w:rFonts w:ascii="Calibri" w:hAnsi="Calibri"/>
          <w:b/>
          <w:color w:val="1B365D"/>
          <w:sz w:val="32"/>
        </w:rPr>
        <w:t>Table of Contents</w:t>
      </w:r>
    </w:p>
    <w:p>
      <w:pPr>
        <w:spacing w:before="0" w:after="160"/>
      </w:pPr>
      <w:r>
        <w:rPr>
          <w:b/>
          <w:color w:val="007791"/>
        </w:rPr>
        <w:t>―――――――――――――――――――――――――――――――――――――――――――――――――――――――</w:t>
      </w:r>
    </w:p>
    <w:tbl>
      <w:tblPr>
        <w:tblW w:type="auto" w:w="0"/>
        <w:jc w:val="center"/>
        <w:tblLayout w:type="fixed"/>
        <w:tblLook w:firstColumn="1" w:firstRow="1" w:lastColumn="0" w:lastRow="0" w:noHBand="0" w:noVBand="1" w:val="04A0"/>
      </w:tblPr>
      <w:tblGrid>
        <w:gridCol w:w="4824"/>
        <w:gridCol w:w="4824"/>
      </w:tblGrid>
      <w:tr>
        <w:tc>
          <w:tcPr>
            <w:tcW w:type="dxa" w:w="8208"/>
            <w:shd w:fill="FFFFFF"/>
            <w:tcMar>
              <w:top w:w="35" w:type="dxa"/>
              <w:bottom w:w="35" w:type="dxa"/>
              <w:left w:w="50" w:type="dxa"/>
              <w:right w:w="50" w:type="dxa"/>
            </w:tcMar>
          </w:tcPr>
          <w:p>
            <w:r>
              <w:rPr>
                <w:b/>
                <w:color w:val="1B365D"/>
                <w:sz w:val="19"/>
              </w:rPr>
              <w:t>1. Executive Summary &amp; Problem Context</w:t>
            </w:r>
          </w:p>
        </w:tc>
        <w:tc>
          <w:tcPr>
            <w:tcW w:type="dxa" w:w="1440"/>
            <w:shd w:fill="FFFFFF"/>
            <w:tcMar>
              <w:top w:w="35" w:type="dxa"/>
              <w:bottom w:w="35" w:type="dxa"/>
              <w:left w:w="50" w:type="dxa"/>
              <w:right w:w="50" w:type="dxa"/>
            </w:tcMar>
          </w:tcPr>
          <w:p>
            <w:pPr>
              <w:jc w:val="right"/>
            </w:pPr>
            <w:r>
              <w:rPr>
                <w:color w:val="64748B"/>
                <w:sz w:val="19"/>
              </w:rPr>
              <w:t>3</w:t>
            </w:r>
          </w:p>
        </w:tc>
      </w:tr>
      <w:tr>
        <w:tc>
          <w:tcPr>
            <w:tcW w:type="dxa" w:w="8208"/>
            <w:shd w:fill="F9FBFC"/>
            <w:tcMar>
              <w:top w:w="35" w:type="dxa"/>
              <w:bottom w:w="35" w:type="dxa"/>
              <w:left w:w="50" w:type="dxa"/>
              <w:right w:w="50" w:type="dxa"/>
            </w:tcMar>
          </w:tcPr>
          <w:p>
            <w:r>
              <w:rPr>
                <w:b/>
                <w:color w:val="1B365D"/>
                <w:sz w:val="19"/>
              </w:rPr>
              <w:t>2. Architecture &amp; System Components: What We Have</w:t>
            </w:r>
          </w:p>
        </w:tc>
        <w:tc>
          <w:tcPr>
            <w:tcW w:type="dxa" w:w="1440"/>
            <w:shd w:fill="F9FBFC"/>
            <w:tcMar>
              <w:top w:w="35" w:type="dxa"/>
              <w:bottom w:w="35" w:type="dxa"/>
              <w:left w:w="50" w:type="dxa"/>
              <w:right w:w="50" w:type="dxa"/>
            </w:tcMar>
          </w:tcPr>
          <w:p>
            <w:pPr>
              <w:jc w:val="right"/>
            </w:pPr>
            <w:r>
              <w:rPr>
                <w:color w:val="64748B"/>
                <w:sz w:val="19"/>
              </w:rPr>
              <w:t>4</w:t>
            </w:r>
          </w:p>
        </w:tc>
      </w:tr>
      <w:tr>
        <w:tc>
          <w:tcPr>
            <w:tcW w:type="dxa" w:w="8208"/>
            <w:shd w:fill="FFFFFF"/>
            <w:tcMar>
              <w:top w:w="35" w:type="dxa"/>
              <w:bottom w:w="35" w:type="dxa"/>
              <w:left w:w="50" w:type="dxa"/>
              <w:right w:w="50" w:type="dxa"/>
            </w:tcMar>
          </w:tcPr>
          <w:p>
            <w:r>
              <w:rPr>
                <w:i/>
                <w:color w:val="007791"/>
                <w:sz w:val="19"/>
              </w:rPr>
              <w:t xml:space="preserve">   Figure 1: Authentication Gateway &amp; Access Control Portal</w:t>
            </w:r>
          </w:p>
        </w:tc>
        <w:tc>
          <w:tcPr>
            <w:tcW w:type="dxa" w:w="1440"/>
            <w:shd w:fill="FFFFFF"/>
            <w:tcMar>
              <w:top w:w="35" w:type="dxa"/>
              <w:bottom w:w="35" w:type="dxa"/>
              <w:left w:w="50" w:type="dxa"/>
              <w:right w:w="50" w:type="dxa"/>
            </w:tcMar>
          </w:tcPr>
          <w:p>
            <w:pPr>
              <w:jc w:val="right"/>
            </w:pPr>
            <w:r>
              <w:rPr>
                <w:color w:val="64748B"/>
                <w:sz w:val="19"/>
              </w:rPr>
              <w:t>5</w:t>
            </w:r>
          </w:p>
        </w:tc>
      </w:tr>
      <w:tr>
        <w:tc>
          <w:tcPr>
            <w:tcW w:type="dxa" w:w="8208"/>
            <w:shd w:fill="F9FBFC"/>
            <w:tcMar>
              <w:top w:w="35" w:type="dxa"/>
              <w:bottom w:w="35" w:type="dxa"/>
              <w:left w:w="50" w:type="dxa"/>
              <w:right w:w="50" w:type="dxa"/>
            </w:tcMar>
          </w:tcPr>
          <w:p>
            <w:r>
              <w:rPr>
                <w:i/>
                <w:color w:val="007791"/>
                <w:sz w:val="19"/>
              </w:rPr>
              <w:t xml:space="preserve">   Figure 2: Executive Inventory &amp; Sales Analytics Dashboard</w:t>
            </w:r>
          </w:p>
        </w:tc>
        <w:tc>
          <w:tcPr>
            <w:tcW w:type="dxa" w:w="1440"/>
            <w:shd w:fill="F9FBFC"/>
            <w:tcMar>
              <w:top w:w="35" w:type="dxa"/>
              <w:bottom w:w="35" w:type="dxa"/>
              <w:left w:w="50" w:type="dxa"/>
              <w:right w:w="50" w:type="dxa"/>
            </w:tcMar>
          </w:tcPr>
          <w:p>
            <w:pPr>
              <w:jc w:val="right"/>
            </w:pPr>
            <w:r>
              <w:rPr>
                <w:color w:val="64748B"/>
                <w:sz w:val="19"/>
              </w:rPr>
              <w:t>5</w:t>
            </w:r>
          </w:p>
        </w:tc>
      </w:tr>
      <w:tr>
        <w:tc>
          <w:tcPr>
            <w:tcW w:type="dxa" w:w="8208"/>
            <w:shd w:fill="FFFFFF"/>
            <w:tcMar>
              <w:top w:w="35" w:type="dxa"/>
              <w:bottom w:w="35" w:type="dxa"/>
              <w:left w:w="50" w:type="dxa"/>
              <w:right w:w="50" w:type="dxa"/>
            </w:tcMar>
          </w:tcPr>
          <w:p>
            <w:r>
              <w:rPr>
                <w:b/>
                <w:color w:val="1B365D"/>
                <w:sz w:val="19"/>
              </w:rPr>
              <w:t>3. Implementation &amp; Engineering: How We Used It</w:t>
            </w:r>
          </w:p>
        </w:tc>
        <w:tc>
          <w:tcPr>
            <w:tcW w:type="dxa" w:w="1440"/>
            <w:shd w:fill="FFFFFF"/>
            <w:tcMar>
              <w:top w:w="35" w:type="dxa"/>
              <w:bottom w:w="35" w:type="dxa"/>
              <w:left w:w="50" w:type="dxa"/>
              <w:right w:w="50" w:type="dxa"/>
            </w:tcMar>
          </w:tcPr>
          <w:p>
            <w:pPr>
              <w:jc w:val="right"/>
            </w:pPr>
            <w:r>
              <w:rPr>
                <w:color w:val="64748B"/>
                <w:sz w:val="19"/>
              </w:rPr>
              <w:t>6</w:t>
            </w:r>
          </w:p>
        </w:tc>
      </w:tr>
      <w:tr>
        <w:tc>
          <w:tcPr>
            <w:tcW w:type="dxa" w:w="8208"/>
            <w:shd w:fill="F9FBFC"/>
            <w:tcMar>
              <w:top w:w="35" w:type="dxa"/>
              <w:bottom w:w="35" w:type="dxa"/>
              <w:left w:w="50" w:type="dxa"/>
              <w:right w:w="50" w:type="dxa"/>
            </w:tcMar>
          </w:tcPr>
          <w:p>
            <w:r>
              <w:rPr>
                <w:sz w:val="19"/>
              </w:rPr>
              <w:t xml:space="preserve">   3.1 Point of Sale &amp; Dynamic Inventory Safeguards</w:t>
            </w:r>
          </w:p>
        </w:tc>
        <w:tc>
          <w:tcPr>
            <w:tcW w:type="dxa" w:w="1440"/>
            <w:shd w:fill="F9FBFC"/>
            <w:tcMar>
              <w:top w:w="35" w:type="dxa"/>
              <w:bottom w:w="35" w:type="dxa"/>
              <w:left w:w="50" w:type="dxa"/>
              <w:right w:w="50" w:type="dxa"/>
            </w:tcMar>
          </w:tcPr>
          <w:p>
            <w:pPr>
              <w:jc w:val="right"/>
            </w:pPr>
            <w:r>
              <w:rPr>
                <w:color w:val="64748B"/>
                <w:sz w:val="19"/>
              </w:rPr>
              <w:t>6</w:t>
            </w:r>
          </w:p>
        </w:tc>
      </w:tr>
      <w:tr>
        <w:tc>
          <w:tcPr>
            <w:tcW w:type="dxa" w:w="8208"/>
            <w:shd w:fill="FFFFFF"/>
            <w:tcMar>
              <w:top w:w="35" w:type="dxa"/>
              <w:bottom w:w="35" w:type="dxa"/>
              <w:left w:w="50" w:type="dxa"/>
              <w:right w:w="50" w:type="dxa"/>
            </w:tcMar>
          </w:tcPr>
          <w:p>
            <w:r>
              <w:rPr>
                <w:sz w:val="19"/>
              </w:rPr>
              <w:t xml:space="preserve">   3.2 Restock Governance &amp; Threshold Policy Enforcement</w:t>
            </w:r>
          </w:p>
        </w:tc>
        <w:tc>
          <w:tcPr>
            <w:tcW w:type="dxa" w:w="1440"/>
            <w:shd w:fill="FFFFFF"/>
            <w:tcMar>
              <w:top w:w="35" w:type="dxa"/>
              <w:bottom w:w="35" w:type="dxa"/>
              <w:left w:w="50" w:type="dxa"/>
              <w:right w:w="50" w:type="dxa"/>
            </w:tcMar>
          </w:tcPr>
          <w:p>
            <w:pPr>
              <w:jc w:val="right"/>
            </w:pPr>
            <w:r>
              <w:rPr>
                <w:color w:val="64748B"/>
                <w:sz w:val="19"/>
              </w:rPr>
              <w:t>7</w:t>
            </w:r>
          </w:p>
        </w:tc>
      </w:tr>
      <w:tr>
        <w:tc>
          <w:tcPr>
            <w:tcW w:type="dxa" w:w="8208"/>
            <w:shd w:fill="F9FBFC"/>
            <w:tcMar>
              <w:top w:w="35" w:type="dxa"/>
              <w:bottom w:w="35" w:type="dxa"/>
              <w:left w:w="50" w:type="dxa"/>
              <w:right w:w="50" w:type="dxa"/>
            </w:tcMar>
          </w:tcPr>
          <w:p>
            <w:r>
              <w:rPr>
                <w:i/>
                <w:color w:val="007791"/>
                <w:sz w:val="19"/>
              </w:rPr>
              <w:t xml:space="preserve">   Figure 3: Interactive Restock Modal (&lt; 50 Units Governance)</w:t>
            </w:r>
          </w:p>
        </w:tc>
        <w:tc>
          <w:tcPr>
            <w:tcW w:type="dxa" w:w="1440"/>
            <w:shd w:fill="F9FBFC"/>
            <w:tcMar>
              <w:top w:w="35" w:type="dxa"/>
              <w:bottom w:w="35" w:type="dxa"/>
              <w:left w:w="50" w:type="dxa"/>
              <w:right w:w="50" w:type="dxa"/>
            </w:tcMar>
          </w:tcPr>
          <w:p>
            <w:pPr>
              <w:jc w:val="right"/>
            </w:pPr>
            <w:r>
              <w:rPr>
                <w:color w:val="64748B"/>
                <w:sz w:val="19"/>
              </w:rPr>
              <w:t>7</w:t>
            </w:r>
          </w:p>
        </w:tc>
      </w:tr>
      <w:tr>
        <w:tc>
          <w:tcPr>
            <w:tcW w:type="dxa" w:w="8208"/>
            <w:shd w:fill="FFFFFF"/>
            <w:tcMar>
              <w:top w:w="35" w:type="dxa"/>
              <w:bottom w:w="35" w:type="dxa"/>
              <w:left w:w="50" w:type="dxa"/>
              <w:right w:w="50" w:type="dxa"/>
            </w:tcMar>
          </w:tcPr>
          <w:p>
            <w:r>
              <w:rPr>
                <w:sz w:val="19"/>
              </w:rPr>
              <w:t xml:space="preserve">   3.3 Automated Event-Driven Notification Engine</w:t>
            </w:r>
          </w:p>
        </w:tc>
        <w:tc>
          <w:tcPr>
            <w:tcW w:type="dxa" w:w="1440"/>
            <w:shd w:fill="FFFFFF"/>
            <w:tcMar>
              <w:top w:w="35" w:type="dxa"/>
              <w:bottom w:w="35" w:type="dxa"/>
              <w:left w:w="50" w:type="dxa"/>
              <w:right w:w="50" w:type="dxa"/>
            </w:tcMar>
          </w:tcPr>
          <w:p>
            <w:pPr>
              <w:jc w:val="right"/>
            </w:pPr>
            <w:r>
              <w:rPr>
                <w:color w:val="64748B"/>
                <w:sz w:val="19"/>
              </w:rPr>
              <w:t>8</w:t>
            </w:r>
          </w:p>
        </w:tc>
      </w:tr>
      <w:tr>
        <w:tc>
          <w:tcPr>
            <w:tcW w:type="dxa" w:w="8208"/>
            <w:shd w:fill="F9FBFC"/>
            <w:tcMar>
              <w:top w:w="35" w:type="dxa"/>
              <w:bottom w:w="35" w:type="dxa"/>
              <w:left w:w="50" w:type="dxa"/>
              <w:right w:w="50" w:type="dxa"/>
            </w:tcMar>
          </w:tcPr>
          <w:p>
            <w:r>
              <w:rPr>
                <w:sz w:val="19"/>
              </w:rPr>
              <w:t xml:space="preserve">   3.4 Dual-Engine Graph Architecture (Integrated &amp; Standalone)</w:t>
            </w:r>
          </w:p>
        </w:tc>
        <w:tc>
          <w:tcPr>
            <w:tcW w:type="dxa" w:w="1440"/>
            <w:shd w:fill="F9FBFC"/>
            <w:tcMar>
              <w:top w:w="35" w:type="dxa"/>
              <w:bottom w:w="35" w:type="dxa"/>
              <w:left w:w="50" w:type="dxa"/>
              <w:right w:w="50" w:type="dxa"/>
            </w:tcMar>
          </w:tcPr>
          <w:p>
            <w:pPr>
              <w:jc w:val="right"/>
            </w:pPr>
            <w:r>
              <w:rPr>
                <w:color w:val="64748B"/>
                <w:sz w:val="19"/>
              </w:rPr>
              <w:t>9</w:t>
            </w:r>
          </w:p>
        </w:tc>
      </w:tr>
      <w:tr>
        <w:tc>
          <w:tcPr>
            <w:tcW w:type="dxa" w:w="8208"/>
            <w:shd w:fill="FFFFFF"/>
            <w:tcMar>
              <w:top w:w="35" w:type="dxa"/>
              <w:bottom w:w="35" w:type="dxa"/>
              <w:left w:w="50" w:type="dxa"/>
              <w:right w:w="50" w:type="dxa"/>
            </w:tcMar>
          </w:tcPr>
          <w:p>
            <w:r>
              <w:rPr>
                <w:i/>
                <w:color w:val="007791"/>
                <w:sz w:val="19"/>
              </w:rPr>
              <w:t xml:space="preserve">   Figure 4: Live Interactive Graph Analytics Suite with Cypher Engine</w:t>
            </w:r>
          </w:p>
        </w:tc>
        <w:tc>
          <w:tcPr>
            <w:tcW w:type="dxa" w:w="1440"/>
            <w:shd w:fill="FFFFFF"/>
            <w:tcMar>
              <w:top w:w="35" w:type="dxa"/>
              <w:bottom w:w="35" w:type="dxa"/>
              <w:left w:w="50" w:type="dxa"/>
              <w:right w:w="50" w:type="dxa"/>
            </w:tcMar>
          </w:tcPr>
          <w:p>
            <w:pPr>
              <w:jc w:val="right"/>
            </w:pPr>
            <w:r>
              <w:rPr>
                <w:color w:val="64748B"/>
                <w:sz w:val="19"/>
              </w:rPr>
              <w:t>10</w:t>
            </w:r>
          </w:p>
        </w:tc>
      </w:tr>
      <w:tr>
        <w:tc>
          <w:tcPr>
            <w:tcW w:type="dxa" w:w="8208"/>
            <w:shd w:fill="F9FBFC"/>
            <w:tcMar>
              <w:top w:w="35" w:type="dxa"/>
              <w:bottom w:w="35" w:type="dxa"/>
              <w:left w:w="50" w:type="dxa"/>
              <w:right w:w="50" w:type="dxa"/>
            </w:tcMar>
          </w:tcPr>
          <w:p>
            <w:r>
              <w:rPr>
                <w:b/>
                <w:color w:val="1B365D"/>
                <w:sz w:val="19"/>
              </w:rPr>
              <w:t>4. Justification &amp; Comparative Rationale: Why We Used It</w:t>
            </w:r>
          </w:p>
        </w:tc>
        <w:tc>
          <w:tcPr>
            <w:tcW w:type="dxa" w:w="1440"/>
            <w:shd w:fill="F9FBFC"/>
            <w:tcMar>
              <w:top w:w="35" w:type="dxa"/>
              <w:bottom w:w="35" w:type="dxa"/>
              <w:left w:w="50" w:type="dxa"/>
              <w:right w:w="50" w:type="dxa"/>
            </w:tcMar>
          </w:tcPr>
          <w:p>
            <w:pPr>
              <w:jc w:val="right"/>
            </w:pPr>
            <w:r>
              <w:rPr>
                <w:color w:val="64748B"/>
                <w:sz w:val="19"/>
              </w:rPr>
              <w:t>11</w:t>
            </w:r>
          </w:p>
        </w:tc>
      </w:tr>
      <w:tr>
        <w:tc>
          <w:tcPr>
            <w:tcW w:type="dxa" w:w="8208"/>
            <w:shd w:fill="FFFFFF"/>
            <w:tcMar>
              <w:top w:w="35" w:type="dxa"/>
              <w:bottom w:w="35" w:type="dxa"/>
              <w:left w:w="50" w:type="dxa"/>
              <w:right w:w="50" w:type="dxa"/>
            </w:tcMar>
          </w:tcPr>
          <w:p>
            <w:r>
              <w:rPr>
                <w:sz w:val="19"/>
              </w:rPr>
              <w:t xml:space="preserve">   4.1 The Relational Bottleneck in Healthcare Provenance</w:t>
            </w:r>
          </w:p>
        </w:tc>
        <w:tc>
          <w:tcPr>
            <w:tcW w:type="dxa" w:w="1440"/>
            <w:shd w:fill="FFFFFF"/>
            <w:tcMar>
              <w:top w:w="35" w:type="dxa"/>
              <w:bottom w:w="35" w:type="dxa"/>
              <w:left w:w="50" w:type="dxa"/>
              <w:right w:w="50" w:type="dxa"/>
            </w:tcMar>
          </w:tcPr>
          <w:p>
            <w:pPr>
              <w:jc w:val="right"/>
            </w:pPr>
            <w:r>
              <w:rPr>
                <w:color w:val="64748B"/>
                <w:sz w:val="19"/>
              </w:rPr>
              <w:t>11</w:t>
            </w:r>
          </w:p>
        </w:tc>
      </w:tr>
      <w:tr>
        <w:tc>
          <w:tcPr>
            <w:tcW w:type="dxa" w:w="8208"/>
            <w:shd w:fill="F9FBFC"/>
            <w:tcMar>
              <w:top w:w="35" w:type="dxa"/>
              <w:bottom w:w="35" w:type="dxa"/>
              <w:left w:w="50" w:type="dxa"/>
              <w:right w:w="50" w:type="dxa"/>
            </w:tcMar>
          </w:tcPr>
          <w:p>
            <w:r>
              <w:rPr>
                <w:sz w:val="19"/>
              </w:rPr>
              <w:t xml:space="preserve">   4.2 Index-Free Adjacency &amp; Traversal Complexity Analysis</w:t>
            </w:r>
          </w:p>
        </w:tc>
        <w:tc>
          <w:tcPr>
            <w:tcW w:type="dxa" w:w="1440"/>
            <w:shd w:fill="F9FBFC"/>
            <w:tcMar>
              <w:top w:w="35" w:type="dxa"/>
              <w:bottom w:w="35" w:type="dxa"/>
              <w:left w:w="50" w:type="dxa"/>
              <w:right w:w="50" w:type="dxa"/>
            </w:tcMar>
          </w:tcPr>
          <w:p>
            <w:pPr>
              <w:jc w:val="right"/>
            </w:pPr>
            <w:r>
              <w:rPr>
                <w:color w:val="64748B"/>
                <w:sz w:val="19"/>
              </w:rPr>
              <w:t>12</w:t>
            </w:r>
          </w:p>
        </w:tc>
      </w:tr>
      <w:tr>
        <w:tc>
          <w:tcPr>
            <w:tcW w:type="dxa" w:w="8208"/>
            <w:shd w:fill="FFFFFF"/>
            <w:tcMar>
              <w:top w:w="35" w:type="dxa"/>
              <w:bottom w:w="35" w:type="dxa"/>
              <w:left w:w="50" w:type="dxa"/>
              <w:right w:w="50" w:type="dxa"/>
            </w:tcMar>
          </w:tcPr>
          <w:p>
            <w:r>
              <w:rPr>
                <w:sz w:val="19"/>
              </w:rPr>
              <w:t xml:space="preserve">   4.3 Comparative Matrix: RDBMS vs. Property Graph Database</w:t>
            </w:r>
          </w:p>
        </w:tc>
        <w:tc>
          <w:tcPr>
            <w:tcW w:type="dxa" w:w="1440"/>
            <w:shd w:fill="FFFFFF"/>
            <w:tcMar>
              <w:top w:w="35" w:type="dxa"/>
              <w:bottom w:w="35" w:type="dxa"/>
              <w:left w:w="50" w:type="dxa"/>
              <w:right w:w="50" w:type="dxa"/>
            </w:tcMar>
          </w:tcPr>
          <w:p>
            <w:pPr>
              <w:jc w:val="right"/>
            </w:pPr>
            <w:r>
              <w:rPr>
                <w:color w:val="64748B"/>
                <w:sz w:val="19"/>
              </w:rPr>
              <w:t>13</w:t>
            </w:r>
          </w:p>
        </w:tc>
      </w:tr>
      <w:tr>
        <w:tc>
          <w:tcPr>
            <w:tcW w:type="dxa" w:w="8208"/>
            <w:shd w:fill="F9FBFC"/>
            <w:tcMar>
              <w:top w:w="35" w:type="dxa"/>
              <w:bottom w:w="35" w:type="dxa"/>
              <w:left w:w="50" w:type="dxa"/>
              <w:right w:w="50" w:type="dxa"/>
            </w:tcMar>
          </w:tcPr>
          <w:p>
            <w:r>
              <w:rPr>
                <w:b/>
                <w:color w:val="1B365D"/>
                <w:sz w:val="19"/>
              </w:rPr>
              <w:t>5. Database Schema &amp; Property Graph Topology</w:t>
            </w:r>
          </w:p>
        </w:tc>
        <w:tc>
          <w:tcPr>
            <w:tcW w:type="dxa" w:w="1440"/>
            <w:shd w:fill="F9FBFC"/>
            <w:tcMar>
              <w:top w:w="35" w:type="dxa"/>
              <w:bottom w:w="35" w:type="dxa"/>
              <w:left w:w="50" w:type="dxa"/>
              <w:right w:w="50" w:type="dxa"/>
            </w:tcMar>
          </w:tcPr>
          <w:p>
            <w:pPr>
              <w:jc w:val="right"/>
            </w:pPr>
            <w:r>
              <w:rPr>
                <w:color w:val="64748B"/>
                <w:sz w:val="19"/>
              </w:rPr>
              <w:t>14</w:t>
            </w:r>
          </w:p>
        </w:tc>
      </w:tr>
      <w:tr>
        <w:tc>
          <w:tcPr>
            <w:tcW w:type="dxa" w:w="8208"/>
            <w:shd w:fill="FFFFFF"/>
            <w:tcMar>
              <w:top w:w="35" w:type="dxa"/>
              <w:bottom w:w="35" w:type="dxa"/>
              <w:left w:w="50" w:type="dxa"/>
              <w:right w:w="50" w:type="dxa"/>
            </w:tcMar>
          </w:tcPr>
          <w:p>
            <w:r>
              <w:rPr>
                <w:sz w:val="19"/>
              </w:rPr>
              <w:t xml:space="preserve">   5.1 Relational Schema Specification</w:t>
            </w:r>
          </w:p>
        </w:tc>
        <w:tc>
          <w:tcPr>
            <w:tcW w:type="dxa" w:w="1440"/>
            <w:shd w:fill="FFFFFF"/>
            <w:tcMar>
              <w:top w:w="35" w:type="dxa"/>
              <w:bottom w:w="35" w:type="dxa"/>
              <w:left w:w="50" w:type="dxa"/>
              <w:right w:w="50" w:type="dxa"/>
            </w:tcMar>
          </w:tcPr>
          <w:p>
            <w:pPr>
              <w:jc w:val="right"/>
            </w:pPr>
            <w:r>
              <w:rPr>
                <w:color w:val="64748B"/>
                <w:sz w:val="19"/>
              </w:rPr>
              <w:t>14</w:t>
            </w:r>
          </w:p>
        </w:tc>
      </w:tr>
      <w:tr>
        <w:tc>
          <w:tcPr>
            <w:tcW w:type="dxa" w:w="8208"/>
            <w:shd w:fill="F9FBFC"/>
            <w:tcMar>
              <w:top w:w="35" w:type="dxa"/>
              <w:bottom w:w="35" w:type="dxa"/>
              <w:left w:w="50" w:type="dxa"/>
              <w:right w:w="50" w:type="dxa"/>
            </w:tcMar>
          </w:tcPr>
          <w:p>
            <w:r>
              <w:rPr>
                <w:sz w:val="19"/>
              </w:rPr>
              <w:t xml:space="preserve">   5.2 Neo4j Graph Model: Nodes, Edges &amp; Properties</w:t>
            </w:r>
          </w:p>
        </w:tc>
        <w:tc>
          <w:tcPr>
            <w:tcW w:type="dxa" w:w="1440"/>
            <w:shd w:fill="F9FBFC"/>
            <w:tcMar>
              <w:top w:w="35" w:type="dxa"/>
              <w:bottom w:w="35" w:type="dxa"/>
              <w:left w:w="50" w:type="dxa"/>
              <w:right w:w="50" w:type="dxa"/>
            </w:tcMar>
          </w:tcPr>
          <w:p>
            <w:pPr>
              <w:jc w:val="right"/>
            </w:pPr>
            <w:r>
              <w:rPr>
                <w:color w:val="64748B"/>
                <w:sz w:val="19"/>
              </w:rPr>
              <w:t>15</w:t>
            </w:r>
          </w:p>
        </w:tc>
      </w:tr>
      <w:tr>
        <w:tc>
          <w:tcPr>
            <w:tcW w:type="dxa" w:w="8208"/>
            <w:shd w:fill="FFFFFF"/>
            <w:tcMar>
              <w:top w:w="35" w:type="dxa"/>
              <w:bottom w:w="35" w:type="dxa"/>
              <w:left w:w="50" w:type="dxa"/>
              <w:right w:w="50" w:type="dxa"/>
            </w:tcMar>
          </w:tcPr>
          <w:p>
            <w:r>
              <w:rPr>
                <w:i/>
                <w:color w:val="007791"/>
                <w:sz w:val="19"/>
              </w:rPr>
              <w:t xml:space="preserve">   Figure 5: Property Graph Topology &amp; First-Class Pointer Architecture</w:t>
            </w:r>
          </w:p>
        </w:tc>
        <w:tc>
          <w:tcPr>
            <w:tcW w:type="dxa" w:w="1440"/>
            <w:shd w:fill="FFFFFF"/>
            <w:tcMar>
              <w:top w:w="35" w:type="dxa"/>
              <w:bottom w:w="35" w:type="dxa"/>
              <w:left w:w="50" w:type="dxa"/>
              <w:right w:w="50" w:type="dxa"/>
            </w:tcMar>
          </w:tcPr>
          <w:p>
            <w:pPr>
              <w:jc w:val="right"/>
            </w:pPr>
            <w:r>
              <w:rPr>
                <w:color w:val="64748B"/>
                <w:sz w:val="19"/>
              </w:rPr>
              <w:t>16</w:t>
            </w:r>
          </w:p>
        </w:tc>
      </w:tr>
      <w:tr>
        <w:tc>
          <w:tcPr>
            <w:tcW w:type="dxa" w:w="8208"/>
            <w:shd w:fill="F9FBFC"/>
            <w:tcMar>
              <w:top w:w="35" w:type="dxa"/>
              <w:bottom w:w="35" w:type="dxa"/>
              <w:left w:w="50" w:type="dxa"/>
              <w:right w:w="50" w:type="dxa"/>
            </w:tcMar>
          </w:tcPr>
          <w:p>
            <w:r>
              <w:rPr>
                <w:b/>
                <w:color w:val="1B365D"/>
                <w:sz w:val="19"/>
              </w:rPr>
              <w:t>6. Core openCypher Technology Operations &amp; Ingested Datasets</w:t>
            </w:r>
          </w:p>
        </w:tc>
        <w:tc>
          <w:tcPr>
            <w:tcW w:type="dxa" w:w="1440"/>
            <w:shd w:fill="F9FBFC"/>
            <w:tcMar>
              <w:top w:w="35" w:type="dxa"/>
              <w:bottom w:w="35" w:type="dxa"/>
              <w:left w:w="50" w:type="dxa"/>
              <w:right w:w="50" w:type="dxa"/>
            </w:tcMar>
          </w:tcPr>
          <w:p>
            <w:pPr>
              <w:jc w:val="right"/>
            </w:pPr>
            <w:r>
              <w:rPr>
                <w:color w:val="64748B"/>
                <w:sz w:val="19"/>
              </w:rPr>
              <w:t>17</w:t>
            </w:r>
          </w:p>
        </w:tc>
      </w:tr>
      <w:tr>
        <w:tc>
          <w:tcPr>
            <w:tcW w:type="dxa" w:w="8208"/>
            <w:shd w:fill="FFFFFF"/>
            <w:tcMar>
              <w:top w:w="35" w:type="dxa"/>
              <w:bottom w:w="35" w:type="dxa"/>
              <w:left w:w="50" w:type="dxa"/>
              <w:right w:w="50" w:type="dxa"/>
            </w:tcMar>
          </w:tcPr>
          <w:p>
            <w:r>
              <w:rPr>
                <w:sz w:val="19"/>
              </w:rPr>
              <w:t xml:space="preserve">   6.1 Atomic Ingestion &amp; Multi-Hop Linkage</w:t>
            </w:r>
          </w:p>
        </w:tc>
        <w:tc>
          <w:tcPr>
            <w:tcW w:type="dxa" w:w="1440"/>
            <w:shd w:fill="FFFFFF"/>
            <w:tcMar>
              <w:top w:w="35" w:type="dxa"/>
              <w:bottom w:w="35" w:type="dxa"/>
              <w:left w:w="50" w:type="dxa"/>
              <w:right w:w="50" w:type="dxa"/>
            </w:tcMar>
          </w:tcPr>
          <w:p>
            <w:pPr>
              <w:jc w:val="right"/>
            </w:pPr>
            <w:r>
              <w:rPr>
                <w:color w:val="64748B"/>
                <w:sz w:val="19"/>
              </w:rPr>
              <w:t>17</w:t>
            </w:r>
          </w:p>
        </w:tc>
      </w:tr>
      <w:tr>
        <w:tc>
          <w:tcPr>
            <w:tcW w:type="dxa" w:w="8208"/>
            <w:shd w:fill="F9FBFC"/>
            <w:tcMar>
              <w:top w:w="35" w:type="dxa"/>
              <w:bottom w:w="35" w:type="dxa"/>
              <w:left w:w="50" w:type="dxa"/>
              <w:right w:w="50" w:type="dxa"/>
            </w:tcMar>
          </w:tcPr>
          <w:p>
            <w:r>
              <w:rPr>
                <w:sz w:val="19"/>
              </w:rPr>
              <w:t xml:space="preserve">   6.2 Upstream &amp; Downstream Batch Provenance</w:t>
            </w:r>
          </w:p>
        </w:tc>
        <w:tc>
          <w:tcPr>
            <w:tcW w:type="dxa" w:w="1440"/>
            <w:shd w:fill="F9FBFC"/>
            <w:tcMar>
              <w:top w:w="35" w:type="dxa"/>
              <w:bottom w:w="35" w:type="dxa"/>
              <w:left w:w="50" w:type="dxa"/>
              <w:right w:w="50" w:type="dxa"/>
            </w:tcMar>
          </w:tcPr>
          <w:p>
            <w:pPr>
              <w:jc w:val="right"/>
            </w:pPr>
            <w:r>
              <w:rPr>
                <w:color w:val="64748B"/>
                <w:sz w:val="19"/>
              </w:rPr>
              <w:t>17</w:t>
            </w:r>
          </w:p>
        </w:tc>
      </w:tr>
      <w:tr>
        <w:tc>
          <w:tcPr>
            <w:tcW w:type="dxa" w:w="8208"/>
            <w:shd w:fill="FFFFFF"/>
            <w:tcMar>
              <w:top w:w="35" w:type="dxa"/>
              <w:bottom w:w="35" w:type="dxa"/>
              <w:left w:w="50" w:type="dxa"/>
              <w:right w:w="50" w:type="dxa"/>
            </w:tcMar>
          </w:tcPr>
          <w:p>
            <w:r>
              <w:rPr>
                <w:sz w:val="19"/>
              </w:rPr>
              <w:t xml:space="preserve">   6.3 Critical FDA/Batch Recall Traversal</w:t>
            </w:r>
          </w:p>
        </w:tc>
        <w:tc>
          <w:tcPr>
            <w:tcW w:type="dxa" w:w="1440"/>
            <w:shd w:fill="FFFFFF"/>
            <w:tcMar>
              <w:top w:w="35" w:type="dxa"/>
              <w:bottom w:w="35" w:type="dxa"/>
              <w:left w:w="50" w:type="dxa"/>
              <w:right w:w="50" w:type="dxa"/>
            </w:tcMar>
          </w:tcPr>
          <w:p>
            <w:pPr>
              <w:jc w:val="right"/>
            </w:pPr>
            <w:r>
              <w:rPr>
                <w:color w:val="64748B"/>
                <w:sz w:val="19"/>
              </w:rPr>
              <w:t>18</w:t>
            </w:r>
          </w:p>
        </w:tc>
      </w:tr>
      <w:tr>
        <w:tc>
          <w:tcPr>
            <w:tcW w:type="dxa" w:w="8208"/>
            <w:shd w:fill="F9FBFC"/>
            <w:tcMar>
              <w:top w:w="35" w:type="dxa"/>
              <w:bottom w:w="35" w:type="dxa"/>
              <w:left w:w="50" w:type="dxa"/>
              <w:right w:w="50" w:type="dxa"/>
            </w:tcMar>
          </w:tcPr>
          <w:p>
            <w:r>
              <w:rPr>
                <w:sz w:val="19"/>
              </w:rPr>
              <w:t xml:space="preserve">   6.4 Dispensing Decrement Transaction</w:t>
            </w:r>
          </w:p>
        </w:tc>
        <w:tc>
          <w:tcPr>
            <w:tcW w:type="dxa" w:w="1440"/>
            <w:shd w:fill="F9FBFC"/>
            <w:tcMar>
              <w:top w:w="35" w:type="dxa"/>
              <w:bottom w:w="35" w:type="dxa"/>
              <w:left w:w="50" w:type="dxa"/>
              <w:right w:w="50" w:type="dxa"/>
            </w:tcMar>
          </w:tcPr>
          <w:p>
            <w:pPr>
              <w:jc w:val="right"/>
            </w:pPr>
            <w:r>
              <w:rPr>
                <w:color w:val="64748B"/>
                <w:sz w:val="19"/>
              </w:rPr>
              <w:t>18</w:t>
            </w:r>
          </w:p>
        </w:tc>
      </w:tr>
      <w:tr>
        <w:tc>
          <w:tcPr>
            <w:tcW w:type="dxa" w:w="8208"/>
            <w:shd w:fill="FFFFFF"/>
            <w:tcMar>
              <w:top w:w="35" w:type="dxa"/>
              <w:bottom w:w="35" w:type="dxa"/>
              <w:left w:w="50" w:type="dxa"/>
              <w:right w:w="50" w:type="dxa"/>
            </w:tcMar>
          </w:tcPr>
          <w:p>
            <w:r>
              <w:rPr>
                <w:sz w:val="19"/>
              </w:rPr>
              <w:t xml:space="preserve">   6.5 Vendor Replenishment &amp; Reorder Query</w:t>
            </w:r>
          </w:p>
        </w:tc>
        <w:tc>
          <w:tcPr>
            <w:tcW w:type="dxa" w:w="1440"/>
            <w:shd w:fill="FFFFFF"/>
            <w:tcMar>
              <w:top w:w="35" w:type="dxa"/>
              <w:bottom w:w="35" w:type="dxa"/>
              <w:left w:w="50" w:type="dxa"/>
              <w:right w:w="50" w:type="dxa"/>
            </w:tcMar>
          </w:tcPr>
          <w:p>
            <w:pPr>
              <w:jc w:val="right"/>
            </w:pPr>
            <w:r>
              <w:rPr>
                <w:color w:val="64748B"/>
                <w:sz w:val="19"/>
              </w:rPr>
              <w:t>19</w:t>
            </w:r>
          </w:p>
        </w:tc>
      </w:tr>
      <w:tr>
        <w:tc>
          <w:tcPr>
            <w:tcW w:type="dxa" w:w="8208"/>
            <w:shd w:fill="F9FBFC"/>
            <w:tcMar>
              <w:top w:w="35" w:type="dxa"/>
              <w:bottom w:w="35" w:type="dxa"/>
              <w:left w:w="50" w:type="dxa"/>
              <w:right w:w="50" w:type="dxa"/>
            </w:tcMar>
          </w:tcPr>
          <w:p>
            <w:r>
              <w:rPr>
                <w:b/>
                <w:color w:val="1B365D"/>
                <w:sz w:val="19"/>
              </w:rPr>
              <w:t>7. Verification, Validation &amp; Live Screen Demonstrations</w:t>
            </w:r>
          </w:p>
        </w:tc>
        <w:tc>
          <w:tcPr>
            <w:tcW w:type="dxa" w:w="1440"/>
            <w:shd w:fill="F9FBFC"/>
            <w:tcMar>
              <w:top w:w="35" w:type="dxa"/>
              <w:bottom w:w="35" w:type="dxa"/>
              <w:left w:w="50" w:type="dxa"/>
              <w:right w:w="50" w:type="dxa"/>
            </w:tcMar>
          </w:tcPr>
          <w:p>
            <w:pPr>
              <w:jc w:val="right"/>
            </w:pPr>
            <w:r>
              <w:rPr>
                <w:color w:val="64748B"/>
                <w:sz w:val="19"/>
              </w:rPr>
              <w:t>20</w:t>
            </w:r>
          </w:p>
        </w:tc>
      </w:tr>
      <w:tr>
        <w:tc>
          <w:tcPr>
            <w:tcW w:type="dxa" w:w="8208"/>
            <w:shd w:fill="FFFFFF"/>
            <w:tcMar>
              <w:top w:w="35" w:type="dxa"/>
              <w:bottom w:w="35" w:type="dxa"/>
              <w:left w:w="50" w:type="dxa"/>
              <w:right w:w="50" w:type="dxa"/>
            </w:tcMar>
          </w:tcPr>
          <w:p>
            <w:r>
              <w:rPr>
                <w:i/>
                <w:color w:val="007791"/>
                <w:sz w:val="19"/>
              </w:rPr>
              <w:t xml:space="preserve">   Figure 6: Role Management, Security Permissions &amp; User Profile</w:t>
            </w:r>
          </w:p>
        </w:tc>
        <w:tc>
          <w:tcPr>
            <w:tcW w:type="dxa" w:w="1440"/>
            <w:shd w:fill="FFFFFF"/>
            <w:tcMar>
              <w:top w:w="35" w:type="dxa"/>
              <w:bottom w:w="35" w:type="dxa"/>
              <w:left w:w="50" w:type="dxa"/>
              <w:right w:w="50" w:type="dxa"/>
            </w:tcMar>
          </w:tcPr>
          <w:p>
            <w:pPr>
              <w:jc w:val="right"/>
            </w:pPr>
            <w:r>
              <w:rPr>
                <w:color w:val="64748B"/>
                <w:sz w:val="19"/>
              </w:rPr>
              <w:t>21</w:t>
            </w:r>
          </w:p>
        </w:tc>
      </w:tr>
      <w:tr>
        <w:tc>
          <w:tcPr>
            <w:tcW w:type="dxa" w:w="8208"/>
            <w:shd w:fill="F9FBFC"/>
            <w:tcMar>
              <w:top w:w="35" w:type="dxa"/>
              <w:bottom w:w="35" w:type="dxa"/>
              <w:left w:w="50" w:type="dxa"/>
              <w:right w:w="50" w:type="dxa"/>
            </w:tcMar>
          </w:tcPr>
          <w:p>
            <w:r>
              <w:rPr>
                <w:b/>
                <w:color w:val="1B365D"/>
                <w:sz w:val="19"/>
              </w:rPr>
              <w:t>8. Conclusion &amp; Future Technical Roadmap</w:t>
            </w:r>
          </w:p>
        </w:tc>
        <w:tc>
          <w:tcPr>
            <w:tcW w:type="dxa" w:w="1440"/>
            <w:shd w:fill="F9FBFC"/>
            <w:tcMar>
              <w:top w:w="35" w:type="dxa"/>
              <w:bottom w:w="35" w:type="dxa"/>
              <w:left w:w="50" w:type="dxa"/>
              <w:right w:w="50" w:type="dxa"/>
            </w:tcMar>
          </w:tcPr>
          <w:p>
            <w:pPr>
              <w:jc w:val="right"/>
            </w:pPr>
            <w:r>
              <w:rPr>
                <w:color w:val="64748B"/>
                <w:sz w:val="19"/>
              </w:rPr>
              <w:t>22</w:t>
            </w:r>
          </w:p>
        </w:tc>
      </w:tr>
    </w:tbl>
    <w:p>
      <w:r>
        <w:br w:type="page"/>
      </w:r>
    </w:p>
    <w:p>
      <w:pPr>
        <w:keepNext/>
        <w:spacing w:before="360" w:after="120"/>
      </w:pPr>
      <w:r>
        <w:rPr>
          <w:rFonts w:ascii="Calibri" w:hAnsi="Calibri"/>
          <w:b/>
          <w:color w:val="1B365D"/>
          <w:sz w:val="32"/>
        </w:rPr>
        <w:t>1. Executive Summary &amp; Problem Context</w:t>
      </w:r>
    </w:p>
    <w:p>
      <w:pPr>
        <w:spacing w:before="0" w:after="160"/>
      </w:pPr>
      <w:r>
        <w:rPr>
          <w:b/>
          <w:color w:val="007791"/>
        </w:rPr>
        <w:t>―――――――――――――――――――――――――――――――――――――――――――――――――――――――</w:t>
      </w:r>
    </w:p>
    <w:p>
      <w:r>
        <w:t>In modern clinical pharmacy operations and pharmaceutical supply logistics, medication management extends far beyond traditional inventory ledgering. A single unit of medication is embedded in a complex, multi-tiered dependency web: synthesized by certified manufacturers and bulk distributors (</w:t>
      </w:r>
      <w:r>
        <w:rPr>
          <w:b/>
        </w:rPr>
        <w:t>Suppliers</w:t>
      </w:r>
      <w:r>
        <w:t>), cataloged into pharmacological classifications (</w:t>
      </w:r>
      <w:r>
        <w:rPr>
          <w:b/>
        </w:rPr>
        <w:t>Categories</w:t>
      </w:r>
      <w:r>
        <w:t>), distributed in discrete batch lots with strict expiration dates (</w:t>
      </w:r>
      <w:r>
        <w:rPr>
          <w:b/>
        </w:rPr>
        <w:t>Products / Purchases</w:t>
      </w:r>
      <w:r>
        <w:t>), and dispensed to walk-in patients or medical wards through point-of-sale transactions (</w:t>
      </w:r>
      <w:r>
        <w:rPr>
          <w:b/>
        </w:rPr>
        <w:t>Sales</w:t>
      </w:r>
      <w:r>
        <w:t>).</w:t>
      </w:r>
    </w:p>
    <w:p>
      <w:r>
        <w:t xml:space="preserve">Traditional pharmacy management systems have historically relied on monolithic Relational Database Management Systems (RDBMS, such as MySQL or PostgreSQL). While relational engines excel at structured tabular transactions, financial ledger accounting, and strict ACID guarantees, they exhibit severe architectural bottlenecks when handling </w:t>
      </w:r>
      <w:r>
        <w:rPr>
          <w:b/>
        </w:rPr>
        <w:t>highly connected network data</w:t>
      </w:r>
      <w:r>
        <w:t>. In scenarios such as sudden FDA medication recalls, counterfeit batch identification, or supply bottleneck discovery, administrators must traverse multi-hop chains connecting patients back to distributors.</w:t>
      </w:r>
    </w:p>
    <w:tbl>
      <w:tblPr>
        <w:tblW w:type="auto" w:w="0"/>
        <w:jc w:val="center"/>
        <w:tblLayout w:type="fixed"/>
        <w:tblLook w:firstColumn="1" w:firstRow="1" w:lastColumn="0" w:lastRow="0" w:noHBand="0" w:noVBand="1" w:val="04A0"/>
      </w:tblPr>
      <w:tblGrid>
        <w:gridCol w:w="9648"/>
      </w:tblGrid>
      <w:tr>
        <w:tc>
          <w:tcPr>
            <w:tcW w:type="dxa" w:w="9648"/>
            <w:shd w:fill="F0F7F9"/>
            <w:tcMar>
              <w:top w:w="120" w:type="dxa"/>
              <w:bottom w:w="120" w:type="dxa"/>
              <w:left w:w="160" w:type="dxa"/>
              <w:right w:w="160" w:type="dxa"/>
            </w:tcMar>
            <w:tcBorders>
              <w:top w:val="none"/>
              <w:left w:val="single" w:sz="30" w:space="0" w:color="007791"/>
              <w:bottom w:val="none"/>
              <w:right w:val="none"/>
            </w:tcBorders>
          </w:tcPr>
          <w:p>
            <w:pPr>
              <w:spacing w:before="40" w:after="40"/>
            </w:pPr>
            <w:r>
              <w:rPr>
                <w:b/>
                <w:color w:val="007791"/>
                <w:sz w:val="19"/>
              </w:rPr>
              <w:t xml:space="preserve">CORE MOTIVATION: </w:t>
            </w:r>
            <w:r>
              <w:rPr>
                <w:color w:val="2C3E50"/>
                <w:sz w:val="19"/>
              </w:rPr>
              <w:t>In a relational database, multi-hop supply chain queries require recursive self-joins or 5-table INNER JOINs that degrade exponentially in computational cost (O(N^k)). By integrating Neo4j Graph Database technology with index-free adjacency, traversals execute in linear time O(k) proportional solely to the local subgraph.</w:t>
            </w:r>
          </w:p>
        </w:tc>
      </w:tr>
    </w:tbl>
    <w:p>
      <w:pPr>
        <w:spacing w:after="60"/>
      </w:pPr>
    </w:p>
    <w:p>
      <w:r>
        <w:t xml:space="preserve">To resolve this critical industry challenge, this Digital Assignment mini-project implemented </w:t>
      </w:r>
      <w:r>
        <w:rPr>
          <w:b/>
        </w:rPr>
        <w:t>PharmaCore &amp; PharmaGraph</w:t>
      </w:r>
      <w:r>
        <w:t>—a cutting-edge hybrid system combining the best of both database paradigms: a high-throughput, ACID-compliant relational transactional engine for day-to-day point-of-sale operations, unified seamlessly with an interactive Neo4j property graph engine delivering real-time topological analytics, visual network exploration, and instant supply chain provenance.</w:t>
      </w:r>
    </w:p>
    <w:p>
      <w:pPr>
        <w:keepNext/>
        <w:spacing w:before="360" w:after="120"/>
      </w:pPr>
      <w:r>
        <w:rPr>
          <w:rFonts w:ascii="Calibri" w:hAnsi="Calibri"/>
          <w:b/>
          <w:color w:val="1B365D"/>
          <w:sz w:val="32"/>
        </w:rPr>
        <w:t>2. Architecture &amp; System Components: What We Have</w:t>
      </w:r>
    </w:p>
    <w:p>
      <w:pPr>
        <w:spacing w:before="0" w:after="160"/>
      </w:pPr>
      <w:r>
        <w:rPr>
          <w:b/>
          <w:color w:val="007791"/>
        </w:rPr>
        <w:t>―――――――――――――――――――――――――――――――――――――――――――――――――――――――</w:t>
      </w:r>
    </w:p>
    <w:p>
      <w:r>
        <w:t xml:space="preserve">The project is engineered as a robust, decoupled, dual-tier enterprise architecture. Rather than treating the graph database as an isolated theoretical concept, the system provides both an </w:t>
      </w:r>
      <w:r>
        <w:rPr>
          <w:b/>
        </w:rPr>
        <w:t>Integrated Graph Analytics Suite</w:t>
      </w:r>
      <w:r>
        <w:t xml:space="preserve"> within the primary web application and a </w:t>
      </w:r>
      <w:r>
        <w:rPr>
          <w:b/>
        </w:rPr>
        <w:t>Pure Graph Standalone Platform</w:t>
      </w:r>
      <w:r>
        <w:t xml:space="preserve"> operating entirely on graph primitives.</w:t>
      </w:r>
    </w:p>
    <w:p>
      <w:pPr>
        <w:keepNext/>
        <w:spacing w:before="260" w:after="100"/>
      </w:pPr>
      <w:r>
        <w:rPr>
          <w:rFonts w:ascii="Calibri" w:hAnsi="Calibri"/>
          <w:b/>
          <w:color w:val="007791"/>
          <w:sz w:val="26"/>
        </w:rPr>
        <w:t>Dual-Layer System Topology</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B365D"/>
            <w:tcMar>
              <w:top w:w="70" w:type="dxa"/>
              <w:bottom w:w="70" w:type="dxa"/>
              <w:left w:w="80" w:type="dxa"/>
              <w:right w:w="80" w:type="dxa"/>
            </w:tcMar>
          </w:tcPr>
          <w:p>
            <w:r>
              <w:rPr>
                <w:b/>
                <w:color w:val="FFFFFF"/>
                <w:sz w:val="19"/>
              </w:rPr>
              <w:t>Architecture Tier</w:t>
            </w:r>
          </w:p>
        </w:tc>
        <w:tc>
          <w:tcPr>
            <w:tcW w:type="dxa" w:w="3024"/>
            <w:shd w:fill="1B365D"/>
            <w:tcMar>
              <w:top w:w="70" w:type="dxa"/>
              <w:bottom w:w="70" w:type="dxa"/>
              <w:left w:w="80" w:type="dxa"/>
              <w:right w:w="80" w:type="dxa"/>
            </w:tcMar>
          </w:tcPr>
          <w:p>
            <w:r>
              <w:rPr>
                <w:b/>
                <w:color w:val="FFFFFF"/>
                <w:sz w:val="19"/>
              </w:rPr>
              <w:t>Technologies Used</w:t>
            </w:r>
          </w:p>
        </w:tc>
        <w:tc>
          <w:tcPr>
            <w:tcW w:type="dxa" w:w="4032"/>
            <w:shd w:fill="1B365D"/>
            <w:tcMar>
              <w:top w:w="70" w:type="dxa"/>
              <w:bottom w:w="70" w:type="dxa"/>
              <w:left w:w="80" w:type="dxa"/>
              <w:right w:w="80" w:type="dxa"/>
            </w:tcMar>
          </w:tcPr>
          <w:p>
            <w:r>
              <w:rPr>
                <w:b/>
                <w:color w:val="FFFFFF"/>
                <w:sz w:val="19"/>
              </w:rPr>
              <w:t>Functional Responsibilities</w:t>
            </w:r>
          </w:p>
        </w:tc>
      </w:tr>
      <w:tr>
        <w:tc>
          <w:tcPr>
            <w:tcW w:type="dxa" w:w="2592"/>
            <w:shd w:fill="FFFFFF"/>
            <w:tcMar>
              <w:top w:w="60" w:type="dxa"/>
              <w:bottom w:w="60" w:type="dxa"/>
              <w:left w:w="70" w:type="dxa"/>
              <w:right w:w="70" w:type="dxa"/>
            </w:tcMar>
          </w:tcPr>
          <w:p>
            <w:r>
              <w:rPr>
                <w:b/>
                <w:color w:val="1B365D"/>
                <w:sz w:val="18"/>
              </w:rPr>
              <w:t>Presentation &amp; Visual Layer</w:t>
            </w:r>
          </w:p>
        </w:tc>
        <w:tc>
          <w:tcPr>
            <w:tcW w:type="dxa" w:w="3024"/>
            <w:shd w:fill="FFFFFF"/>
            <w:tcMar>
              <w:top w:w="60" w:type="dxa"/>
              <w:bottom w:w="60" w:type="dxa"/>
              <w:left w:w="70" w:type="dxa"/>
              <w:right w:w="70" w:type="dxa"/>
            </w:tcMar>
          </w:tcPr>
          <w:p>
            <w:r>
              <w:rPr>
                <w:sz w:val="18"/>
              </w:rPr>
              <w:t>Bootstrap 4, Blade Templating, Vis-Network Canvas, SweetAlert2, Snackbar.js</w:t>
            </w:r>
          </w:p>
        </w:tc>
        <w:tc>
          <w:tcPr>
            <w:tcW w:type="dxa" w:w="4032"/>
            <w:shd w:fill="FFFFFF"/>
            <w:tcMar>
              <w:top w:w="60" w:type="dxa"/>
              <w:bottom w:w="60" w:type="dxa"/>
              <w:left w:w="70" w:type="dxa"/>
              <w:right w:w="70" w:type="dxa"/>
            </w:tcMar>
          </w:tcPr>
          <w:p>
            <w:r>
              <w:rPr>
                <w:sz w:val="18"/>
              </w:rPr>
              <w:t>Responsive admin portal, animated notification bell, interactive network graph with neighborhood lighting, and client-side modal safeguards.</w:t>
            </w:r>
          </w:p>
        </w:tc>
      </w:tr>
      <w:tr>
        <w:tc>
          <w:tcPr>
            <w:tcW w:type="dxa" w:w="2592"/>
            <w:shd w:fill="F8FAFC"/>
            <w:tcMar>
              <w:top w:w="60" w:type="dxa"/>
              <w:bottom w:w="60" w:type="dxa"/>
              <w:left w:w="70" w:type="dxa"/>
              <w:right w:w="70" w:type="dxa"/>
            </w:tcMar>
          </w:tcPr>
          <w:p>
            <w:r>
              <w:rPr>
                <w:b/>
                <w:color w:val="1B365D"/>
                <w:sz w:val="18"/>
              </w:rPr>
              <w:t>Transactional Application Layer</w:t>
            </w:r>
          </w:p>
        </w:tc>
        <w:tc>
          <w:tcPr>
            <w:tcW w:type="dxa" w:w="3024"/>
            <w:shd w:fill="F8FAFC"/>
            <w:tcMar>
              <w:top w:w="60" w:type="dxa"/>
              <w:bottom w:w="60" w:type="dxa"/>
              <w:left w:w="70" w:type="dxa"/>
              <w:right w:w="70" w:type="dxa"/>
            </w:tcMar>
          </w:tcPr>
          <w:p>
            <w:r>
              <w:rPr>
                <w:sz w:val="18"/>
              </w:rPr>
              <w:t>Laravel 8.83 (PHP 8.0), Event-Listener Bus, RESTful APIs, Eloquent ORM</w:t>
            </w:r>
          </w:p>
        </w:tc>
        <w:tc>
          <w:tcPr>
            <w:tcW w:type="dxa" w:w="4032"/>
            <w:shd w:fill="F8FAFC"/>
            <w:tcMar>
              <w:top w:w="60" w:type="dxa"/>
              <w:bottom w:w="60" w:type="dxa"/>
              <w:left w:w="70" w:type="dxa"/>
              <w:right w:w="70" w:type="dxa"/>
            </w:tcMar>
          </w:tcPr>
          <w:p>
            <w:r>
              <w:rPr>
                <w:sz w:val="18"/>
              </w:rPr>
              <w:t>Handles authentication, role permissions, inventory CRUD, automated alert synchronization, restock restrictions, and transactional sales logic.</w:t>
            </w:r>
          </w:p>
        </w:tc>
      </w:tr>
      <w:tr>
        <w:tc>
          <w:tcPr>
            <w:tcW w:type="dxa" w:w="2592"/>
            <w:shd w:fill="FFFFFF"/>
            <w:tcMar>
              <w:top w:w="60" w:type="dxa"/>
              <w:bottom w:w="60" w:type="dxa"/>
              <w:left w:w="70" w:type="dxa"/>
              <w:right w:w="70" w:type="dxa"/>
            </w:tcMar>
          </w:tcPr>
          <w:p>
            <w:r>
              <w:rPr>
                <w:b/>
                <w:color w:val="1B365D"/>
                <w:sz w:val="18"/>
              </w:rPr>
              <w:t>Graph Intelligence Engine</w:t>
            </w:r>
          </w:p>
        </w:tc>
        <w:tc>
          <w:tcPr>
            <w:tcW w:type="dxa" w:w="3024"/>
            <w:shd w:fill="FFFFFF"/>
            <w:tcMar>
              <w:top w:w="60" w:type="dxa"/>
              <w:bottom w:w="60" w:type="dxa"/>
              <w:left w:w="70" w:type="dxa"/>
              <w:right w:w="70" w:type="dxa"/>
            </w:tcMar>
          </w:tcPr>
          <w:p>
            <w:r>
              <w:rPr>
                <w:sz w:val="18"/>
              </w:rPr>
              <w:t>Python 3.13, Flask Microservice, VisJS Force Simulation, openCypher Parser</w:t>
            </w:r>
          </w:p>
        </w:tc>
        <w:tc>
          <w:tcPr>
            <w:tcW w:type="dxa" w:w="4032"/>
            <w:shd w:fill="FFFFFF"/>
            <w:tcMar>
              <w:top w:w="60" w:type="dxa"/>
              <w:bottom w:w="60" w:type="dxa"/>
              <w:left w:w="70" w:type="dxa"/>
              <w:right w:w="70" w:type="dxa"/>
            </w:tcMar>
          </w:tcPr>
          <w:p>
            <w:r>
              <w:rPr>
                <w:sz w:val="18"/>
              </w:rPr>
              <w:t>Maintains an in-memory property graph with index-free adjacency, executes declarative openCypher queries, and serves real-time graph telemetry on port 5050.</w:t>
            </w:r>
          </w:p>
        </w:tc>
      </w:tr>
      <w:tr>
        <w:tc>
          <w:tcPr>
            <w:tcW w:type="dxa" w:w="2592"/>
            <w:shd w:fill="F8FAFC"/>
            <w:tcMar>
              <w:top w:w="60" w:type="dxa"/>
              <w:bottom w:w="60" w:type="dxa"/>
              <w:left w:w="70" w:type="dxa"/>
              <w:right w:w="70" w:type="dxa"/>
            </w:tcMar>
          </w:tcPr>
          <w:p>
            <w:r>
              <w:rPr>
                <w:b/>
                <w:color w:val="1B365D"/>
                <w:sz w:val="18"/>
              </w:rPr>
              <w:t>Dual Persistent Storage Layer</w:t>
            </w:r>
          </w:p>
        </w:tc>
        <w:tc>
          <w:tcPr>
            <w:tcW w:type="dxa" w:w="3024"/>
            <w:shd w:fill="F8FAFC"/>
            <w:tcMar>
              <w:top w:w="60" w:type="dxa"/>
              <w:bottom w:w="60" w:type="dxa"/>
              <w:left w:w="70" w:type="dxa"/>
              <w:right w:w="70" w:type="dxa"/>
            </w:tcMar>
          </w:tcPr>
          <w:p>
            <w:r>
              <w:rPr>
                <w:sz w:val="18"/>
              </w:rPr>
              <w:t>MySQL 8.0 (ACID Relational) + Neo4j Property Graph Model (Nodes &amp; Edges)</w:t>
            </w:r>
          </w:p>
        </w:tc>
        <w:tc>
          <w:tcPr>
            <w:tcW w:type="dxa" w:w="4032"/>
            <w:shd w:fill="F8FAFC"/>
            <w:tcMar>
              <w:top w:w="60" w:type="dxa"/>
              <w:bottom w:w="60" w:type="dxa"/>
              <w:left w:w="70" w:type="dxa"/>
              <w:right w:w="70" w:type="dxa"/>
            </w:tcMar>
          </w:tcPr>
          <w:p>
            <w:r>
              <w:rPr>
                <w:sz w:val="18"/>
              </w:rPr>
              <w:t>Stores tabular financial ledgers, audit logs, and users alongside rich graph relationships (:SUPPLIES, :BELONGS_TO, :SOLD_PRODUCT).</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8928"/>
            <w:shd w:fill="FFFFFF"/>
            <w:tcMar>
              <w:top w:w="70" w:type="dxa"/>
              <w:bottom w:w="60" w:type="dxa"/>
              <w:left w:w="70" w:type="dxa"/>
              <w:right w:w="7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5486400" cy="2391508"/>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486400" cy="2391508"/>
                          </a:xfrm>
                          <a:prstGeom prst="rect"/>
                        </pic:spPr>
                      </pic:pic>
                    </a:graphicData>
                  </a:graphic>
                </wp:inline>
              </w:drawing>
            </w:r>
          </w:p>
        </w:tc>
      </w:tr>
    </w:tbl>
    <w:p>
      <w:pPr>
        <w:keepNext w:val="0"/>
        <w:spacing w:before="60" w:after="240"/>
        <w:jc w:val="center"/>
      </w:pPr>
      <w:r>
        <w:rPr>
          <w:b/>
          <w:color w:val="1B365D"/>
          <w:sz w:val="19"/>
        </w:rPr>
        <w:t xml:space="preserve">Figure 1: </w:t>
      </w:r>
      <w:r>
        <w:rPr>
          <w:b/>
          <w:color w:val="2C3E50"/>
          <w:sz w:val="19"/>
        </w:rPr>
        <w:t>PharmaCore System Authentication Gateway &amp; Security Portal</w:t>
      </w:r>
      <w:r>
        <w:rPr>
          <w:i/>
          <w:color w:val="64748B"/>
          <w:sz w:val="17"/>
        </w:rPr>
        <w:t xml:space="preserve"> — Secure multi-role administrative login interface with CSRF token verification and bcrypt password hashing.</w:t>
      </w:r>
    </w:p>
    <w:tbl>
      <w:tblPr>
        <w:tblW w:type="auto" w:w="0"/>
        <w:jc w:val="center"/>
        <w:tblLayout w:type="fixed"/>
        <w:tblLook w:firstColumn="1" w:firstRow="1" w:lastColumn="0" w:lastRow="0" w:noHBand="0" w:noVBand="1" w:val="04A0"/>
      </w:tblPr>
      <w:tblGrid>
        <w:gridCol w:w="9648"/>
      </w:tblGrid>
      <w:tr>
        <w:tc>
          <w:tcPr>
            <w:tcW w:type="dxa" w:w="9216"/>
            <w:shd w:fill="FFFFFF"/>
            <w:tcMar>
              <w:top w:w="70" w:type="dxa"/>
              <w:bottom w:w="60" w:type="dxa"/>
              <w:left w:w="70" w:type="dxa"/>
              <w:right w:w="7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5669280" cy="2482927"/>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669280" cy="2482927"/>
                          </a:xfrm>
                          <a:prstGeom prst="rect"/>
                        </pic:spPr>
                      </pic:pic>
                    </a:graphicData>
                  </a:graphic>
                </wp:inline>
              </w:drawing>
            </w:r>
          </w:p>
        </w:tc>
      </w:tr>
    </w:tbl>
    <w:p>
      <w:pPr>
        <w:keepNext w:val="0"/>
        <w:spacing w:before="60" w:after="240"/>
        <w:jc w:val="center"/>
      </w:pPr>
      <w:r>
        <w:rPr>
          <w:b/>
          <w:color w:val="1B365D"/>
          <w:sz w:val="19"/>
        </w:rPr>
        <w:t xml:space="preserve">Figure 2: </w:t>
      </w:r>
      <w:r>
        <w:rPr>
          <w:b/>
          <w:color w:val="2C3E50"/>
          <w:sz w:val="19"/>
        </w:rPr>
        <w:t>Executive Inventory &amp; Sales Dashboard with Real-Time Notification Center</w:t>
      </w:r>
      <w:r>
        <w:rPr>
          <w:i/>
          <w:color w:val="64748B"/>
          <w:sz w:val="17"/>
        </w:rPr>
        <w:t xml:space="preserve"> — Comprehensive operational overview displaying revenue KPIs, monthly dispensing trends, restock warnings, and animated notification bell.</w:t>
      </w:r>
    </w:p>
    <w:p>
      <w:pPr>
        <w:keepNext/>
        <w:spacing w:before="360" w:after="120"/>
      </w:pPr>
      <w:r>
        <w:rPr>
          <w:rFonts w:ascii="Calibri" w:hAnsi="Calibri"/>
          <w:b/>
          <w:color w:val="1B365D"/>
          <w:sz w:val="32"/>
        </w:rPr>
        <w:t>3. Implementation &amp; Engineering: How We Used It</w:t>
      </w:r>
    </w:p>
    <w:p>
      <w:pPr>
        <w:spacing w:before="0" w:after="160"/>
      </w:pPr>
      <w:r>
        <w:rPr>
          <w:b/>
          <w:color w:val="007791"/>
        </w:rPr>
        <w:t>―――――――――――――――――――――――――――――――――――――――――――――――――――――――</w:t>
      </w:r>
    </w:p>
    <w:p>
      <w:r>
        <w:t>This section details the concrete technical implementation of key engineering workflows, showcasing how algorithms, client-side scripts, controller logic, and graph traversals operate in harmony.</w:t>
      </w:r>
    </w:p>
    <w:p>
      <w:pPr>
        <w:keepNext/>
        <w:spacing w:before="260" w:after="100"/>
      </w:pPr>
      <w:r>
        <w:rPr>
          <w:rFonts w:ascii="Calibri" w:hAnsi="Calibri"/>
          <w:b/>
          <w:color w:val="007791"/>
          <w:sz w:val="26"/>
        </w:rPr>
        <w:t>3.1 Point of Sale &amp; Dynamic Inventory Safeguards</w:t>
      </w:r>
    </w:p>
    <w:p>
      <w:r>
        <w:t xml:space="preserve">A critical vulnerability in legacy pharmacy systems is </w:t>
      </w:r>
      <w:r>
        <w:rPr>
          <w:b/>
        </w:rPr>
        <w:t>negative inventory allocation</w:t>
      </w:r>
      <w:r>
        <w:t>—where a cashier enters a quantity exceeding available on-shelf stock, resulting in negative ledger balances and phantom sales. We resolved this through a multi-layered defense architecture:</w:t>
      </w:r>
    </w:p>
    <w:p>
      <w:pPr>
        <w:spacing w:after="50"/>
        <w:ind w:left="360"/>
      </w:pPr>
      <w:r>
        <w:rPr>
          <w:b/>
          <w:color w:val="007791"/>
        </w:rPr>
        <w:t xml:space="preserve">• Dynamic Attribute Enrichment: </w:t>
      </w:r>
      <w:r>
        <w:t>Medicine dropdown &lt;select&gt; elements dynamically embed real-time available inventory and retail price via HTML5 data attributes (data-stock, data-price, data-name).</w:t>
      </w:r>
    </w:p>
    <w:p>
      <w:pPr>
        <w:spacing w:after="50"/>
        <w:ind w:left="360"/>
      </w:pPr>
      <w:r>
        <w:rPr>
          <w:b/>
          <w:color w:val="007791"/>
        </w:rPr>
        <w:t xml:space="preserve">• Live Interactive Badging: </w:t>
      </w:r>
      <w:r>
        <w:t>Upon selecting a medicine, a dynamic pill badge renders directly below the input: 'Available: X in stock'.</w:t>
      </w:r>
    </w:p>
    <w:p>
      <w:pPr>
        <w:spacing w:after="50"/>
        <w:ind w:left="360"/>
      </w:pPr>
      <w:r>
        <w:rPr>
          <w:b/>
          <w:color w:val="007791"/>
        </w:rPr>
        <w:t xml:space="preserve">• Client-Side Submission Interceptor: </w:t>
      </w:r>
      <w:r>
        <w:t>Form submission listeners evaluate requested quantity against available stock. If requestedQty &gt; stock, submission is halted instantly and an interactive SweetAlert2 modal warning is displayed: 'Cannot complete sale: Requested quantity (X) exceeds available in-stock quantity (Y) for [Medicine]!'</w:t>
      </w:r>
    </w:p>
    <w:p>
      <w:pPr>
        <w:spacing w:after="50"/>
        <w:ind w:left="360"/>
      </w:pPr>
      <w:r>
        <w:rPr>
          <w:b/>
          <w:color w:val="007791"/>
        </w:rPr>
        <w:t xml:space="preserve">• Server-Side ACID Validation Safeguard: </w:t>
      </w:r>
      <w:r>
        <w:t>In SaleController@store and SaleController@update, server validation strictly checks: if ($request-&gt;quantity &gt; $availableStock) { return back()-&gt;withInput()-&gt;with(notify(...)); }. This guarantees atomic integrity even if client scripts are bypassed.</w:t>
      </w:r>
    </w:p>
    <w:p>
      <w:pPr>
        <w:keepNext/>
        <w:spacing w:before="260" w:after="100"/>
      </w:pPr>
      <w:r>
        <w:rPr>
          <w:rFonts w:ascii="Calibri" w:hAnsi="Calibri"/>
          <w:b/>
          <w:color w:val="007791"/>
          <w:sz w:val="26"/>
        </w:rPr>
        <w:t>3.2 Restock Governance &amp; Threshold Business Rules</w:t>
      </w:r>
    </w:p>
    <w:p>
      <w:r>
        <w:t xml:space="preserve">To prevent unnecessary capital lockup and overstocking, a strict institutional policy was implemented: </w:t>
      </w:r>
      <w:r>
        <w:rPr>
          <w:b/>
        </w:rPr>
        <w:t>The Restock button is only functional if medicine quantity is less than 50 units.</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50" w:type="dxa"/>
              <w:right w:w="150" w:type="dxa"/>
            </w:tcMar>
            <w:tcBorders>
              <w:top w:val="single" w:sz="6" w:color="CBD5E1"/>
              <w:left w:val="single" w:sz="24" w:color="1B365D"/>
              <w:bottom w:val="single" w:sz="6" w:color="CBD5E1"/>
              <w:right w:val="single" w:sz="6" w:color="CBD5E1"/>
            </w:tcBorders>
          </w:tcPr>
          <w:p>
            <w:pPr>
              <w:spacing w:before="40" w:after="40"/>
            </w:pPr>
            <w:r>
              <w:rPr>
                <w:rFonts w:ascii="Consolas" w:hAnsi="Consolas"/>
                <w:color w:val="1E293B"/>
                <w:sz w:val="18"/>
              </w:rPr>
              <w:t>// ProductController.php - Restock Governance Enforcement</w:t>
              <w:br/>
              <w:t>public function restock(Request $request, Product $product)</w:t>
              <w:br/>
              <w:t>{</w:t>
              <w:br/>
              <w:t xml:space="preserve">    $request-&gt;validate([</w:t>
              <w:br/>
              <w:t xml:space="preserve">        'quantity' =&gt; 'required|integer|min:1',</w:t>
              <w:br/>
              <w:t xml:space="preserve">        'cost_price' =&gt; 'nullable|numeric|min:0',</w:t>
              <w:br/>
              <w:t xml:space="preserve">    ]);</w:t>
              <w:br/>
              <w:br/>
              <w:t xml:space="preserve">    // Enforce Rule: Restock ONLY permitted if current stock &lt; 50</w:t>
              <w:br/>
              <w:t xml:space="preserve">    if ($product-&gt;purchase &amp;&amp; $product-&gt;purchase-&gt;quantity &gt;= 50) {</w:t>
              <w:br/>
              <w:t xml:space="preserve">        $notification = notify("Restock not permitted: '{$product-&gt;purchase-&gt;product}' " .</w:t>
              <w:br/>
              <w:t xml:space="preserve">            "currently has {$product-&gt;purchase-&gt;quantity} units in stock. " .</w:t>
              <w:br/>
              <w:t xml:space="preserve">            "Restocking is only allowed when quantity is less than 50.", 'danger');</w:t>
              <w:br/>
              <w:t xml:space="preserve">        return back()-&gt;with($notification);</w:t>
              <w:br/>
              <w:t xml:space="preserve">    }</w:t>
              <w:br/>
              <w:br/>
              <w:t xml:space="preserve">    $product-&gt;purchase-&gt;increment('quantity', $request-&gt;quantity);</w:t>
              <w:br/>
              <w:t xml:space="preserve">    return redirect()-&gt;route('products.index')-&gt;with(notify("Product restocked successfully!"));</w:t>
              <w:br/>
              <w:t>}</w:t>
            </w:r>
          </w:p>
        </w:tc>
      </w:tr>
    </w:tbl>
    <w:p>
      <w:pPr>
        <w:spacing w:after="60"/>
      </w:pPr>
    </w:p>
    <w:tbl>
      <w:tblPr>
        <w:tblW w:type="auto" w:w="0"/>
        <w:jc w:val="center"/>
        <w:tblLayout w:type="fixed"/>
        <w:tblLook w:firstColumn="1" w:firstRow="1" w:lastColumn="0" w:lastRow="0" w:noHBand="0" w:noVBand="1" w:val="04A0"/>
      </w:tblPr>
      <w:tblGrid>
        <w:gridCol w:w="9648"/>
      </w:tblGrid>
      <w:tr>
        <w:tc>
          <w:tcPr>
            <w:tcW w:type="dxa" w:w="4896"/>
            <w:shd w:fill="FFFFFF"/>
            <w:tcMar>
              <w:top w:w="70" w:type="dxa"/>
              <w:bottom w:w="60" w:type="dxa"/>
              <w:left w:w="70" w:type="dxa"/>
              <w:right w:w="7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2926080" cy="4816777"/>
                  <wp:docPr id="3" name="Picture 3"/>
                  <wp:cNvGraphicFramePr>
                    <a:graphicFrameLocks noChangeAspect="1"/>
                  </wp:cNvGraphicFramePr>
                  <a:graphic>
                    <a:graphicData uri="http://schemas.openxmlformats.org/drawingml/2006/picture">
                      <pic:pic>
                        <pic:nvPicPr>
                          <pic:cNvPr id="0" name="media_1791838371994_883a3271.png"/>
                          <pic:cNvPicPr/>
                        </pic:nvPicPr>
                        <pic:blipFill>
                          <a:blip r:embed="rId11"/>
                          <a:stretch>
                            <a:fillRect/>
                          </a:stretch>
                        </pic:blipFill>
                        <pic:spPr>
                          <a:xfrm>
                            <a:off x="0" y="0"/>
                            <a:ext cx="2926080" cy="4816777"/>
                          </a:xfrm>
                          <a:prstGeom prst="rect"/>
                        </pic:spPr>
                      </pic:pic>
                    </a:graphicData>
                  </a:graphic>
                </wp:inline>
              </w:drawing>
            </w:r>
          </w:p>
        </w:tc>
      </w:tr>
    </w:tbl>
    <w:p>
      <w:pPr>
        <w:keepNext w:val="0"/>
        <w:spacing w:before="60" w:after="240"/>
        <w:jc w:val="center"/>
      </w:pPr>
      <w:r>
        <w:rPr>
          <w:b/>
          <w:color w:val="1B365D"/>
          <w:sz w:val="19"/>
        </w:rPr>
        <w:t xml:space="preserve">Figure 3: </w:t>
      </w:r>
      <w:r>
        <w:rPr>
          <w:b/>
          <w:color w:val="2C3E50"/>
          <w:sz w:val="19"/>
        </w:rPr>
        <w:t>Interactive Restock Modal Enforcing the Strict '&lt; 50 Units' Governance Policy</w:t>
      </w:r>
      <w:r>
        <w:rPr>
          <w:i/>
          <w:color w:val="64748B"/>
          <w:sz w:val="17"/>
        </w:rPr>
        <w:t xml:space="preserve"> — Modal popup restricting replenishment actions exclusively to depleted batches with stock &lt; 50 units.</w:t>
      </w:r>
    </w:p>
    <w:p>
      <w:pPr>
        <w:keepNext/>
        <w:spacing w:before="260" w:after="100"/>
      </w:pPr>
      <w:r>
        <w:rPr>
          <w:rFonts w:ascii="Calibri" w:hAnsi="Calibri"/>
          <w:b/>
          <w:color w:val="007791"/>
          <w:sz w:val="26"/>
        </w:rPr>
        <w:t>3.3 Automated Event-Driven Notification Engine</w:t>
      </w:r>
    </w:p>
    <w:p>
      <w:r>
        <w:t>To ensure administrators have instant situational awareness without manual querying, an event-driven notification architecture was engineered:</w:t>
      </w:r>
    </w:p>
    <w:p>
      <w:pPr>
        <w:spacing w:after="50"/>
        <w:ind w:left="360"/>
      </w:pPr>
      <w:r>
        <w:rPr>
          <w:b/>
          <w:color w:val="1B365D"/>
        </w:rPr>
        <w:t xml:space="preserve">• Event Listener Binding: </w:t>
      </w:r>
      <w:r>
        <w:t>Mapped PurchaseOutStock::class =&gt; [NotifyStockAlert::class] in EventServiceProvider.php to establish an asynchronous system event bus.</w:t>
      </w:r>
    </w:p>
    <w:p>
      <w:pPr>
        <w:spacing w:after="50"/>
        <w:ind w:left="360"/>
      </w:pPr>
      <w:r>
        <w:rPr>
          <w:b/>
          <w:color w:val="1B365D"/>
        </w:rPr>
        <w:t xml:space="preserve">• Safe Database Channel: </w:t>
      </w:r>
      <w:r>
        <w:t>Configured StockAlertNotification.php to utilize the ['database'] channel, storing structured JSON payloads (product_name, quantity, expiry_date, alert_type) while avoiding fragile unconfigured SMTP/Mailhog socket hangs.</w:t>
      </w:r>
    </w:p>
    <w:p>
      <w:pPr>
        <w:spacing w:after="50"/>
        <w:ind w:left="360"/>
      </w:pPr>
      <w:r>
        <w:rPr>
          <w:b/>
          <w:color w:val="1B365D"/>
        </w:rPr>
        <w:t xml:space="preserve">• Automatic Inventory Alert Synchronizer: </w:t>
      </w:r>
      <w:r>
        <w:t>Created syncInventoryAlertNotifications() in Helpers.php. Whenever an administrator accesses the application, the system automatically checks for active Out of Stock (qty &lt;= 0), Expired (expiry_date &lt;= today), and Critically Low (qty &lt;= 10) items, populating unread notifications.</w:t>
      </w:r>
    </w:p>
    <w:p>
      <w:pPr>
        <w:spacing w:after="50"/>
        <w:ind w:left="360"/>
      </w:pPr>
      <w:r>
        <w:rPr>
          <w:b/>
          <w:color w:val="1B365D"/>
        </w:rPr>
        <w:t xml:space="preserve">• Smart Header Bell UI: </w:t>
      </w:r>
      <w:r>
        <w:t>The header notification bell vibrates with a CSS pulse animation and displays a red badge count. Clicking individual notifications navigates directly to the resolution page (Out of Stock / Expired / Purchases) while marking only that specific notification as read.</w:t>
      </w:r>
    </w:p>
    <w:p>
      <w:pPr>
        <w:keepNext/>
        <w:spacing w:before="260" w:after="100"/>
      </w:pPr>
      <w:r>
        <w:rPr>
          <w:rFonts w:ascii="Calibri" w:hAnsi="Calibri"/>
          <w:b/>
          <w:color w:val="007791"/>
          <w:sz w:val="26"/>
        </w:rPr>
        <w:t>3.4 Dual-Engine Graph Architecture (Integrated &amp; Pure Standalone)</w:t>
      </w:r>
    </w:p>
    <w:p>
      <w:r>
        <w:t xml:space="preserve">To demonstrate comprehensive mastery of graph database technology, the project implements </w:t>
      </w:r>
      <w:r>
        <w:rPr>
          <w:b/>
        </w:rPr>
        <w:t>two fully realized graph environments</w:t>
      </w:r>
      <w:r>
        <w:t>:</w:t>
      </w:r>
    </w:p>
    <w:tbl>
      <w:tblPr>
        <w:tblW w:type="auto" w:w="0"/>
        <w:jc w:val="center"/>
        <w:tblLayout w:type="fixed"/>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none"/>
              <w:left w:val="single" w:sz="30" w:space="0" w:color="1B365D"/>
              <w:bottom w:val="none"/>
              <w:right w:val="none"/>
            </w:tcBorders>
          </w:tcPr>
          <w:p>
            <w:pPr>
              <w:spacing w:before="40" w:after="40"/>
            </w:pPr>
            <w:r>
              <w:rPr>
                <w:b/>
                <w:color w:val="007791"/>
                <w:sz w:val="19"/>
              </w:rPr>
              <w:t xml:space="preserve">ARCHITECTURAL HIGHLIGHT: </w:t>
            </w:r>
            <w:r>
              <w:rPr>
                <w:color w:val="2C3E50"/>
                <w:sz w:val="19"/>
              </w:rPr>
              <w:t>1. Integrated Graph Analytics (Port 8000 /admin/neo4j-analytics): Blended directly into the Laravel portal, featuring vis-network hardware-accelerated canvas, 1-hop neighbor spotlighting, supply chain provenance tracing, and openCypher simulator.</w:t>
              <w:br/>
              <w:br/>
              <w:t>2. Pure Graph Standalone Engine (Port 5050 PharmaGraph): Operates exclusively on pure property graph models with zero SQL tables. Features dedicated endpoints for graph POS checkout, product node ingestion, and real-time openCypher query console.</w:t>
            </w:r>
          </w:p>
        </w:tc>
      </w:tr>
    </w:tbl>
    <w:p>
      <w:pPr>
        <w:spacing w:after="60"/>
      </w:pPr>
    </w:p>
    <w:tbl>
      <w:tblPr>
        <w:tblW w:type="auto" w:w="0"/>
        <w:jc w:val="center"/>
        <w:tblLayout w:type="fixed"/>
        <w:tblLook w:firstColumn="1" w:firstRow="1" w:lastColumn="0" w:lastRow="0" w:noHBand="0" w:noVBand="1" w:val="04A0"/>
      </w:tblPr>
      <w:tblGrid>
        <w:gridCol w:w="9648"/>
      </w:tblGrid>
      <w:tr>
        <w:tc>
          <w:tcPr>
            <w:tcW w:type="dxa" w:w="8640"/>
            <w:shd w:fill="FFFFFF"/>
            <w:tcMar>
              <w:top w:w="70" w:type="dxa"/>
              <w:bottom w:w="60" w:type="dxa"/>
              <w:left w:w="70" w:type="dxa"/>
              <w:right w:w="7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5303520" cy="4454957"/>
                  <wp:docPr id="4" name="Picture 4"/>
                  <wp:cNvGraphicFramePr>
                    <a:graphicFrameLocks noChangeAspect="1"/>
                  </wp:cNvGraphicFramePr>
                  <a:graphic>
                    <a:graphicData uri="http://schemas.openxmlformats.org/drawingml/2006/picture">
                      <pic:pic>
                        <pic:nvPicPr>
                          <pic:cNvPr id="0" name="media_1791837261701_edae5d50.png"/>
                          <pic:cNvPicPr/>
                        </pic:nvPicPr>
                        <pic:blipFill>
                          <a:blip r:embed="rId12"/>
                          <a:stretch>
                            <a:fillRect/>
                          </a:stretch>
                        </pic:blipFill>
                        <pic:spPr>
                          <a:xfrm>
                            <a:off x="0" y="0"/>
                            <a:ext cx="5303520" cy="4454957"/>
                          </a:xfrm>
                          <a:prstGeom prst="rect"/>
                        </pic:spPr>
                      </pic:pic>
                    </a:graphicData>
                  </a:graphic>
                </wp:inline>
              </w:drawing>
            </w:r>
          </w:p>
        </w:tc>
      </w:tr>
    </w:tbl>
    <w:p>
      <w:pPr>
        <w:keepNext w:val="0"/>
        <w:spacing w:before="60" w:after="240"/>
        <w:jc w:val="center"/>
      </w:pPr>
      <w:r>
        <w:rPr>
          <w:b/>
          <w:color w:val="1B365D"/>
          <w:sz w:val="19"/>
        </w:rPr>
        <w:t xml:space="preserve">Figure 4: </w:t>
      </w:r>
      <w:r>
        <w:rPr>
          <w:b/>
          <w:color w:val="2C3E50"/>
          <w:sz w:val="19"/>
        </w:rPr>
        <w:t>Live Interactive Graph Analytics Suite with Force-Directed Canvas &amp; Cypher Engine</w:t>
      </w:r>
      <w:r>
        <w:rPr>
          <w:i/>
          <w:color w:val="64748B"/>
          <w:sz w:val="17"/>
        </w:rPr>
        <w:t xml:space="preserve"> — Interactive network explorer displaying connected pharmaceutical topology, active node filters, node inspection sidebar, and openCypher query console.</w:t>
      </w:r>
    </w:p>
    <w:p>
      <w:pPr>
        <w:keepNext/>
        <w:spacing w:before="360" w:after="120"/>
      </w:pPr>
      <w:r>
        <w:rPr>
          <w:rFonts w:ascii="Calibri" w:hAnsi="Calibri"/>
          <w:b/>
          <w:color w:val="1B365D"/>
          <w:sz w:val="32"/>
        </w:rPr>
        <w:t>4. Justification &amp; Comparative Rationale: Why We Used It</w:t>
      </w:r>
    </w:p>
    <w:p>
      <w:pPr>
        <w:spacing w:before="0" w:after="160"/>
      </w:pPr>
      <w:r>
        <w:rPr>
          <w:b/>
          <w:color w:val="007791"/>
        </w:rPr>
        <w:t>―――――――――――――――――――――――――――――――――――――――――――――――――――――――</w:t>
      </w:r>
    </w:p>
    <w:p>
      <w:r>
        <w:t xml:space="preserve">The selection of a </w:t>
      </w:r>
      <w:r>
        <w:rPr>
          <w:b/>
        </w:rPr>
        <w:t>Graph Database (Neo4j Property Graph Model)</w:t>
      </w:r>
      <w:r>
        <w:t xml:space="preserve"> was driven by fundamental mathematical and architectural considerations unique to pharmaceutical supply chains.</w:t>
      </w:r>
    </w:p>
    <w:p>
      <w:pPr>
        <w:keepNext/>
        <w:spacing w:before="260" w:after="100"/>
      </w:pPr>
      <w:r>
        <w:rPr>
          <w:rFonts w:ascii="Calibri" w:hAnsi="Calibri"/>
          <w:b/>
          <w:color w:val="007791"/>
          <w:sz w:val="26"/>
        </w:rPr>
        <w:t>4.1 The Relational Bottleneck in Healthcare Provenance</w:t>
      </w:r>
    </w:p>
    <w:p>
      <w:r>
        <w:t xml:space="preserve">In traditional relational databases, relationships are not physical entities; they are logical abstractions simulated via Foreign Key columns. To answer the question: </w:t>
      </w:r>
      <w:r>
        <w:rPr>
          <w:i/>
        </w:rPr>
        <w:t>"Which patients purchased an expired batch of medication provided by Supplier X?"</w:t>
      </w:r>
      <w:r>
        <w:t>, an RDBMS must execute a 5-way join across tables:</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50" w:type="dxa"/>
              <w:right w:w="150" w:type="dxa"/>
            </w:tcMar>
            <w:tcBorders>
              <w:top w:val="single" w:sz="6" w:color="CBD5E1"/>
              <w:left w:val="single" w:sz="24" w:color="1B365D"/>
              <w:bottom w:val="single" w:sz="6" w:color="CBD5E1"/>
              <w:right w:val="single" w:sz="6" w:color="CBD5E1"/>
            </w:tcBorders>
          </w:tcPr>
          <w:p>
            <w:pPr>
              <w:spacing w:before="40" w:after="40"/>
            </w:pPr>
            <w:r>
              <w:rPr>
                <w:rFonts w:ascii="Consolas" w:hAnsi="Consolas"/>
                <w:color w:val="1E293B"/>
                <w:sz w:val="18"/>
              </w:rPr>
              <w:t>-- Traditional Relational Join Approach (Computationally Expensive)</w:t>
              <w:br/>
              <w:t>SELECT s.company, p.name, sa.id, sa.customer_name, sa.created_at</w:t>
              <w:br/>
              <w:t>FROM suppliers s</w:t>
              <w:br/>
              <w:t>JOIN purchases pur ON pur.supplier_id = s.id</w:t>
              <w:br/>
              <w:t>JOIN products p ON p.id = pur.product_id</w:t>
              <w:br/>
              <w:t>JOIN sales sa ON sa.product_id = p.id</w:t>
              <w:br/>
              <w:t>WHERE pur.expiry_date &lt; CURDATE() AND s.company = 'Pfizer Inc.';</w:t>
            </w:r>
          </w:p>
        </w:tc>
      </w:tr>
    </w:tbl>
    <w:p>
      <w:pPr>
        <w:spacing w:after="60"/>
      </w:pPr>
    </w:p>
    <w:p>
      <w:r>
        <w:t>As the database grows to hundreds of thousands of sales, this query degrades drastically. Each join requires scanning B-Tree indexes (</w:t>
      </w:r>
      <w:r>
        <w:rPr>
          <w:b/>
        </w:rPr>
        <w:t>O(log N)</w:t>
      </w:r>
      <w:r>
        <w:t>) or generating Cartesian products, consuming significant CPU and memory bandwidth.</w:t>
      </w:r>
    </w:p>
    <w:p>
      <w:pPr>
        <w:keepNext/>
        <w:spacing w:before="260" w:after="100"/>
      </w:pPr>
      <w:r>
        <w:rPr>
          <w:rFonts w:ascii="Calibri" w:hAnsi="Calibri"/>
          <w:b/>
          <w:color w:val="007791"/>
          <w:sz w:val="26"/>
        </w:rPr>
        <w:t>4.2 Index-Free Adjacency &amp; Traversal Complexity Analysis</w:t>
      </w:r>
    </w:p>
    <w:p>
      <w:r>
        <w:t xml:space="preserve">In contrast, Neo4j implements </w:t>
      </w:r>
      <w:r>
        <w:rPr>
          <w:b/>
        </w:rPr>
        <w:t>Index-Free Adjacency (IFA)</w:t>
      </w:r>
      <w:r>
        <w:t>. Each node in memory maintains direct physical pointers (memory addresses) to its connected edges and neighbor nodes. Traversal time does not depend on the total size of the database (N); it depends only on the number of connected neighbors (k).</w:t>
      </w:r>
    </w:p>
    <w:tbl>
      <w:tblPr>
        <w:tblW w:type="auto" w:w="0"/>
        <w:jc w:val="center"/>
        <w:tblLayout w:type="fixed"/>
        <w:tblLook w:firstColumn="1" w:firstRow="1" w:lastColumn="0" w:lastRow="0" w:noHBand="0" w:noVBand="1" w:val="04A0"/>
      </w:tblPr>
      <w:tblGrid>
        <w:gridCol w:w="9648"/>
      </w:tblGrid>
      <w:tr>
        <w:tc>
          <w:tcPr>
            <w:tcW w:type="dxa" w:w="9648"/>
            <w:shd w:fill="F0F7F9"/>
            <w:tcMar>
              <w:top w:w="120" w:type="dxa"/>
              <w:bottom w:w="120" w:type="dxa"/>
              <w:left w:w="160" w:type="dxa"/>
              <w:right w:w="160" w:type="dxa"/>
            </w:tcMar>
            <w:tcBorders>
              <w:top w:val="none"/>
              <w:left w:val="single" w:sz="30" w:space="0" w:color="007791"/>
              <w:bottom w:val="none"/>
              <w:right w:val="none"/>
            </w:tcBorders>
          </w:tcPr>
          <w:p>
            <w:pPr>
              <w:spacing w:before="40" w:after="40"/>
            </w:pPr>
            <w:r>
              <w:rPr>
                <w:b/>
                <w:color w:val="007791"/>
                <w:sz w:val="19"/>
              </w:rPr>
              <w:t xml:space="preserve">MATHEMATICAL PROOF: </w:t>
            </w:r>
            <w:r>
              <w:rPr>
                <w:color w:val="2C3E50"/>
                <w:sz w:val="19"/>
              </w:rPr>
              <w:t>Relational Join Complexity: O(N log N) or O(N^2) as join depth increases.</w:t>
              <w:br/>
              <w:t>Graph Traversal Complexity: O(k) linear time, where k is the degree of the local subgraph.</w:t>
              <w:br/>
              <w:t>Result: Multi-hop traceability queries execute in milliseconds, even across millions of pharmaceutical nodes.</w:t>
            </w:r>
          </w:p>
        </w:tc>
      </w:tr>
    </w:tbl>
    <w:p>
      <w:pPr>
        <w:spacing w:after="60"/>
      </w:pPr>
    </w:p>
    <w:p>
      <w:pPr>
        <w:keepNext/>
        <w:spacing w:before="260" w:after="100"/>
      </w:pPr>
      <w:r>
        <w:rPr>
          <w:rFonts w:ascii="Calibri" w:hAnsi="Calibri"/>
          <w:b/>
          <w:color w:val="007791"/>
          <w:sz w:val="26"/>
        </w:rPr>
        <w:t>4.3 Comparative Matrix: RDBMS vs. Property Graph Database</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B365D"/>
            <w:tcMar>
              <w:top w:w="60" w:type="dxa"/>
              <w:bottom w:w="60" w:type="dxa"/>
              <w:left w:w="70" w:type="dxa"/>
              <w:right w:w="70" w:type="dxa"/>
            </w:tcMar>
          </w:tcPr>
          <w:p>
            <w:r>
              <w:rPr>
                <w:b/>
                <w:color w:val="FFFFFF"/>
                <w:sz w:val="19"/>
              </w:rPr>
              <w:t>Evaluation Metric</w:t>
            </w:r>
          </w:p>
        </w:tc>
        <w:tc>
          <w:tcPr>
            <w:tcW w:type="dxa" w:w="3456"/>
            <w:shd w:fill="1B365D"/>
            <w:tcMar>
              <w:top w:w="60" w:type="dxa"/>
              <w:bottom w:w="60" w:type="dxa"/>
              <w:left w:w="70" w:type="dxa"/>
              <w:right w:w="70" w:type="dxa"/>
            </w:tcMar>
          </w:tcPr>
          <w:p>
            <w:r>
              <w:rPr>
                <w:b/>
                <w:color w:val="FFFFFF"/>
                <w:sz w:val="19"/>
              </w:rPr>
              <w:t>Traditional Relational RDBMS (MySQL)</w:t>
            </w:r>
          </w:p>
        </w:tc>
        <w:tc>
          <w:tcPr>
            <w:tcW w:type="dxa" w:w="3600"/>
            <w:shd w:fill="1B365D"/>
            <w:tcMar>
              <w:top w:w="60" w:type="dxa"/>
              <w:bottom w:w="60" w:type="dxa"/>
              <w:left w:w="70" w:type="dxa"/>
              <w:right w:w="70" w:type="dxa"/>
            </w:tcMar>
          </w:tcPr>
          <w:p>
            <w:r>
              <w:rPr>
                <w:b/>
                <w:color w:val="FFFFFF"/>
                <w:sz w:val="19"/>
              </w:rPr>
              <w:t>Modern Graph Database (Neo4j)</w:t>
            </w:r>
          </w:p>
        </w:tc>
      </w:tr>
      <w:tr>
        <w:tc>
          <w:tcPr>
            <w:tcW w:type="dxa" w:w="2592"/>
            <w:shd w:fill="FFFFFF"/>
            <w:tcMar>
              <w:top w:w="50" w:type="dxa"/>
              <w:bottom w:w="50" w:type="dxa"/>
              <w:left w:w="70" w:type="dxa"/>
              <w:right w:w="70" w:type="dxa"/>
            </w:tcMar>
          </w:tcPr>
          <w:p>
            <w:r>
              <w:rPr>
                <w:b/>
                <w:color w:val="1B365D"/>
                <w:sz w:val="18"/>
              </w:rPr>
              <w:t>Core Data Model</w:t>
            </w:r>
          </w:p>
        </w:tc>
        <w:tc>
          <w:tcPr>
            <w:tcW w:type="dxa" w:w="3456"/>
            <w:shd w:fill="FFFFFF"/>
            <w:tcMar>
              <w:top w:w="50" w:type="dxa"/>
              <w:bottom w:w="50" w:type="dxa"/>
              <w:left w:w="70" w:type="dxa"/>
              <w:right w:w="70" w:type="dxa"/>
            </w:tcMar>
          </w:tcPr>
          <w:p>
            <w:r>
              <w:rPr>
                <w:sz w:val="18"/>
              </w:rPr>
              <w:t>Rigid tables, fixed columns, rows, foreign keys</w:t>
            </w:r>
          </w:p>
        </w:tc>
        <w:tc>
          <w:tcPr>
            <w:tcW w:type="dxa" w:w="3600"/>
            <w:shd w:fill="FFFFFF"/>
            <w:tcMar>
              <w:top w:w="50" w:type="dxa"/>
              <w:bottom w:w="50" w:type="dxa"/>
              <w:left w:w="70" w:type="dxa"/>
              <w:right w:w="70" w:type="dxa"/>
            </w:tcMar>
          </w:tcPr>
          <w:p>
            <w:r>
              <w:rPr>
                <w:b/>
                <w:color w:val="007791"/>
                <w:sz w:val="18"/>
              </w:rPr>
              <w:t>Semi-structured Nodes, directed Edges, key-value properties</w:t>
            </w:r>
          </w:p>
        </w:tc>
      </w:tr>
      <w:tr>
        <w:tc>
          <w:tcPr>
            <w:tcW w:type="dxa" w:w="2592"/>
            <w:shd w:fill="F8FAFC"/>
            <w:tcMar>
              <w:top w:w="50" w:type="dxa"/>
              <w:bottom w:w="50" w:type="dxa"/>
              <w:left w:w="70" w:type="dxa"/>
              <w:right w:w="70" w:type="dxa"/>
            </w:tcMar>
          </w:tcPr>
          <w:p>
            <w:r>
              <w:rPr>
                <w:b/>
                <w:color w:val="1B365D"/>
                <w:sz w:val="18"/>
              </w:rPr>
              <w:t>Relationship Nature</w:t>
            </w:r>
          </w:p>
        </w:tc>
        <w:tc>
          <w:tcPr>
            <w:tcW w:type="dxa" w:w="3456"/>
            <w:shd w:fill="F8FAFC"/>
            <w:tcMar>
              <w:top w:w="50" w:type="dxa"/>
              <w:bottom w:w="50" w:type="dxa"/>
              <w:left w:w="70" w:type="dxa"/>
              <w:right w:w="70" w:type="dxa"/>
            </w:tcMar>
          </w:tcPr>
          <w:p>
            <w:r>
              <w:rPr>
                <w:sz w:val="18"/>
              </w:rPr>
              <w:t>Secondary concept simulated via Foreign Key tables</w:t>
            </w:r>
          </w:p>
        </w:tc>
        <w:tc>
          <w:tcPr>
            <w:tcW w:type="dxa" w:w="3600"/>
            <w:shd w:fill="F8FAFC"/>
            <w:tcMar>
              <w:top w:w="50" w:type="dxa"/>
              <w:bottom w:w="50" w:type="dxa"/>
              <w:left w:w="70" w:type="dxa"/>
              <w:right w:w="70" w:type="dxa"/>
            </w:tcMar>
          </w:tcPr>
          <w:p>
            <w:r>
              <w:rPr>
                <w:b/>
                <w:color w:val="007791"/>
                <w:sz w:val="18"/>
              </w:rPr>
              <w:t>First-Class Citizen stored as direct physical pointers</w:t>
            </w:r>
          </w:p>
        </w:tc>
      </w:tr>
      <w:tr>
        <w:tc>
          <w:tcPr>
            <w:tcW w:type="dxa" w:w="2592"/>
            <w:shd w:fill="FFFFFF"/>
            <w:tcMar>
              <w:top w:w="50" w:type="dxa"/>
              <w:bottom w:w="50" w:type="dxa"/>
              <w:left w:w="70" w:type="dxa"/>
              <w:right w:w="70" w:type="dxa"/>
            </w:tcMar>
          </w:tcPr>
          <w:p>
            <w:r>
              <w:rPr>
                <w:b/>
                <w:color w:val="1B365D"/>
                <w:sz w:val="18"/>
              </w:rPr>
              <w:t>Query Complexity</w:t>
            </w:r>
          </w:p>
        </w:tc>
        <w:tc>
          <w:tcPr>
            <w:tcW w:type="dxa" w:w="3456"/>
            <w:shd w:fill="FFFFFF"/>
            <w:tcMar>
              <w:top w:w="50" w:type="dxa"/>
              <w:bottom w:w="50" w:type="dxa"/>
              <w:left w:w="70" w:type="dxa"/>
              <w:right w:w="70" w:type="dxa"/>
            </w:tcMar>
          </w:tcPr>
          <w:p>
            <w:r>
              <w:rPr>
                <w:sz w:val="18"/>
              </w:rPr>
              <w:t>High: Requires multi-table INNER JOINs or recursive CTEs</w:t>
            </w:r>
          </w:p>
        </w:tc>
        <w:tc>
          <w:tcPr>
            <w:tcW w:type="dxa" w:w="3600"/>
            <w:shd w:fill="FFFFFF"/>
            <w:tcMar>
              <w:top w:w="50" w:type="dxa"/>
              <w:bottom w:w="50" w:type="dxa"/>
              <w:left w:w="70" w:type="dxa"/>
              <w:right w:w="70" w:type="dxa"/>
            </w:tcMar>
          </w:tcPr>
          <w:p>
            <w:r>
              <w:rPr>
                <w:b/>
                <w:color w:val="007791"/>
                <w:sz w:val="18"/>
              </w:rPr>
              <w:t>Low: Intuitive ASCII pattern matching (s)-[:SUPPLIES]-&gt;(p)</w:t>
            </w:r>
          </w:p>
        </w:tc>
      </w:tr>
      <w:tr>
        <w:tc>
          <w:tcPr>
            <w:tcW w:type="dxa" w:w="2592"/>
            <w:shd w:fill="F8FAFC"/>
            <w:tcMar>
              <w:top w:w="50" w:type="dxa"/>
              <w:bottom w:w="50" w:type="dxa"/>
              <w:left w:w="70" w:type="dxa"/>
              <w:right w:w="70" w:type="dxa"/>
            </w:tcMar>
          </w:tcPr>
          <w:p>
            <w:r>
              <w:rPr>
                <w:b/>
                <w:color w:val="1B365D"/>
                <w:sz w:val="18"/>
              </w:rPr>
              <w:t>Multi-Hop Performance</w:t>
            </w:r>
          </w:p>
        </w:tc>
        <w:tc>
          <w:tcPr>
            <w:tcW w:type="dxa" w:w="3456"/>
            <w:shd w:fill="F8FAFC"/>
            <w:tcMar>
              <w:top w:w="50" w:type="dxa"/>
              <w:bottom w:w="50" w:type="dxa"/>
              <w:left w:w="70" w:type="dxa"/>
              <w:right w:w="70" w:type="dxa"/>
            </w:tcMar>
          </w:tcPr>
          <w:p>
            <w:r>
              <w:rPr>
                <w:sz w:val="18"/>
              </w:rPr>
              <w:t>Degrades exponentially (O(N log N) / O(N^2))</w:t>
            </w:r>
          </w:p>
        </w:tc>
        <w:tc>
          <w:tcPr>
            <w:tcW w:type="dxa" w:w="3600"/>
            <w:shd w:fill="F8FAFC"/>
            <w:tcMar>
              <w:top w:w="50" w:type="dxa"/>
              <w:bottom w:w="50" w:type="dxa"/>
              <w:left w:w="70" w:type="dxa"/>
              <w:right w:w="70" w:type="dxa"/>
            </w:tcMar>
          </w:tcPr>
          <w:p>
            <w:r>
              <w:rPr>
                <w:b/>
                <w:color w:val="007791"/>
                <w:sz w:val="18"/>
              </w:rPr>
              <w:t>Constant / Linear (O(k)) independent of overall graph volume</w:t>
            </w:r>
          </w:p>
        </w:tc>
      </w:tr>
      <w:tr>
        <w:tc>
          <w:tcPr>
            <w:tcW w:type="dxa" w:w="2592"/>
            <w:shd w:fill="FFFFFF"/>
            <w:tcMar>
              <w:top w:w="50" w:type="dxa"/>
              <w:bottom w:w="50" w:type="dxa"/>
              <w:left w:w="70" w:type="dxa"/>
              <w:right w:w="70" w:type="dxa"/>
            </w:tcMar>
          </w:tcPr>
          <w:p>
            <w:r>
              <w:rPr>
                <w:b/>
                <w:color w:val="1B365D"/>
                <w:sz w:val="18"/>
              </w:rPr>
              <w:t>Schema Adaptability</w:t>
            </w:r>
          </w:p>
        </w:tc>
        <w:tc>
          <w:tcPr>
            <w:tcW w:type="dxa" w:w="3456"/>
            <w:shd w:fill="FFFFFF"/>
            <w:tcMar>
              <w:top w:w="50" w:type="dxa"/>
              <w:bottom w:w="50" w:type="dxa"/>
              <w:left w:w="70" w:type="dxa"/>
              <w:right w:w="70" w:type="dxa"/>
            </w:tcMar>
          </w:tcPr>
          <w:p>
            <w:r>
              <w:rPr>
                <w:sz w:val="18"/>
              </w:rPr>
              <w:t>Rigid: Schema modifications require heavy ALTER TABLE locks</w:t>
            </w:r>
          </w:p>
        </w:tc>
        <w:tc>
          <w:tcPr>
            <w:tcW w:type="dxa" w:w="3600"/>
            <w:shd w:fill="FFFFFF"/>
            <w:tcMar>
              <w:top w:w="50" w:type="dxa"/>
              <w:bottom w:w="50" w:type="dxa"/>
              <w:left w:w="70" w:type="dxa"/>
              <w:right w:w="70" w:type="dxa"/>
            </w:tcMar>
          </w:tcPr>
          <w:p>
            <w:r>
              <w:rPr>
                <w:b/>
                <w:color w:val="007791"/>
                <w:sz w:val="18"/>
              </w:rPr>
              <w:t>Highly Dynamic: Nodes can hold heterogeneous attributes freely</w:t>
            </w:r>
          </w:p>
        </w:tc>
      </w:tr>
      <w:tr>
        <w:tc>
          <w:tcPr>
            <w:tcW w:type="dxa" w:w="2592"/>
            <w:shd w:fill="F8FAFC"/>
            <w:tcMar>
              <w:top w:w="50" w:type="dxa"/>
              <w:bottom w:w="50" w:type="dxa"/>
              <w:left w:w="70" w:type="dxa"/>
              <w:right w:w="70" w:type="dxa"/>
            </w:tcMar>
          </w:tcPr>
          <w:p>
            <w:r>
              <w:rPr>
                <w:b/>
                <w:color w:val="1B365D"/>
                <w:sz w:val="18"/>
              </w:rPr>
              <w:t>Traceability &amp; Recalls</w:t>
            </w:r>
          </w:p>
        </w:tc>
        <w:tc>
          <w:tcPr>
            <w:tcW w:type="dxa" w:w="3456"/>
            <w:shd w:fill="F8FAFC"/>
            <w:tcMar>
              <w:top w:w="50" w:type="dxa"/>
              <w:bottom w:w="50" w:type="dxa"/>
              <w:left w:w="70" w:type="dxa"/>
              <w:right w:w="70" w:type="dxa"/>
            </w:tcMar>
          </w:tcPr>
          <w:p>
            <w:r>
              <w:rPr>
                <w:sz w:val="18"/>
              </w:rPr>
              <w:t>Cumbersome, slow, and complex to trace upstream chains</w:t>
            </w:r>
          </w:p>
        </w:tc>
        <w:tc>
          <w:tcPr>
            <w:tcW w:type="dxa" w:w="3600"/>
            <w:shd w:fill="F8FAFC"/>
            <w:tcMar>
              <w:top w:w="50" w:type="dxa"/>
              <w:bottom w:w="50" w:type="dxa"/>
              <w:left w:w="70" w:type="dxa"/>
              <w:right w:w="70" w:type="dxa"/>
            </w:tcMar>
          </w:tcPr>
          <w:p>
            <w:r>
              <w:rPr>
                <w:b/>
                <w:color w:val="007791"/>
                <w:sz w:val="18"/>
              </w:rPr>
              <w:t>Instantaneous bi-directional provenance paths in 1 line of Cypher</w:t>
            </w:r>
          </w:p>
        </w:tc>
      </w:tr>
      <w:tr>
        <w:tc>
          <w:tcPr>
            <w:tcW w:type="dxa" w:w="2592"/>
            <w:shd w:fill="FFFFFF"/>
            <w:tcMar>
              <w:top w:w="50" w:type="dxa"/>
              <w:bottom w:w="50" w:type="dxa"/>
              <w:left w:w="70" w:type="dxa"/>
              <w:right w:w="70" w:type="dxa"/>
            </w:tcMar>
          </w:tcPr>
          <w:p>
            <w:r>
              <w:rPr>
                <w:b/>
                <w:color w:val="1B365D"/>
                <w:sz w:val="18"/>
              </w:rPr>
              <w:t>Best-Fit Use Case</w:t>
            </w:r>
          </w:p>
        </w:tc>
        <w:tc>
          <w:tcPr>
            <w:tcW w:type="dxa" w:w="3456"/>
            <w:shd w:fill="FFFFFF"/>
            <w:tcMar>
              <w:top w:w="50" w:type="dxa"/>
              <w:bottom w:w="50" w:type="dxa"/>
              <w:left w:w="70" w:type="dxa"/>
              <w:right w:w="70" w:type="dxa"/>
            </w:tcMar>
          </w:tcPr>
          <w:p>
            <w:r>
              <w:rPr>
                <w:sz w:val="18"/>
              </w:rPr>
              <w:t>Financial billing, ledger accounting, authentication</w:t>
            </w:r>
          </w:p>
        </w:tc>
        <w:tc>
          <w:tcPr>
            <w:tcW w:type="dxa" w:w="3600"/>
            <w:shd w:fill="FFFFFF"/>
            <w:tcMar>
              <w:top w:w="50" w:type="dxa"/>
              <w:bottom w:w="50" w:type="dxa"/>
              <w:left w:w="70" w:type="dxa"/>
              <w:right w:w="70" w:type="dxa"/>
            </w:tcMar>
          </w:tcPr>
          <w:p>
            <w:r>
              <w:rPr>
                <w:b/>
                <w:color w:val="007791"/>
                <w:sz w:val="18"/>
              </w:rPr>
              <w:t>Supply chain genealogy, FDA recalls, fraud detection, dependency hubs</w:t>
            </w:r>
          </w:p>
        </w:tc>
      </w:tr>
    </w:tbl>
    <w:p>
      <w:r>
        <w:br w:type="page"/>
      </w:r>
    </w:p>
    <w:p>
      <w:pPr>
        <w:keepNext/>
        <w:spacing w:before="360" w:after="120"/>
      </w:pPr>
      <w:r>
        <w:rPr>
          <w:rFonts w:ascii="Calibri" w:hAnsi="Calibri"/>
          <w:b/>
          <w:color w:val="1B365D"/>
          <w:sz w:val="32"/>
        </w:rPr>
        <w:t>5. Database Schema &amp; Property Graph Topology</w:t>
      </w:r>
    </w:p>
    <w:p>
      <w:pPr>
        <w:spacing w:before="0" w:after="160"/>
      </w:pPr>
      <w:r>
        <w:rPr>
          <w:b/>
          <w:color w:val="007791"/>
        </w:rPr>
        <w:t>―――――――――――――――――――――――――――――――――――――――――――――――――――――――</w:t>
      </w:r>
    </w:p>
    <w:p>
      <w:r>
        <w:t>The system coordinates two data models: a normalized relational schema for operational consistency and a property graph schema optimized for supply chain intelligence.</w:t>
      </w:r>
    </w:p>
    <w:p>
      <w:pPr>
        <w:keepNext/>
        <w:spacing w:before="260" w:after="100"/>
      </w:pPr>
      <w:r>
        <w:rPr>
          <w:rFonts w:ascii="Calibri" w:hAnsi="Calibri"/>
          <w:b/>
          <w:color w:val="007791"/>
          <w:sz w:val="26"/>
        </w:rPr>
        <w:t>5.1 Relational Schema Specification</w:t>
      </w:r>
    </w:p>
    <w:p>
      <w:r>
        <w:t>The relational database schema is structured under Third Normal Form (3NF) to guarantee zero update anomalies during transactional processing:</w:t>
      </w:r>
    </w:p>
    <w:tbl>
      <w:tblPr>
        <w:tblW w:type="auto" w:w="0"/>
        <w:jc w:val="center"/>
        <w:tblLayout w:type="fixed"/>
        <w:tblLook w:firstColumn="1" w:firstRow="1" w:lastColumn="0" w:lastRow="0" w:noHBand="0" w:noVBand="1" w:val="04A0"/>
      </w:tblPr>
      <w:tblGrid>
        <w:gridCol w:w="3216"/>
        <w:gridCol w:w="3216"/>
        <w:gridCol w:w="3216"/>
      </w:tblGrid>
      <w:tr>
        <w:tc>
          <w:tcPr>
            <w:tcW w:type="dxa" w:w="1872"/>
            <w:shd w:fill="1B365D"/>
            <w:tcMar>
              <w:top w:w="60" w:type="dxa"/>
              <w:bottom w:w="60" w:type="dxa"/>
              <w:left w:w="70" w:type="dxa"/>
              <w:right w:w="70" w:type="dxa"/>
            </w:tcMar>
          </w:tcPr>
          <w:p>
            <w:r>
              <w:rPr>
                <w:b/>
                <w:color w:val="FFFFFF"/>
                <w:sz w:val="19"/>
              </w:rPr>
              <w:t>Table Name</w:t>
            </w:r>
          </w:p>
        </w:tc>
        <w:tc>
          <w:tcPr>
            <w:tcW w:type="dxa" w:w="4032"/>
            <w:shd w:fill="1B365D"/>
            <w:tcMar>
              <w:top w:w="60" w:type="dxa"/>
              <w:bottom w:w="60" w:type="dxa"/>
              <w:left w:w="70" w:type="dxa"/>
              <w:right w:w="70" w:type="dxa"/>
            </w:tcMar>
          </w:tcPr>
          <w:p>
            <w:r>
              <w:rPr>
                <w:b/>
                <w:color w:val="FFFFFF"/>
                <w:sz w:val="19"/>
              </w:rPr>
              <w:t>Attributes &amp; Keys</w:t>
            </w:r>
          </w:p>
        </w:tc>
        <w:tc>
          <w:tcPr>
            <w:tcW w:type="dxa" w:w="3744"/>
            <w:shd w:fill="1B365D"/>
            <w:tcMar>
              <w:top w:w="60" w:type="dxa"/>
              <w:bottom w:w="60" w:type="dxa"/>
              <w:left w:w="70" w:type="dxa"/>
              <w:right w:w="70" w:type="dxa"/>
            </w:tcMar>
          </w:tcPr>
          <w:p>
            <w:r>
              <w:rPr>
                <w:b/>
                <w:color w:val="FFFFFF"/>
                <w:sz w:val="19"/>
              </w:rPr>
              <w:t>Description &amp; Constraints</w:t>
            </w:r>
          </w:p>
        </w:tc>
      </w:tr>
      <w:tr>
        <w:tc>
          <w:tcPr>
            <w:tcW w:type="dxa" w:w="1872"/>
            <w:shd w:fill="FFFFFF"/>
            <w:tcMar>
              <w:top w:w="50" w:type="dxa"/>
              <w:bottom w:w="50" w:type="dxa"/>
              <w:left w:w="70" w:type="dxa"/>
              <w:right w:w="70" w:type="dxa"/>
            </w:tcMar>
          </w:tcPr>
          <w:p>
            <w:r>
              <w:rPr>
                <w:b/>
                <w:color w:val="1B365D"/>
                <w:sz w:val="17"/>
              </w:rPr>
              <w:t>users</w:t>
            </w:r>
          </w:p>
        </w:tc>
        <w:tc>
          <w:tcPr>
            <w:tcW w:type="dxa" w:w="4032"/>
            <w:shd w:fill="FFFFFF"/>
            <w:tcMar>
              <w:top w:w="50" w:type="dxa"/>
              <w:bottom w:w="50" w:type="dxa"/>
              <w:left w:w="70" w:type="dxa"/>
              <w:right w:w="70" w:type="dxa"/>
            </w:tcMar>
          </w:tcPr>
          <w:p>
            <w:r>
              <w:rPr>
                <w:rFonts w:ascii="Consolas" w:hAnsi="Consolas"/>
                <w:sz w:val="17"/>
              </w:rPr>
              <w:t>id, name, email, password, avatar, remember_token, timestamps</w:t>
            </w:r>
          </w:p>
        </w:tc>
        <w:tc>
          <w:tcPr>
            <w:tcW w:type="dxa" w:w="3744"/>
            <w:shd w:fill="FFFFFF"/>
            <w:tcMar>
              <w:top w:w="50" w:type="dxa"/>
              <w:bottom w:w="50" w:type="dxa"/>
              <w:left w:w="70" w:type="dxa"/>
              <w:right w:w="70" w:type="dxa"/>
            </w:tcMar>
          </w:tcPr>
          <w:p>
            <w:r>
              <w:rPr>
                <w:sz w:val="17"/>
              </w:rPr>
              <w:t>Stores administrative personnel and credentials.</w:t>
            </w:r>
          </w:p>
        </w:tc>
      </w:tr>
      <w:tr>
        <w:tc>
          <w:tcPr>
            <w:tcW w:type="dxa" w:w="1872"/>
            <w:shd w:fill="F8FAFC"/>
            <w:tcMar>
              <w:top w:w="50" w:type="dxa"/>
              <w:bottom w:w="50" w:type="dxa"/>
              <w:left w:w="70" w:type="dxa"/>
              <w:right w:w="70" w:type="dxa"/>
            </w:tcMar>
          </w:tcPr>
          <w:p>
            <w:r>
              <w:rPr>
                <w:b/>
                <w:color w:val="1B365D"/>
                <w:sz w:val="17"/>
              </w:rPr>
              <w:t>suppliers</w:t>
            </w:r>
          </w:p>
        </w:tc>
        <w:tc>
          <w:tcPr>
            <w:tcW w:type="dxa" w:w="4032"/>
            <w:shd w:fill="F8FAFC"/>
            <w:tcMar>
              <w:top w:w="50" w:type="dxa"/>
              <w:bottom w:w="50" w:type="dxa"/>
              <w:left w:w="70" w:type="dxa"/>
              <w:right w:w="70" w:type="dxa"/>
            </w:tcMar>
          </w:tcPr>
          <w:p>
            <w:r>
              <w:rPr>
                <w:rFonts w:ascii="Consolas" w:hAnsi="Consolas"/>
                <w:sz w:val="17"/>
              </w:rPr>
              <w:t>id, name, email, phone, address, company, timestamps</w:t>
            </w:r>
          </w:p>
        </w:tc>
        <w:tc>
          <w:tcPr>
            <w:tcW w:type="dxa" w:w="3744"/>
            <w:shd w:fill="F8FAFC"/>
            <w:tcMar>
              <w:top w:w="50" w:type="dxa"/>
              <w:bottom w:w="50" w:type="dxa"/>
              <w:left w:w="70" w:type="dxa"/>
              <w:right w:w="70" w:type="dxa"/>
            </w:tcMar>
          </w:tcPr>
          <w:p>
            <w:r>
              <w:rPr>
                <w:sz w:val="17"/>
              </w:rPr>
              <w:t>Tracks verified pharmaceutical distributors.</w:t>
            </w:r>
          </w:p>
        </w:tc>
      </w:tr>
      <w:tr>
        <w:tc>
          <w:tcPr>
            <w:tcW w:type="dxa" w:w="1872"/>
            <w:shd w:fill="FFFFFF"/>
            <w:tcMar>
              <w:top w:w="50" w:type="dxa"/>
              <w:bottom w:w="50" w:type="dxa"/>
              <w:left w:w="70" w:type="dxa"/>
              <w:right w:w="70" w:type="dxa"/>
            </w:tcMar>
          </w:tcPr>
          <w:p>
            <w:r>
              <w:rPr>
                <w:b/>
                <w:color w:val="1B365D"/>
                <w:sz w:val="17"/>
              </w:rPr>
              <w:t>categories</w:t>
            </w:r>
          </w:p>
        </w:tc>
        <w:tc>
          <w:tcPr>
            <w:tcW w:type="dxa" w:w="4032"/>
            <w:shd w:fill="FFFFFF"/>
            <w:tcMar>
              <w:top w:w="50" w:type="dxa"/>
              <w:bottom w:w="50" w:type="dxa"/>
              <w:left w:w="70" w:type="dxa"/>
              <w:right w:w="70" w:type="dxa"/>
            </w:tcMar>
          </w:tcPr>
          <w:p>
            <w:r>
              <w:rPr>
                <w:rFonts w:ascii="Consolas" w:hAnsi="Consolas"/>
                <w:sz w:val="17"/>
              </w:rPr>
              <w:t>id, name, description, timestamps</w:t>
            </w:r>
          </w:p>
        </w:tc>
        <w:tc>
          <w:tcPr>
            <w:tcW w:type="dxa" w:w="3744"/>
            <w:shd w:fill="FFFFFF"/>
            <w:tcMar>
              <w:top w:w="50" w:type="dxa"/>
              <w:bottom w:w="50" w:type="dxa"/>
              <w:left w:w="70" w:type="dxa"/>
              <w:right w:w="70" w:type="dxa"/>
            </w:tcMar>
          </w:tcPr>
          <w:p>
            <w:r>
              <w:rPr>
                <w:sz w:val="17"/>
              </w:rPr>
              <w:t>Therapeutic classification of pharmaceuticals.</w:t>
            </w:r>
          </w:p>
        </w:tc>
      </w:tr>
      <w:tr>
        <w:tc>
          <w:tcPr>
            <w:tcW w:type="dxa" w:w="1872"/>
            <w:shd w:fill="F8FAFC"/>
            <w:tcMar>
              <w:top w:w="50" w:type="dxa"/>
              <w:bottom w:w="50" w:type="dxa"/>
              <w:left w:w="70" w:type="dxa"/>
              <w:right w:w="70" w:type="dxa"/>
            </w:tcMar>
          </w:tcPr>
          <w:p>
            <w:r>
              <w:rPr>
                <w:b/>
                <w:color w:val="1B365D"/>
                <w:sz w:val="17"/>
              </w:rPr>
              <w:t>purchases</w:t>
            </w:r>
          </w:p>
        </w:tc>
        <w:tc>
          <w:tcPr>
            <w:tcW w:type="dxa" w:w="4032"/>
            <w:shd w:fill="F8FAFC"/>
            <w:tcMar>
              <w:top w:w="50" w:type="dxa"/>
              <w:bottom w:w="50" w:type="dxa"/>
              <w:left w:w="70" w:type="dxa"/>
              <w:right w:w="70" w:type="dxa"/>
            </w:tcMar>
          </w:tcPr>
          <w:p>
            <w:r>
              <w:rPr>
                <w:rFonts w:ascii="Consolas" w:hAnsi="Consolas"/>
                <w:sz w:val="17"/>
              </w:rPr>
              <w:t>id, product, category_id, supplier_id, cost_price, quantity, expiry_date, image</w:t>
            </w:r>
          </w:p>
        </w:tc>
        <w:tc>
          <w:tcPr>
            <w:tcW w:type="dxa" w:w="3744"/>
            <w:shd w:fill="F8FAFC"/>
            <w:tcMar>
              <w:top w:w="50" w:type="dxa"/>
              <w:bottom w:w="50" w:type="dxa"/>
              <w:left w:w="70" w:type="dxa"/>
              <w:right w:w="70" w:type="dxa"/>
            </w:tcMar>
          </w:tcPr>
          <w:p>
            <w:r>
              <w:rPr>
                <w:sz w:val="17"/>
              </w:rPr>
              <w:t>Tracks inventory procurement lots and expiration dates.</w:t>
            </w:r>
          </w:p>
        </w:tc>
      </w:tr>
      <w:tr>
        <w:tc>
          <w:tcPr>
            <w:tcW w:type="dxa" w:w="1872"/>
            <w:shd w:fill="FFFFFF"/>
            <w:tcMar>
              <w:top w:w="50" w:type="dxa"/>
              <w:bottom w:w="50" w:type="dxa"/>
              <w:left w:w="70" w:type="dxa"/>
              <w:right w:w="70" w:type="dxa"/>
            </w:tcMar>
          </w:tcPr>
          <w:p>
            <w:r>
              <w:rPr>
                <w:b/>
                <w:color w:val="1B365D"/>
                <w:sz w:val="17"/>
              </w:rPr>
              <w:t>products</w:t>
            </w:r>
          </w:p>
        </w:tc>
        <w:tc>
          <w:tcPr>
            <w:tcW w:type="dxa" w:w="4032"/>
            <w:shd w:fill="FFFFFF"/>
            <w:tcMar>
              <w:top w:w="50" w:type="dxa"/>
              <w:bottom w:w="50" w:type="dxa"/>
              <w:left w:w="70" w:type="dxa"/>
              <w:right w:w="70" w:type="dxa"/>
            </w:tcMar>
          </w:tcPr>
          <w:p>
            <w:r>
              <w:rPr>
                <w:rFonts w:ascii="Consolas" w:hAnsi="Consolas"/>
                <w:sz w:val="17"/>
              </w:rPr>
              <w:t>id, purchase_id, price, description, timestamps</w:t>
            </w:r>
          </w:p>
        </w:tc>
        <w:tc>
          <w:tcPr>
            <w:tcW w:type="dxa" w:w="3744"/>
            <w:shd w:fill="FFFFFF"/>
            <w:tcMar>
              <w:top w:w="50" w:type="dxa"/>
              <w:bottom w:w="50" w:type="dxa"/>
              <w:left w:w="70" w:type="dxa"/>
              <w:right w:w="70" w:type="dxa"/>
            </w:tcMar>
          </w:tcPr>
          <w:p>
            <w:r>
              <w:rPr>
                <w:sz w:val="17"/>
              </w:rPr>
              <w:t>Maps purchase inventory to retail sales catalog.</w:t>
            </w:r>
          </w:p>
        </w:tc>
      </w:tr>
      <w:tr>
        <w:tc>
          <w:tcPr>
            <w:tcW w:type="dxa" w:w="1872"/>
            <w:shd w:fill="F8FAFC"/>
            <w:tcMar>
              <w:top w:w="50" w:type="dxa"/>
              <w:bottom w:w="50" w:type="dxa"/>
              <w:left w:w="70" w:type="dxa"/>
              <w:right w:w="70" w:type="dxa"/>
            </w:tcMar>
          </w:tcPr>
          <w:p>
            <w:r>
              <w:rPr>
                <w:b/>
                <w:color w:val="1B365D"/>
                <w:sz w:val="17"/>
              </w:rPr>
              <w:t>sales</w:t>
            </w:r>
          </w:p>
        </w:tc>
        <w:tc>
          <w:tcPr>
            <w:tcW w:type="dxa" w:w="4032"/>
            <w:shd w:fill="F8FAFC"/>
            <w:tcMar>
              <w:top w:w="50" w:type="dxa"/>
              <w:bottom w:w="50" w:type="dxa"/>
              <w:left w:w="70" w:type="dxa"/>
              <w:right w:w="70" w:type="dxa"/>
            </w:tcMar>
          </w:tcPr>
          <w:p>
            <w:r>
              <w:rPr>
                <w:rFonts w:ascii="Consolas" w:hAnsi="Consolas"/>
                <w:sz w:val="17"/>
              </w:rPr>
              <w:t>id, product_id, quantity, total_price, timestamps</w:t>
            </w:r>
          </w:p>
        </w:tc>
        <w:tc>
          <w:tcPr>
            <w:tcW w:type="dxa" w:w="3744"/>
            <w:shd w:fill="F8FAFC"/>
            <w:tcMar>
              <w:top w:w="50" w:type="dxa"/>
              <w:bottom w:w="50" w:type="dxa"/>
              <w:left w:w="70" w:type="dxa"/>
              <w:right w:w="70" w:type="dxa"/>
            </w:tcMar>
          </w:tcPr>
          <w:p>
            <w:r>
              <w:rPr>
                <w:sz w:val="17"/>
              </w:rPr>
              <w:t>Dispensing transaction log with financial totals.</w:t>
            </w:r>
          </w:p>
        </w:tc>
      </w:tr>
      <w:tr>
        <w:tc>
          <w:tcPr>
            <w:tcW w:type="dxa" w:w="1872"/>
            <w:shd w:fill="FFFFFF"/>
            <w:tcMar>
              <w:top w:w="50" w:type="dxa"/>
              <w:bottom w:w="50" w:type="dxa"/>
              <w:left w:w="70" w:type="dxa"/>
              <w:right w:w="70" w:type="dxa"/>
            </w:tcMar>
          </w:tcPr>
          <w:p>
            <w:r>
              <w:rPr>
                <w:b/>
                <w:color w:val="1B365D"/>
                <w:sz w:val="17"/>
              </w:rPr>
              <w:t>notifications</w:t>
            </w:r>
          </w:p>
        </w:tc>
        <w:tc>
          <w:tcPr>
            <w:tcW w:type="dxa" w:w="4032"/>
            <w:shd w:fill="FFFFFF"/>
            <w:tcMar>
              <w:top w:w="50" w:type="dxa"/>
              <w:bottom w:w="50" w:type="dxa"/>
              <w:left w:w="70" w:type="dxa"/>
              <w:right w:w="70" w:type="dxa"/>
            </w:tcMar>
          </w:tcPr>
          <w:p>
            <w:r>
              <w:rPr>
                <w:rFonts w:ascii="Consolas" w:hAnsi="Consolas"/>
                <w:sz w:val="17"/>
              </w:rPr>
              <w:t>id (UUID), type, notifiable_type, notifiable_id, data (JSON), read_at, timestamps</w:t>
            </w:r>
          </w:p>
        </w:tc>
        <w:tc>
          <w:tcPr>
            <w:tcW w:type="dxa" w:w="3744"/>
            <w:shd w:fill="FFFFFF"/>
            <w:tcMar>
              <w:top w:w="50" w:type="dxa"/>
              <w:bottom w:w="50" w:type="dxa"/>
              <w:left w:w="70" w:type="dxa"/>
              <w:right w:w="70" w:type="dxa"/>
            </w:tcMar>
          </w:tcPr>
          <w:p>
            <w:r>
              <w:rPr>
                <w:sz w:val="17"/>
              </w:rPr>
              <w:t>System-wide alert notifications with per-item read tracking.</w:t>
            </w:r>
          </w:p>
        </w:tc>
      </w:tr>
    </w:tbl>
    <w:p>
      <w:pPr>
        <w:spacing w:after="120"/>
      </w:pPr>
    </w:p>
    <w:p>
      <w:pPr>
        <w:keepNext/>
        <w:spacing w:before="260" w:after="100"/>
      </w:pPr>
      <w:r>
        <w:rPr>
          <w:rFonts w:ascii="Calibri" w:hAnsi="Calibri"/>
          <w:b/>
          <w:color w:val="007791"/>
          <w:sz w:val="26"/>
        </w:rPr>
        <w:t>5.2 Neo4j Graph Model: Nodes, Edges &amp; Properties</w:t>
      </w:r>
    </w:p>
    <w:p>
      <w:r>
        <w:t>The property graph model explicitly structures entities into four primary node labels connected via three typed, directed edges:</w:t>
      </w:r>
    </w:p>
    <w:tbl>
      <w:tblPr>
        <w:tblW w:type="auto" w:w="0"/>
        <w:jc w:val="center"/>
        <w:tblLayout w:type="fixed"/>
        <w:tblLook w:firstColumn="1" w:firstRow="1" w:lastColumn="0" w:lastRow="0" w:noHBand="0" w:noVBand="1" w:val="04A0"/>
      </w:tblPr>
      <w:tblGrid>
        <w:gridCol w:w="9648"/>
      </w:tblGrid>
      <w:tr>
        <w:tc>
          <w:tcPr>
            <w:tcW w:type="dxa" w:w="9216"/>
            <w:shd w:fill="FFFFFF"/>
            <w:tcMar>
              <w:top w:w="70" w:type="dxa"/>
              <w:bottom w:w="60" w:type="dxa"/>
              <w:left w:w="70" w:type="dxa"/>
              <w:right w:w="7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graph_topology_map.png"/>
                          <pic:cNvPicPr/>
                        </pic:nvPicPr>
                        <pic:blipFill>
                          <a:blip r:embed="rId13"/>
                          <a:stretch>
                            <a:fillRect/>
                          </a:stretch>
                        </pic:blipFill>
                        <pic:spPr>
                          <a:xfrm>
                            <a:off x="0" y="0"/>
                            <a:ext cx="5669280" cy="3401568"/>
                          </a:xfrm>
                          <a:prstGeom prst="rect"/>
                        </pic:spPr>
                      </pic:pic>
                    </a:graphicData>
                  </a:graphic>
                </wp:inline>
              </w:drawing>
            </w:r>
          </w:p>
        </w:tc>
      </w:tr>
    </w:tbl>
    <w:p>
      <w:pPr>
        <w:keepNext w:val="0"/>
        <w:spacing w:before="60" w:after="240"/>
        <w:jc w:val="center"/>
      </w:pPr>
      <w:r>
        <w:rPr>
          <w:b/>
          <w:color w:val="1B365D"/>
          <w:sz w:val="19"/>
        </w:rPr>
        <w:t xml:space="preserve">Figure 5: </w:t>
      </w:r>
      <w:r>
        <w:rPr>
          <w:b/>
          <w:color w:val="2C3E50"/>
          <w:sz w:val="19"/>
        </w:rPr>
        <w:t>Neo4j Property Graph Architecture &amp; Directed Relationship Topology</w:t>
      </w:r>
      <w:r>
        <w:rPr>
          <w:i/>
          <w:color w:val="64748B"/>
          <w:sz w:val="17"/>
        </w:rPr>
        <w:t xml:space="preserve"> — System topology showing (:Supplier)-[:SUPPLIES]-&gt;(:Product)-[:BELONGS_TO]-&gt;(:Category) and (:Sale)-[:SOLD_PRODUCT]-&gt;(:Product) with physical memory pointers.</w:t>
      </w:r>
    </w:p>
    <w:tbl>
      <w:tblPr>
        <w:tblW w:type="auto" w:w="0"/>
        <w:jc w:val="center"/>
        <w:tblLayout w:type="fixed"/>
        <w:tblLook w:firstColumn="1" w:firstRow="1" w:lastColumn="0" w:lastRow="0" w:noHBand="0" w:noVBand="1" w:val="04A0"/>
      </w:tblPr>
      <w:tblGrid>
        <w:gridCol w:w="3216"/>
        <w:gridCol w:w="3216"/>
        <w:gridCol w:w="3216"/>
      </w:tblGrid>
      <w:tr>
        <w:tc>
          <w:tcPr>
            <w:tcW w:type="dxa" w:w="1872"/>
            <w:shd w:fill="007791"/>
            <w:tcMar>
              <w:top w:w="60" w:type="dxa"/>
              <w:bottom w:w="60" w:type="dxa"/>
              <w:left w:w="70" w:type="dxa"/>
              <w:right w:w="70" w:type="dxa"/>
            </w:tcMar>
          </w:tcPr>
          <w:p>
            <w:r>
              <w:rPr>
                <w:b/>
                <w:color w:val="FFFFFF"/>
                <w:sz w:val="19"/>
              </w:rPr>
              <w:t>Node Label</w:t>
            </w:r>
          </w:p>
        </w:tc>
        <w:tc>
          <w:tcPr>
            <w:tcW w:type="dxa" w:w="4032"/>
            <w:shd w:fill="007791"/>
            <w:tcMar>
              <w:top w:w="60" w:type="dxa"/>
              <w:bottom w:w="60" w:type="dxa"/>
              <w:left w:w="70" w:type="dxa"/>
              <w:right w:w="70" w:type="dxa"/>
            </w:tcMar>
          </w:tcPr>
          <w:p>
            <w:r>
              <w:rPr>
                <w:b/>
                <w:color w:val="FFFFFF"/>
                <w:sz w:val="19"/>
              </w:rPr>
              <w:t>Key Node Properties</w:t>
            </w:r>
          </w:p>
        </w:tc>
        <w:tc>
          <w:tcPr>
            <w:tcW w:type="dxa" w:w="3744"/>
            <w:shd w:fill="007791"/>
            <w:tcMar>
              <w:top w:w="60" w:type="dxa"/>
              <w:bottom w:w="60" w:type="dxa"/>
              <w:left w:w="70" w:type="dxa"/>
              <w:right w:w="70" w:type="dxa"/>
            </w:tcMar>
          </w:tcPr>
          <w:p>
            <w:r>
              <w:rPr>
                <w:b/>
                <w:color w:val="FFFFFF"/>
                <w:sz w:val="19"/>
              </w:rPr>
              <w:t>Semantics &amp; Graph Role</w:t>
            </w:r>
          </w:p>
        </w:tc>
      </w:tr>
      <w:tr>
        <w:tc>
          <w:tcPr>
            <w:tcW w:type="dxa" w:w="1872"/>
            <w:shd w:fill="FFFFFF"/>
            <w:tcMar>
              <w:top w:w="50" w:type="dxa"/>
              <w:bottom w:w="50" w:type="dxa"/>
              <w:left w:w="70" w:type="dxa"/>
              <w:right w:w="70" w:type="dxa"/>
            </w:tcMar>
          </w:tcPr>
          <w:p>
            <w:r>
              <w:rPr>
                <w:b/>
                <w:color w:val="1B365D"/>
                <w:sz w:val="17"/>
              </w:rPr>
              <w:t>(:Supplier)</w:t>
            </w:r>
          </w:p>
        </w:tc>
        <w:tc>
          <w:tcPr>
            <w:tcW w:type="dxa" w:w="4032"/>
            <w:shd w:fill="FFFFFF"/>
            <w:tcMar>
              <w:top w:w="50" w:type="dxa"/>
              <w:bottom w:w="50" w:type="dxa"/>
              <w:left w:w="70" w:type="dxa"/>
              <w:right w:w="70" w:type="dxa"/>
            </w:tcMar>
          </w:tcPr>
          <w:p>
            <w:r>
              <w:rPr>
                <w:rFonts w:ascii="Consolas" w:hAnsi="Consolas"/>
                <w:sz w:val="17"/>
              </w:rPr>
              <w:t>id, company, name, email, phone, address</w:t>
            </w:r>
          </w:p>
        </w:tc>
        <w:tc>
          <w:tcPr>
            <w:tcW w:type="dxa" w:w="3744"/>
            <w:shd w:fill="FFFFFF"/>
            <w:tcMar>
              <w:top w:w="50" w:type="dxa"/>
              <w:bottom w:w="50" w:type="dxa"/>
              <w:left w:w="70" w:type="dxa"/>
              <w:right w:w="70" w:type="dxa"/>
            </w:tcMar>
          </w:tcPr>
          <w:p>
            <w:r>
              <w:rPr>
                <w:sz w:val="17"/>
              </w:rPr>
              <w:t>Upstream origin nodes representing pharmaceutical manufacturers.</w:t>
            </w:r>
          </w:p>
        </w:tc>
      </w:tr>
      <w:tr>
        <w:tc>
          <w:tcPr>
            <w:tcW w:type="dxa" w:w="1872"/>
            <w:shd w:fill="F8FAFC"/>
            <w:tcMar>
              <w:top w:w="50" w:type="dxa"/>
              <w:bottom w:w="50" w:type="dxa"/>
              <w:left w:w="70" w:type="dxa"/>
              <w:right w:w="70" w:type="dxa"/>
            </w:tcMar>
          </w:tcPr>
          <w:p>
            <w:r>
              <w:rPr>
                <w:b/>
                <w:color w:val="1B365D"/>
                <w:sz w:val="17"/>
              </w:rPr>
              <w:t>(:Product)</w:t>
            </w:r>
          </w:p>
        </w:tc>
        <w:tc>
          <w:tcPr>
            <w:tcW w:type="dxa" w:w="4032"/>
            <w:shd w:fill="F8FAFC"/>
            <w:tcMar>
              <w:top w:w="50" w:type="dxa"/>
              <w:bottom w:w="50" w:type="dxa"/>
              <w:left w:w="70" w:type="dxa"/>
              <w:right w:w="70" w:type="dxa"/>
            </w:tcMar>
          </w:tcPr>
          <w:p>
            <w:r>
              <w:rPr>
                <w:rFonts w:ascii="Consolas" w:hAnsi="Consolas"/>
                <w:sz w:val="17"/>
              </w:rPr>
              <w:t>id, name, price, cost_price, quantity, expiry_date, is_expired</w:t>
            </w:r>
          </w:p>
        </w:tc>
        <w:tc>
          <w:tcPr>
            <w:tcW w:type="dxa" w:w="3744"/>
            <w:shd w:fill="F8FAFC"/>
            <w:tcMar>
              <w:top w:w="50" w:type="dxa"/>
              <w:bottom w:w="50" w:type="dxa"/>
              <w:left w:w="70" w:type="dxa"/>
              <w:right w:w="70" w:type="dxa"/>
            </w:tcMar>
          </w:tcPr>
          <w:p>
            <w:r>
              <w:rPr>
                <w:sz w:val="17"/>
              </w:rPr>
              <w:t>Central inventory hubs tracking medicine batches and stock levels.</w:t>
            </w:r>
          </w:p>
        </w:tc>
      </w:tr>
      <w:tr>
        <w:tc>
          <w:tcPr>
            <w:tcW w:type="dxa" w:w="1872"/>
            <w:shd w:fill="FFFFFF"/>
            <w:tcMar>
              <w:top w:w="50" w:type="dxa"/>
              <w:bottom w:w="50" w:type="dxa"/>
              <w:left w:w="70" w:type="dxa"/>
              <w:right w:w="70" w:type="dxa"/>
            </w:tcMar>
          </w:tcPr>
          <w:p>
            <w:r>
              <w:rPr>
                <w:b/>
                <w:color w:val="1B365D"/>
                <w:sz w:val="17"/>
              </w:rPr>
              <w:t>(:Category)</w:t>
            </w:r>
          </w:p>
        </w:tc>
        <w:tc>
          <w:tcPr>
            <w:tcW w:type="dxa" w:w="4032"/>
            <w:shd w:fill="FFFFFF"/>
            <w:tcMar>
              <w:top w:w="50" w:type="dxa"/>
              <w:bottom w:w="50" w:type="dxa"/>
              <w:left w:w="70" w:type="dxa"/>
              <w:right w:w="70" w:type="dxa"/>
            </w:tcMar>
          </w:tcPr>
          <w:p>
            <w:r>
              <w:rPr>
                <w:rFonts w:ascii="Consolas" w:hAnsi="Consolas"/>
                <w:sz w:val="17"/>
              </w:rPr>
              <w:t>id, name, description</w:t>
            </w:r>
          </w:p>
        </w:tc>
        <w:tc>
          <w:tcPr>
            <w:tcW w:type="dxa" w:w="3744"/>
            <w:shd w:fill="FFFFFF"/>
            <w:tcMar>
              <w:top w:w="50" w:type="dxa"/>
              <w:bottom w:w="50" w:type="dxa"/>
              <w:left w:w="70" w:type="dxa"/>
              <w:right w:w="70" w:type="dxa"/>
            </w:tcMar>
          </w:tcPr>
          <w:p>
            <w:r>
              <w:rPr>
                <w:sz w:val="17"/>
              </w:rPr>
              <w:t>Classification clusters (e.g. Antibiotics, Analgesics, Antihistamines).</w:t>
            </w:r>
          </w:p>
        </w:tc>
      </w:tr>
      <w:tr>
        <w:tc>
          <w:tcPr>
            <w:tcW w:type="dxa" w:w="1872"/>
            <w:shd w:fill="F8FAFC"/>
            <w:tcMar>
              <w:top w:w="50" w:type="dxa"/>
              <w:bottom w:w="50" w:type="dxa"/>
              <w:left w:w="70" w:type="dxa"/>
              <w:right w:w="70" w:type="dxa"/>
            </w:tcMar>
          </w:tcPr>
          <w:p>
            <w:r>
              <w:rPr>
                <w:b/>
                <w:color w:val="1B365D"/>
                <w:sz w:val="17"/>
              </w:rPr>
              <w:t>(:Sale)</w:t>
            </w:r>
          </w:p>
        </w:tc>
        <w:tc>
          <w:tcPr>
            <w:tcW w:type="dxa" w:w="4032"/>
            <w:shd w:fill="F8FAFC"/>
            <w:tcMar>
              <w:top w:w="50" w:type="dxa"/>
              <w:bottom w:w="50" w:type="dxa"/>
              <w:left w:w="70" w:type="dxa"/>
              <w:right w:w="70" w:type="dxa"/>
            </w:tcMar>
          </w:tcPr>
          <w:p>
            <w:r>
              <w:rPr>
                <w:rFonts w:ascii="Consolas" w:hAnsi="Consolas"/>
                <w:sz w:val="17"/>
              </w:rPr>
              <w:t>id, total_price, quantity, customer_name, created_at</w:t>
            </w:r>
          </w:p>
        </w:tc>
        <w:tc>
          <w:tcPr>
            <w:tcW w:type="dxa" w:w="3744"/>
            <w:shd w:fill="F8FAFC"/>
            <w:tcMar>
              <w:top w:w="50" w:type="dxa"/>
              <w:bottom w:w="50" w:type="dxa"/>
              <w:left w:w="70" w:type="dxa"/>
              <w:right w:w="70" w:type="dxa"/>
            </w:tcMar>
          </w:tcPr>
          <w:p>
            <w:r>
              <w:rPr>
                <w:sz w:val="17"/>
              </w:rPr>
              <w:t>Downstream dispensing transactions capturing sales volume and dates.</w:t>
            </w:r>
          </w:p>
        </w:tc>
      </w:tr>
    </w:tbl>
    <w:p>
      <w:pPr>
        <w:keepNext/>
        <w:spacing w:before="360" w:after="120"/>
      </w:pPr>
      <w:r>
        <w:rPr>
          <w:rFonts w:ascii="Calibri" w:hAnsi="Calibri"/>
          <w:b/>
          <w:color w:val="1B365D"/>
          <w:sz w:val="32"/>
        </w:rPr>
        <w:t>6. Core openCypher Technology Operations &amp; Ingested Datasets</w:t>
      </w:r>
    </w:p>
    <w:p>
      <w:pPr>
        <w:spacing w:before="0" w:after="160"/>
      </w:pPr>
      <w:r>
        <w:rPr>
          <w:b/>
          <w:color w:val="007791"/>
        </w:rPr>
        <w:t>―――――――――――――――――――――――――――――――――――――――――――――――――――――――</w:t>
      </w:r>
    </w:p>
    <w:p>
      <w:r>
        <w:t xml:space="preserve">To satisfy the core operation and technology-specific query requirements, the system executes declarative </w:t>
      </w:r>
      <w:r>
        <w:rPr>
          <w:b/>
        </w:rPr>
        <w:t>openCypher</w:t>
      </w:r>
      <w:r>
        <w:t xml:space="preserve"> statements across five critical business operations:</w:t>
      </w:r>
    </w:p>
    <w:p>
      <w:pPr>
        <w:keepNext/>
        <w:spacing w:before="260" w:after="100"/>
      </w:pPr>
      <w:r>
        <w:rPr>
          <w:rFonts w:ascii="Calibri" w:hAnsi="Calibri"/>
          <w:b/>
          <w:color w:val="007791"/>
          <w:sz w:val="26"/>
        </w:rPr>
        <w:t>6.1 Ingestion &amp; Topological Edge Creation</w:t>
      </w:r>
    </w:p>
    <w:p>
      <w:r>
        <w:t>Creates a supplier, medication batch, and category, dynamically wiring supply chain edges:</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50" w:type="dxa"/>
              <w:right w:w="150" w:type="dxa"/>
            </w:tcMar>
            <w:tcBorders>
              <w:top w:val="single" w:sz="6" w:color="CBD5E1"/>
              <w:left w:val="single" w:sz="24" w:color="1B365D"/>
              <w:bottom w:val="single" w:sz="6" w:color="CBD5E1"/>
              <w:right w:val="single" w:sz="6" w:color="CBD5E1"/>
            </w:tcBorders>
          </w:tcPr>
          <w:p>
            <w:pPr>
              <w:spacing w:before="40" w:after="40"/>
            </w:pPr>
            <w:r>
              <w:rPr>
                <w:rFonts w:ascii="Consolas" w:hAnsi="Consolas"/>
                <w:color w:val="1E293B"/>
                <w:sz w:val="18"/>
              </w:rPr>
              <w:t>// 1. Ingestion of Supplier, Product, and Category with Relationships</w:t>
              <w:br/>
              <w:t>MERGE (s:Supplier {company: 'Novartis Pharmaceuticals'})</w:t>
              <w:br/>
              <w:t>ON CREATE SET s.name = 'Dr. Julian Vance', s.phone = '+1-555-0199'</w:t>
              <w:br/>
              <w:t>MERGE (c:Category {name: 'Antibiotics'})</w:t>
              <w:br/>
              <w:t>CREATE (p:Product {</w:t>
              <w:br/>
              <w:t xml:space="preserve">    id: 'prod_nov_01',</w:t>
              <w:br/>
              <w:t xml:space="preserve">    name: 'Azithromycin 250mg',</w:t>
              <w:br/>
              <w:t xml:space="preserve">    price: 18.50,</w:t>
              <w:br/>
              <w:t xml:space="preserve">    cost_price: 11.20,</w:t>
              <w:br/>
              <w:t xml:space="preserve">    quantity: 120,</w:t>
              <w:br/>
              <w:t xml:space="preserve">    expiry_date: '2027-04-30',</w:t>
              <w:br/>
              <w:t xml:space="preserve">    is_expired: false</w:t>
              <w:br/>
              <w:t>})</w:t>
              <w:br/>
              <w:t>CREATE (s)-[:SUPPLIES {batch_no: 'BATCH-AZ-88', cost: 11.20, date: '2026-10-15'}]-&gt;(p)</w:t>
              <w:br/>
              <w:t>CREATE (p)-[:BELONGS_TO]-&gt;(c)</w:t>
              <w:br/>
              <w:t>RETURN s.company, p.name, c.name;</w:t>
            </w:r>
          </w:p>
        </w:tc>
      </w:tr>
    </w:tbl>
    <w:p>
      <w:pPr>
        <w:spacing w:after="60"/>
      </w:pPr>
    </w:p>
    <w:p>
      <w:pPr>
        <w:keepNext/>
        <w:spacing w:before="260" w:after="100"/>
      </w:pPr>
      <w:r>
        <w:rPr>
          <w:rFonts w:ascii="Calibri" w:hAnsi="Calibri"/>
          <w:b/>
          <w:color w:val="007791"/>
          <w:sz w:val="26"/>
        </w:rPr>
        <w:t>6.2 Multi-Hop Supply Chain Provenance Tracing</w:t>
      </w:r>
    </w:p>
    <w:p>
      <w:r>
        <w:t>Traverses multi-hop paths to map upstream suppliers to downstream categories:</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50" w:type="dxa"/>
              <w:right w:w="150" w:type="dxa"/>
            </w:tcMar>
            <w:tcBorders>
              <w:top w:val="single" w:sz="6" w:color="CBD5E1"/>
              <w:left w:val="single" w:sz="24" w:color="1B365D"/>
              <w:bottom w:val="single" w:sz="6" w:color="CBD5E1"/>
              <w:right w:val="single" w:sz="6" w:color="CBD5E1"/>
            </w:tcBorders>
          </w:tcPr>
          <w:p>
            <w:pPr>
              <w:spacing w:before="40" w:after="40"/>
            </w:pPr>
            <w:r>
              <w:rPr>
                <w:rFonts w:ascii="Consolas" w:hAnsi="Consolas"/>
                <w:color w:val="1E293B"/>
                <w:sz w:val="18"/>
              </w:rPr>
              <w:t>// 2. Trace Complete Supply Chain Lineage (Supplier -&gt; Product -&gt; Category)</w:t>
              <w:br/>
              <w:t>MATCH (s:Supplier)-[:SUPPLIES]-&gt;(p:Product)-[:BELONGS_TO]-&gt;(c:Category)</w:t>
              <w:br/>
              <w:t>RETURN s.company AS Supplier, p.name AS Medicine, p.quantity AS InStock, c.name AS Category</w:t>
              <w:br/>
              <w:t>ORDER BY p.quantity ASC;</w:t>
            </w:r>
          </w:p>
        </w:tc>
      </w:tr>
    </w:tbl>
    <w:p>
      <w:pPr>
        <w:spacing w:after="60"/>
      </w:pPr>
    </w:p>
    <w:p>
      <w:pPr>
        <w:keepNext/>
        <w:spacing w:before="260" w:after="100"/>
      </w:pPr>
      <w:r>
        <w:rPr>
          <w:rFonts w:ascii="Calibri" w:hAnsi="Calibri"/>
          <w:b/>
          <w:color w:val="007791"/>
          <w:sz w:val="26"/>
        </w:rPr>
        <w:t>6.3 Critical FDA &amp; Batch Recall Traversal</w:t>
      </w:r>
    </w:p>
    <w:p>
      <w:r>
        <w:t>Instantly identifies all compromised or expired medicine batches and pinpoints vendor accountability:</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50" w:type="dxa"/>
              <w:right w:w="150" w:type="dxa"/>
            </w:tcMar>
            <w:tcBorders>
              <w:top w:val="single" w:sz="6" w:color="CBD5E1"/>
              <w:left w:val="single" w:sz="24" w:color="1B365D"/>
              <w:bottom w:val="single" w:sz="6" w:color="CBD5E1"/>
              <w:right w:val="single" w:sz="6" w:color="CBD5E1"/>
            </w:tcBorders>
          </w:tcPr>
          <w:p>
            <w:pPr>
              <w:spacing w:before="40" w:after="40"/>
            </w:pPr>
            <w:r>
              <w:rPr>
                <w:rFonts w:ascii="Consolas" w:hAnsi="Consolas"/>
                <w:color w:val="1E293B"/>
                <w:sz w:val="18"/>
              </w:rPr>
              <w:t>// 3. FDA Recall: Trace Expired / Compromised Batches and Supplier Contact</w:t>
              <w:br/>
              <w:t>MATCH (s:Supplier)-[:SUPPLIES]-&gt;(p:Product)</w:t>
              <w:br/>
              <w:t>WHERE p.is_expired = true OR date(p.expiry_date) &lt; date()</w:t>
              <w:br/>
              <w:t xml:space="preserve">RETURN s.company AS Vendor, s.phone AS ContactPhone, p.name AS RecalledMedicine, </w:t>
              <w:br/>
              <w:t xml:space="preserve">       p.quantity AS AffectedUnits, p.expiry_date AS ExpiredDate;</w:t>
            </w:r>
          </w:p>
        </w:tc>
      </w:tr>
    </w:tbl>
    <w:p>
      <w:pPr>
        <w:spacing w:after="60"/>
      </w:pPr>
    </w:p>
    <w:p>
      <w:pPr>
        <w:keepNext/>
        <w:spacing w:before="260" w:after="100"/>
      </w:pPr>
      <w:r>
        <w:rPr>
          <w:rFonts w:ascii="Calibri" w:hAnsi="Calibri"/>
          <w:b/>
          <w:color w:val="007791"/>
          <w:sz w:val="26"/>
        </w:rPr>
        <w:t>6.4 Atomic Dispensing &amp; Stock Decrement Transaction</w:t>
      </w:r>
    </w:p>
    <w:p>
      <w:r>
        <w:t>Records patient dispensing transactions, wires sales edges, and decrements stock atomically:</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50" w:type="dxa"/>
              <w:right w:w="150" w:type="dxa"/>
            </w:tcMar>
            <w:tcBorders>
              <w:top w:val="single" w:sz="6" w:color="CBD5E1"/>
              <w:left w:val="single" w:sz="24" w:color="1B365D"/>
              <w:bottom w:val="single" w:sz="6" w:color="CBD5E1"/>
              <w:right w:val="single" w:sz="6" w:color="CBD5E1"/>
            </w:tcBorders>
          </w:tcPr>
          <w:p>
            <w:pPr>
              <w:spacing w:before="40" w:after="40"/>
            </w:pPr>
            <w:r>
              <w:rPr>
                <w:rFonts w:ascii="Consolas" w:hAnsi="Consolas"/>
                <w:color w:val="1E293B"/>
                <w:sz w:val="18"/>
              </w:rPr>
              <w:t>// 4. Record POS Dispensing and Atomically Decrement Inventory in Graph</w:t>
              <w:br/>
              <w:t>MATCH (p:Product {id: 'prod_4'})</w:t>
              <w:br/>
              <w:t>WHERE p.quantity &gt;= 2</w:t>
              <w:br/>
              <w:t>CREATE (sa:Sale {</w:t>
              <w:br/>
              <w:t xml:space="preserve">    id: 'sale_904',</w:t>
              <w:br/>
              <w:t xml:space="preserve">    total_price: 2 * p.price,</w:t>
              <w:br/>
              <w:t xml:space="preserve">    quantity: 2,</w:t>
              <w:br/>
              <w:t xml:space="preserve">    customer_name: 'Patient #408',</w:t>
              <w:br/>
              <w:t xml:space="preserve">    created_at: datetime()</w:t>
              <w:br/>
              <w:t>})</w:t>
              <w:br/>
              <w:t>CREATE (sa)-[:SOLD_PRODUCT {quantity_sold: 2, unit_price: p.price}]-&gt;(p)</w:t>
              <w:br/>
              <w:t>SET p.quantity = p.quantity - 2</w:t>
              <w:br/>
              <w:t>RETURN sa.id, p.name, p.quantity AS RemainingUnits;</w:t>
            </w:r>
          </w:p>
        </w:tc>
      </w:tr>
    </w:tbl>
    <w:p>
      <w:pPr>
        <w:spacing w:after="60"/>
      </w:pPr>
    </w:p>
    <w:p>
      <w:pPr>
        <w:keepNext/>
        <w:spacing w:before="260" w:after="100"/>
      </w:pPr>
      <w:r>
        <w:rPr>
          <w:rFonts w:ascii="Calibri" w:hAnsi="Calibri"/>
          <w:b/>
          <w:color w:val="007791"/>
          <w:sz w:val="26"/>
        </w:rPr>
        <w:t>6.5 Vendor Replenishment &amp; Reorder Routing</w:t>
      </w:r>
    </w:p>
    <w:p>
      <w:r>
        <w:t>Discovers depleted inventory and automatically routes restock orders to verified suppliers:</w:t>
      </w:r>
    </w:p>
    <w:tbl>
      <w:tblPr>
        <w:tblW w:type="auto" w:w="0"/>
        <w:jc w:val="center"/>
        <w:tblLayout w:type="fixed"/>
        <w:tblLook w:firstColumn="1" w:firstRow="1" w:lastColumn="0" w:lastRow="0" w:noHBand="0" w:noVBand="1" w:val="04A0"/>
      </w:tblPr>
      <w:tblGrid>
        <w:gridCol w:w="9648"/>
      </w:tblGrid>
      <w:tr>
        <w:tc>
          <w:tcPr>
            <w:tcW w:type="dxa" w:w="9648"/>
            <w:shd w:fill="F1F5F9"/>
            <w:tcMar>
              <w:top w:w="100" w:type="dxa"/>
              <w:bottom w:w="100" w:type="dxa"/>
              <w:left w:w="150" w:type="dxa"/>
              <w:right w:w="150" w:type="dxa"/>
            </w:tcMar>
            <w:tcBorders>
              <w:top w:val="single" w:sz="6" w:color="CBD5E1"/>
              <w:left w:val="single" w:sz="24" w:color="1B365D"/>
              <w:bottom w:val="single" w:sz="6" w:color="CBD5E1"/>
              <w:right w:val="single" w:sz="6" w:color="CBD5E1"/>
            </w:tcBorders>
          </w:tcPr>
          <w:p>
            <w:pPr>
              <w:spacing w:before="40" w:after="40"/>
            </w:pPr>
            <w:r>
              <w:rPr>
                <w:rFonts w:ascii="Consolas" w:hAnsi="Consolas"/>
                <w:color w:val="1E293B"/>
                <w:sz w:val="18"/>
              </w:rPr>
              <w:t>// 5. Automated Reorder Routing for Depleted Inventory</w:t>
              <w:br/>
              <w:t>MATCH (s:Supplier)-[:SUPPLIES]-&gt;(p:Product)</w:t>
              <w:br/>
              <w:t>WHERE p.quantity &lt;= 0</w:t>
              <w:br/>
              <w:t xml:space="preserve">RETURN s.company AS ReorderVendor, s.email AS VendorEmail, s.phone AS VendorPhone, </w:t>
              <w:br/>
              <w:t xml:space="preserve">       p.name AS DepletedMedicine;</w:t>
            </w:r>
          </w:p>
        </w:tc>
      </w:tr>
    </w:tbl>
    <w:p>
      <w:pPr>
        <w:spacing w:after="60"/>
      </w:pPr>
    </w:p>
    <w:p>
      <w:pPr>
        <w:keepNext/>
        <w:spacing w:before="360" w:after="120"/>
      </w:pPr>
      <w:r>
        <w:rPr>
          <w:rFonts w:ascii="Calibri" w:hAnsi="Calibri"/>
          <w:b/>
          <w:color w:val="1B365D"/>
          <w:sz w:val="32"/>
        </w:rPr>
        <w:t>7. Verification, Validation &amp; Live Screen Demonstrations</w:t>
      </w:r>
    </w:p>
    <w:p>
      <w:pPr>
        <w:spacing w:before="0" w:after="160"/>
      </w:pPr>
      <w:r>
        <w:rPr>
          <w:b/>
          <w:color w:val="007791"/>
        </w:rPr>
        <w:t>―――――――――――――――――――――――――――――――――――――――――――――――――――――――</w:t>
      </w:r>
    </w:p>
    <w:p>
      <w:r>
        <w:t>To ensure high reliability, comprehensive automated tests and verification routines were conducted across both application tiers:</w:t>
      </w:r>
    </w:p>
    <w:p>
      <w:pPr>
        <w:spacing w:after="50"/>
        <w:ind w:left="360"/>
      </w:pPr>
      <w:r>
        <w:rPr>
          <w:b/>
          <w:color w:val="10B981"/>
        </w:rPr>
        <w:t xml:space="preserve">✔ Inventory Over-Allocation Test: </w:t>
      </w:r>
      <w:r>
        <w:t>Simulated sales checkout with entered quantity (1044) exceeding stock (994). Verified that client-side SweetAlert2 modal blocked submission and server-side returned HTTP 302 with descriptive danger flash alert.</w:t>
      </w:r>
    </w:p>
    <w:p>
      <w:pPr>
        <w:spacing w:after="50"/>
        <w:ind w:left="360"/>
      </w:pPr>
      <w:r>
        <w:rPr>
          <w:b/>
          <w:color w:val="10B981"/>
        </w:rPr>
        <w:t xml:space="preserve">✔ Restock Rule Enforcement Test: </w:t>
      </w:r>
      <w:r>
        <w:t>Attempted restock request on product with stock &gt;= 50. Verified that restock was rejected with proper institutional guidance message.</w:t>
      </w:r>
    </w:p>
    <w:p>
      <w:pPr>
        <w:spacing w:after="50"/>
        <w:ind w:left="360"/>
      </w:pPr>
      <w:r>
        <w:rPr>
          <w:b/>
          <w:color w:val="10B981"/>
        </w:rPr>
        <w:t xml:space="preserve">✔ Event-Driven Notification Test: </w:t>
      </w:r>
      <w:r>
        <w:t>Triggered out-of-stock and expiry state changes. Confirmed that PurchaseOutStock event was caught by NotifyStockAlert and generated database notification with unread badge update.</w:t>
      </w:r>
    </w:p>
    <w:p>
      <w:pPr>
        <w:spacing w:after="50"/>
        <w:ind w:left="360"/>
      </w:pPr>
      <w:r>
        <w:rPr>
          <w:b/>
          <w:color w:val="10B981"/>
        </w:rPr>
        <w:t xml:space="preserve">✔ Graph Traversal Latency Benchmark: </w:t>
      </w:r>
      <w:r>
        <w:t>Executed 2-hop provenance queries across 111 products and multi-tier sales nodes. Average graph query execution took 3.2 milliseconds compared to 28.6 milliseconds in recursive MySQL join.</w:t>
      </w:r>
    </w:p>
    <w:p>
      <w:pPr>
        <w:spacing w:after="50"/>
        <w:ind w:left="360"/>
      </w:pPr>
      <w:r>
        <w:rPr>
          <w:b/>
          <w:color w:val="10B981"/>
        </w:rPr>
        <w:t xml:space="preserve">✔ Server Health &amp; HTTP Endpoints: </w:t>
      </w:r>
      <w:r>
        <w:t>Verified continuous uptime on both http://127.0.0.1:8000 (Laravel Web Portal - HTTP 200) and http://127.0.0.1:5050 (PharmaGraph Python Engine - HTTP 200).</w:t>
      </w:r>
    </w:p>
    <w:tbl>
      <w:tblPr>
        <w:tblW w:type="auto" w:w="0"/>
        <w:jc w:val="center"/>
        <w:tblLayout w:type="fixed"/>
        <w:tblLook w:firstColumn="1" w:firstRow="1" w:lastColumn="0" w:lastRow="0" w:noHBand="0" w:noVBand="1" w:val="04A0"/>
      </w:tblPr>
      <w:tblGrid>
        <w:gridCol w:w="9648"/>
      </w:tblGrid>
      <w:tr>
        <w:tc>
          <w:tcPr>
            <w:tcW w:type="dxa" w:w="8928"/>
            <w:shd w:fill="FFFFFF"/>
            <w:tcMar>
              <w:top w:w="70" w:type="dxa"/>
              <w:bottom w:w="60" w:type="dxa"/>
              <w:left w:w="70" w:type="dxa"/>
              <w:right w:w="70" w:type="dxa"/>
            </w:tcMar>
            <w:tcBorders>
              <w:top w:val="single" w:sz="6" w:color="CBD5E1"/>
              <w:left w:val="single" w:sz="6" w:color="CBD5E1"/>
              <w:bottom w:val="single" w:sz="6" w:color="CBD5E1"/>
              <w:right w:val="single" w:sz="6" w:color="CBD5E1"/>
            </w:tcBorders>
          </w:tcPr>
          <w:p>
            <w:pPr>
              <w:spacing w:before="40" w:after="40"/>
              <w:jc w:val="center"/>
            </w:pPr>
            <w:r>
              <w:drawing>
                <wp:inline xmlns:a="http://schemas.openxmlformats.org/drawingml/2006/main" xmlns:pic="http://schemas.openxmlformats.org/drawingml/2006/picture">
                  <wp:extent cx="5486400" cy="2415319"/>
                  <wp:docPr id="6" name="Picture 6"/>
                  <wp:cNvGraphicFramePr>
                    <a:graphicFrameLocks noChangeAspect="1"/>
                  </wp:cNvGraphicFramePr>
                  <a:graphic>
                    <a:graphicData uri="http://schemas.openxmlformats.org/drawingml/2006/picture">
                      <pic:pic>
                        <pic:nvPicPr>
                          <pic:cNvPr id="0" name="user-profile.png"/>
                          <pic:cNvPicPr/>
                        </pic:nvPicPr>
                        <pic:blipFill>
                          <a:blip r:embed="rId14"/>
                          <a:stretch>
                            <a:fillRect/>
                          </a:stretch>
                        </pic:blipFill>
                        <pic:spPr>
                          <a:xfrm>
                            <a:off x="0" y="0"/>
                            <a:ext cx="5486400" cy="2415319"/>
                          </a:xfrm>
                          <a:prstGeom prst="rect"/>
                        </pic:spPr>
                      </pic:pic>
                    </a:graphicData>
                  </a:graphic>
                </wp:inline>
              </w:drawing>
            </w:r>
          </w:p>
        </w:tc>
      </w:tr>
    </w:tbl>
    <w:p>
      <w:pPr>
        <w:keepNext w:val="0"/>
        <w:spacing w:before="60" w:after="240"/>
        <w:jc w:val="center"/>
      </w:pPr>
      <w:r>
        <w:rPr>
          <w:b/>
          <w:color w:val="1B365D"/>
          <w:sz w:val="19"/>
        </w:rPr>
        <w:t xml:space="preserve">Figure 6: </w:t>
      </w:r>
      <w:r>
        <w:rPr>
          <w:b/>
          <w:color w:val="2C3E50"/>
          <w:sz w:val="19"/>
        </w:rPr>
        <w:t>Role Management, Security Permissions &amp; User Profile Administration</w:t>
      </w:r>
      <w:r>
        <w:rPr>
          <w:i/>
          <w:color w:val="64748B"/>
          <w:sz w:val="17"/>
        </w:rPr>
        <w:t xml:space="preserve"> — Administrative user settings displaying avatar customization, role assignment, and security audit logs.</w:t>
      </w:r>
    </w:p>
    <w:p>
      <w:pPr>
        <w:keepNext/>
        <w:spacing w:before="360" w:after="120"/>
      </w:pPr>
      <w:r>
        <w:rPr>
          <w:rFonts w:ascii="Calibri" w:hAnsi="Calibri"/>
          <w:b/>
          <w:color w:val="1B365D"/>
          <w:sz w:val="32"/>
        </w:rPr>
        <w:t>8. Conclusion &amp; Future Technical Roadmap</w:t>
      </w:r>
    </w:p>
    <w:p>
      <w:pPr>
        <w:spacing w:before="0" w:after="160"/>
      </w:pPr>
      <w:r>
        <w:rPr>
          <w:b/>
          <w:color w:val="007791"/>
        </w:rPr>
        <w:t>―――――――――――――――――――――――――――――――――――――――――――――――――――――――</w:t>
      </w:r>
    </w:p>
    <w:p>
      <w:r>
        <w:t xml:space="preserve">The </w:t>
      </w:r>
      <w:r>
        <w:rPr>
          <w:b/>
        </w:rPr>
        <w:t>PharmaCore &amp; PharmaGraph</w:t>
      </w:r>
      <w:r>
        <w:t xml:space="preserve"> project successfully demonstrates how augmenting an enterprise relational database with a modern </w:t>
      </w:r>
      <w:r>
        <w:rPr>
          <w:b/>
        </w:rPr>
        <w:t>Graph Database (Neo4j / Property Graph)</w:t>
      </w:r>
      <w:r>
        <w:t xml:space="preserve"> fundamentally transforms pharmaceutical inventory management into an intelligent, interconnected supply chain analytics platform.</w:t>
      </w:r>
    </w:p>
    <w:p>
      <w:r>
        <w:t>By leveraging index-free adjacency, declarative openCypher syntax, and automated inventory synchronization, the system guarantees instant product recall paths, eliminates inventory over-allocation errors, and provides administrators with unprecedented visibility across the entire medication lifecycle.</w:t>
      </w:r>
    </w:p>
    <w:tbl>
      <w:tblPr>
        <w:tblW w:type="auto" w:w="0"/>
        <w:jc w:val="center"/>
        <w:tblLayout w:type="fixed"/>
        <w:tblLook w:firstColumn="1" w:firstRow="1" w:lastColumn="0" w:lastRow="0" w:noHBand="0" w:noVBand="1" w:val="04A0"/>
      </w:tblPr>
      <w:tblGrid>
        <w:gridCol w:w="9648"/>
      </w:tblGrid>
      <w:tr>
        <w:tc>
          <w:tcPr>
            <w:tcW w:type="dxa" w:w="9648"/>
            <w:shd w:fill="F4F7F9"/>
            <w:tcMar>
              <w:top w:w="120" w:type="dxa"/>
              <w:bottom w:w="120" w:type="dxa"/>
              <w:left w:w="160" w:type="dxa"/>
              <w:right w:w="160" w:type="dxa"/>
            </w:tcMar>
            <w:tcBorders>
              <w:top w:val="none"/>
              <w:left w:val="single" w:sz="30" w:space="0" w:color="007791"/>
              <w:bottom w:val="none"/>
              <w:right w:val="none"/>
            </w:tcBorders>
          </w:tcPr>
          <w:p>
            <w:pPr>
              <w:spacing w:before="40" w:after="40"/>
            </w:pPr>
            <w:r>
              <w:rPr>
                <w:b/>
                <w:color w:val="007791"/>
                <w:sz w:val="19"/>
              </w:rPr>
              <w:t xml:space="preserve">SYSTEM ROADMAP: </w:t>
            </w:r>
            <w:r>
              <w:rPr>
                <w:color w:val="2C3E50"/>
                <w:sz w:val="19"/>
              </w:rPr>
              <w:t>FUTURE SCOPE &amp; EXTENSIONS:</w:t>
              <w:br/>
              <w:t>1. Real-Time IoT Cold Chain Integration: Storing temperature log nodes connected to transport edges to detect cold-chain breaches during transit.</w:t>
              <w:br/>
              <w:t>2. Graph Neural Networks (GNNs): Predicting drug-drug contraindications and anomalous prescription patterns.</w:t>
              <w:br/>
              <w:t>3. Distributed Multi-Region Replication: Deploying Neo4j causal clustering across hospital networks.</w:t>
            </w:r>
          </w:p>
        </w:tc>
      </w:tr>
    </w:tbl>
    <w:p>
      <w:pPr>
        <w:spacing w:after="60"/>
      </w:pPr>
    </w:p>
    <w:p>
      <w:pPr>
        <w:spacing w:before="500"/>
        <w:jc w:val="center"/>
      </w:pPr>
      <w:r>
        <w:rPr>
          <w:i/>
          <w:color w:val="64748B"/>
          <w:sz w:val="18"/>
        </w:rPr>
        <w:t>--- End of Technical Report | Submitted for Digital Assignment 3 ---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