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4"/>
        <w:gridCol w:w="618"/>
        <w:gridCol w:w="1295"/>
        <w:gridCol w:w="511"/>
        <w:gridCol w:w="651"/>
        <w:gridCol w:w="822"/>
        <w:gridCol w:w="511"/>
        <w:gridCol w:w="647"/>
        <w:gridCol w:w="866"/>
        <w:gridCol w:w="511"/>
      </w:tblGrid>
      <w:tr w:rsidR="002A661F" w:rsidRPr="00AC4B73" w14:paraId="20090392" w14:textId="77777777" w:rsidTr="002C2D31">
        <w:trPr>
          <w:trHeight w:val="57"/>
        </w:trPr>
        <w:tc>
          <w:tcPr>
            <w:tcW w:w="9326" w:type="dxa"/>
            <w:gridSpan w:val="10"/>
            <w:shd w:val="clear" w:color="auto" w:fill="auto"/>
            <w:noWrap/>
            <w:vAlign w:val="center"/>
          </w:tcPr>
          <w:p w14:paraId="76546DE6" w14:textId="21950588" w:rsidR="002A661F" w:rsidRPr="002A661F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AC4B73" w14:paraId="0544BF25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</w:tcPr>
          <w:p w14:paraId="27EDB1A8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403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1985" w:type="dxa"/>
            <w:gridSpan w:val="3"/>
            <w:shd w:val="clear" w:color="auto" w:fill="auto"/>
            <w:noWrap/>
            <w:vAlign w:val="center"/>
          </w:tcPr>
          <w:p w14:paraId="66E17113" w14:textId="26C3477B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</w:tcPr>
          <w:p w14:paraId="502A63D5" w14:textId="2D0E40C2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AC4B73" w14:paraId="506EA806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FFC6FFC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0DB56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D81D99">
              <w:rPr>
                <w:rStyle w:val="Verwijzingopmerking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B1BFA" w14:textId="066C6D5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02FD2656" w14:textId="2C1FE20C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44B4538F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67622" w14:textId="58B8403B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0E1ED763" w14:textId="560005C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14:paraId="5039AD0F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B0E5D9" w14:textId="10FC1A1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BC4C97" w:rsidRPr="00AC4B73" w14:paraId="3E0622C9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4030C120" w14:textId="5446C6C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96DC563" w14:textId="3183B4E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3A3BDB" w14:textId="77B3532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[1.80; 3.42]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17390C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41F437D5" w14:textId="39B28CE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10EC23E" w14:textId="2EE53614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[1.35; 2.51]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3E928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187FBE5" w14:textId="1B8E1EA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8D7322B" w14:textId="69453B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C7B6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BC4C97" w:rsidRPr="00AC4B73" w14:paraId="7D8386D7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0A075A2" w14:textId="36DD01E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7433C031" w14:textId="6A3CF39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611336" w14:textId="016303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2AB864" w14:textId="0528E49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2CF08988" w14:textId="38D4B2D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2D8E6EC" w14:textId="4ED1239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1FAE45" w14:textId="39FD2DC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386D724C" w14:textId="5E7603C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9C6905F" w14:textId="6228C03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9D6048" w14:textId="7AFE64F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BC4C97" w:rsidRPr="00AC4B73" w14:paraId="1B38FC15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093D15FA" w14:textId="09F932D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22CE5C7" w14:textId="5ACD82C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77E407" w14:textId="505E64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73A720" w14:textId="0446870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50DF5482" w14:textId="7F21265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2B9EFEC" w14:textId="1AAC60A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35EB67" w14:textId="67CAD5E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7994B0DF" w14:textId="50394E7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8524EC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A4F43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38D409F2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803E6E5" w14:textId="1CDE4E21" w:rsidR="00BA56BC" w:rsidRPr="00BC4C97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BC4C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</w:t>
            </w:r>
            <w:r w:rsidR="00BC4C97" w:rsidRPr="00BC4C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during surgery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8BDC240" w14:textId="24513DD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D1D789" w14:textId="4CDFABE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9.09]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4664C9" w14:textId="7F9F45A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2F180621" w14:textId="570D946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7AFEA2B" w14:textId="19C9516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[1.62; 9.37]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B75DB8" w14:textId="5458B80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1EAA3ECC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0437EAE9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3B951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45F49F68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7999C89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3FA4908D" w14:textId="6D1D89F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4A3FF9" w14:textId="2D1A501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[0.62; 2.10]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85099F" w14:textId="3CF006B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18CF149F" w14:textId="2E51957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B56D4E7" w14:textId="0AE03F1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328427" w14:textId="57E2148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60484AB" w14:textId="755DB87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766245F2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224D1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3E809BB9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4944520" w14:textId="56377CCC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72CCF7D" w14:textId="1FE0EB3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20D9B4" w14:textId="29584D2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4CD2CB" w14:textId="34B5685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3E3F67B9" w14:textId="0BDAA7D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17B03F8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53F9D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3BA38DA9" w14:textId="33FB674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0C7E51DB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1700A5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6E99B2E3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6E2E39E" w14:textId="16CFE16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9431551" w14:textId="387E6BC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959401" w14:textId="3AB8F04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5B9A18" w14:textId="1F36445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5B33593E" w14:textId="7837FBD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BF3872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949EA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68979BC6" w14:textId="4BA36C6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1B3FE7B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A99A84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74ECC96A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19708EE6" w14:textId="66BA77C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0E26DEB5" w14:textId="25B41014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3A6E5E" w14:textId="428FD59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[0.62;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8D0DB" w14:textId="46AD431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7761510D" w14:textId="3F2A4ED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6B6F4459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9E0870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17B67F24" w14:textId="547037A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4F38425F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71C7D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3F4A0507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</w:tcPr>
          <w:p w14:paraId="3AF7D7D3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D81D9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C-index*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11F9E48" w14:textId="6A48A8D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0807D3" w14:textId="257028B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20F10F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6ACCAA42" w14:textId="26BD646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8AC8FB3" w14:textId="059D266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11AB42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3E3C5AB" w14:textId="5EE3261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422D78F" w14:textId="6CB9934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0.89]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B469C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D81D99" w:rsidRPr="00AC4B73" w14:paraId="1F9E5925" w14:textId="77777777" w:rsidTr="002A661F">
        <w:trPr>
          <w:trHeight w:val="57"/>
        </w:trPr>
        <w:tc>
          <w:tcPr>
            <w:tcW w:w="9326" w:type="dxa"/>
            <w:gridSpan w:val="10"/>
            <w:shd w:val="clear" w:color="auto" w:fill="auto"/>
            <w:noWrap/>
            <w:vAlign w:val="center"/>
          </w:tcPr>
          <w:p w14:paraId="307ED1D4" w14:textId="244E9390" w:rsidR="00BC4C97" w:rsidRDefault="00BC4C97" w:rsidP="00AC4B7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BC4C97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</w:t>
            </w:r>
          </w:p>
          <w:p w14:paraId="0612F06E" w14:textId="6FA538BE" w:rsidR="00D81D99" w:rsidRPr="00D81D99" w:rsidRDefault="00D81D99" w:rsidP="00AC4B7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*The C-index is corrected for optimism by bootstrapping. Abbreviations: OR, odds ratio; CI, confidence interval, Imp., importance defined by the Chi-square of the Wald-statistic; PTH, parathyroid hormone; </w:t>
            </w:r>
            <w:r w:rsidRPr="00D81D99">
              <w:rPr>
                <w:rFonts w:ascii="Times New Roman" w:eastAsia="Times New Roman" w:hAnsi="Times New Roman" w:cs="Times New Roman"/>
                <w:sz w:val="18"/>
                <w:szCs w:val="18"/>
                <w:lang w:val="nl-NL" w:eastAsia="nl-NL"/>
              </w:rPr>
              <w:t>Δ</w:t>
            </w:r>
            <w:r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PTH, (PTH at baseline - postoperative PTH after 24 hours) /(PTH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146D7119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58C392DF" w14:textId="13B8BDF1" w:rsidR="008723FD" w:rsidRDefault="008723FD" w:rsidP="00C80640">
      <w:pPr>
        <w:spacing w:after="0"/>
        <w:rPr>
          <w:rFonts w:ascii="Arial" w:hAnsi="Arial" w:cs="Arial"/>
        </w:rPr>
      </w:pPr>
    </w:p>
    <w:p w14:paraId="1E382D55" w14:textId="4EB7B19C" w:rsidR="008723FD" w:rsidRDefault="008723FD" w:rsidP="00C80640">
      <w:pPr>
        <w:spacing w:after="0"/>
        <w:rPr>
          <w:rFonts w:ascii="Arial" w:hAnsi="Arial" w:cs="Arial"/>
        </w:rPr>
      </w:pPr>
    </w:p>
    <w:p w14:paraId="032C58A1" w14:textId="5750B87B" w:rsidR="008723FD" w:rsidRDefault="008723FD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elraster"/>
        <w:tblW w:w="8217" w:type="dxa"/>
        <w:tblLook w:val="04A0" w:firstRow="1" w:lastRow="0" w:firstColumn="1" w:lastColumn="0" w:noHBand="0" w:noVBand="1"/>
      </w:tblPr>
      <w:tblGrid>
        <w:gridCol w:w="3397"/>
        <w:gridCol w:w="1418"/>
        <w:gridCol w:w="1701"/>
        <w:gridCol w:w="1701"/>
      </w:tblGrid>
      <w:tr w:rsidR="008723FD" w14:paraId="07D89031" w14:textId="77777777" w:rsidTr="008723FD">
        <w:tc>
          <w:tcPr>
            <w:tcW w:w="8217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8723FD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8723FD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Low-risk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701" w:type="dxa"/>
          </w:tcPr>
          <w:p w14:paraId="4F3F7CAF" w14:textId="77777777" w:rsidR="008723FD" w:rsidRP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Medium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8723FD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701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8723FD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701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1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8723FD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701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8723FD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701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8723FD">
        <w:tc>
          <w:tcPr>
            <w:tcW w:w="8217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BC4C97" w:rsidRDefault="00AE021C" w:rsidP="00AE021C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1. </w:t>
      </w:r>
      <w:r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jstalinea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471DBA7B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1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1"/>
      <w:r w:rsidR="00F835ED" w:rsidRPr="00BC4C97">
        <w:rPr>
          <w:rStyle w:val="Verwijzingopmerking"/>
          <w:rFonts w:ascii="Times New Roman" w:hAnsi="Times New Roman" w:cs="Times New Roman"/>
          <w:sz w:val="22"/>
          <w:szCs w:val="22"/>
        </w:rPr>
        <w:commentReference w:id="1"/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shrinkage on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  <w:bookmarkStart w:id="2" w:name="_GoBack"/>
      <w:bookmarkEnd w:id="2"/>
    </w:p>
    <w:p w14:paraId="445A1050" w14:textId="3B175722" w:rsidR="00B37F4B" w:rsidRDefault="00012B03" w:rsidP="00C80640">
      <w:pPr>
        <w:spacing w:after="0"/>
        <w:rPr>
          <w:rFonts w:ascii="Arial" w:hAnsi="Arial" w:cs="Arial"/>
        </w:rPr>
      </w:pPr>
      <w:r w:rsidRPr="00012B03">
        <w:rPr>
          <w:rFonts w:ascii="Arial" w:hAnsi="Arial" w:cs="Arial"/>
          <w:noProof/>
          <w:lang w:val="nl-NL" w:eastAsia="nl-NL"/>
        </w:rPr>
        <w:drawing>
          <wp:inline distT="0" distB="0" distL="0" distR="0" wp14:anchorId="0E1D681E" wp14:editId="2F431207">
            <wp:extent cx="5756910" cy="5756910"/>
            <wp:effectExtent l="0" t="0" r="0" b="0"/>
            <wp:docPr id="4" name="Afbeelding 4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1838DB" w14:paraId="149B3863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B0B9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1978B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86E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1838DB" w14:paraId="0D234F4F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EEE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B0E672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56FEB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205.9</w:t>
            </w:r>
          </w:p>
        </w:tc>
      </w:tr>
      <w:tr w:rsidR="00877EFC" w:rsidRPr="001838DB" w14:paraId="100020E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416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B26B1C6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EF81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200.7</w:t>
            </w:r>
          </w:p>
        </w:tc>
      </w:tr>
      <w:tr w:rsidR="00877EFC" w:rsidRPr="001838DB" w14:paraId="6805A007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B57F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186AB052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AEA91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211.1</w:t>
            </w:r>
          </w:p>
        </w:tc>
      </w:tr>
      <w:tr w:rsidR="00877EFC" w:rsidRPr="001838DB" w14:paraId="08BE2454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92734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37C1B6A1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815EF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207.9</w:t>
            </w:r>
          </w:p>
        </w:tc>
      </w:tr>
      <w:tr w:rsidR="00877EFC" w:rsidRPr="001838DB" w14:paraId="7687D93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46E54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50894EC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F0B7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186.7</w:t>
            </w:r>
          </w:p>
        </w:tc>
      </w:tr>
      <w:tr w:rsidR="00877EFC" w:rsidRPr="001838DB" w14:paraId="3DD411B7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56FB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69BBC42D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1E67C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b/>
                <w:color w:val="000000"/>
                <w:lang w:val="nl-NL"/>
              </w:rPr>
              <w:t>182.7</w:t>
            </w:r>
          </w:p>
        </w:tc>
      </w:tr>
      <w:tr w:rsidR="00877EFC" w:rsidRPr="001838DB" w14:paraId="6DAEF99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87E3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FCDAFB6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A9C67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190.4</w:t>
            </w:r>
          </w:p>
        </w:tc>
      </w:tr>
      <w:tr w:rsidR="00877EFC" w:rsidRPr="001838DB" w14:paraId="0A8BC2DB" w14:textId="77777777" w:rsidTr="00BE572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F2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76D55A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E3C1BA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E248EF" w14:paraId="60642E4A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AEB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67063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5398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CA1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E248EF" w14:paraId="3D2983A7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29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628C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96E89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507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877EFC" w:rsidRPr="00E248EF" w14:paraId="50CCAFBB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C6DC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7DFBD8B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41B5962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66D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877EFC" w:rsidRPr="00233FAA" w14:paraId="7E18783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E808F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2B16CFCF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52EF438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EC7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33FAA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877EFC" w:rsidRPr="00E248EF" w14:paraId="6097873C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9B51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54353A2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904BB3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018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877EFC" w:rsidRPr="00E248EF" w14:paraId="64A6D791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BF7E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1D2B42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2B564EC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A5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7A7B072B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8B35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5F4C60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0A5DE80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36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877EFC" w:rsidRPr="00E248EF" w14:paraId="63D071B4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F06A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D3E8B8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337BC4F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21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877EFC" w:rsidRPr="00E248EF" w14:paraId="65D45D72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6E3D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737F02E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6A9F04F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E8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877EFC" w:rsidRPr="00E248EF" w14:paraId="50D0F075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1D50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A2635A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6E40AEC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ABC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877EFC" w:rsidRPr="00E248EF" w14:paraId="2BB004D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5A14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F2811E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F43BC4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F8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877EFC" w:rsidRPr="00E248EF" w14:paraId="2E8EA92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7630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086008F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6744053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FB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0C5D7AC8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CEEF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4F67C4A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F1305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2702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877EFC" w:rsidRPr="00E248EF" w14:paraId="2B898A28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BF24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BCB047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676D4D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423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877EFC" w:rsidRPr="00E248EF" w14:paraId="749B683C" w14:textId="77777777" w:rsidTr="00BE572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E74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5E12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9BCA5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73C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1633"/>
        <w:gridCol w:w="159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52D3A245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3FB5D293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44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0A4C2344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78ADB19D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299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7777777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77777777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2023918A" w:rsidR="008F11BB" w:rsidRDefault="00CA1FFF" w:rsidP="00C80640">
      <w:pPr>
        <w:spacing w:after="0"/>
        <w:rPr>
          <w:rFonts w:ascii="Arial" w:eastAsiaTheme="minorEastAsia" w:hAnsi="Arial" w:cs="Arial"/>
          <w:b/>
        </w:rPr>
      </w:pPr>
      <w:r w:rsidRPr="00CA1FF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0605B8B" wp14:editId="4A75B167">
            <wp:extent cx="4572000" cy="4572000"/>
            <wp:effectExtent l="0" t="0" r="0" b="0"/>
            <wp:docPr id="3" name="Picture 3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14813B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674"/>
      </w:tblGrid>
      <w:tr w:rsidR="003D5BB5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3D5BB5" w14:paraId="4A384FF2" w14:textId="77777777" w:rsidTr="00BE5726">
        <w:tc>
          <w:tcPr>
            <w:tcW w:w="4811" w:type="dxa"/>
          </w:tcPr>
          <w:p w14:paraId="1E4187FA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E7BE0FD" wp14:editId="11731478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6E4E8CF" wp14:editId="16C3FCEE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B5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3D5BB5" w14:paraId="03856A14" w14:textId="77777777" w:rsidTr="00BE5726">
        <w:tc>
          <w:tcPr>
            <w:tcW w:w="4811" w:type="dxa"/>
          </w:tcPr>
          <w:p w14:paraId="1E30CAA7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7CB04FC" wp14:editId="428B1F2C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1C3E95D2" w:rsidR="00145558" w:rsidRPr="00145558" w:rsidRDefault="00145558">
      <w:pPr>
        <w:pStyle w:val="Tekstopmerking"/>
      </w:pPr>
      <w:r w:rsidRPr="006C5CA4">
        <w:rPr>
          <w:rStyle w:val="Verwijzingopmerking"/>
          <w:highlight w:val="magenta"/>
        </w:rPr>
        <w:annotationRef/>
      </w:r>
      <w:r w:rsidRPr="00145558">
        <w:rPr>
          <w:highlight w:val="magenta"/>
        </w:rPr>
        <w:t>@Caro: CHECK CI of intercept</w:t>
      </w:r>
    </w:p>
  </w:comment>
  <w:comment w:id="1" w:author="C.H.M. Maas [2]" w:date="2023-07-13T13:29:00Z" w:initials="CM">
    <w:p w14:paraId="43459B83" w14:textId="1E0EFF48" w:rsidR="00145558" w:rsidRPr="00145558" w:rsidRDefault="00145558">
      <w:pPr>
        <w:pStyle w:val="Tekstopmerking"/>
      </w:pPr>
      <w:r w:rsidRPr="00F835ED">
        <w:rPr>
          <w:rStyle w:val="Verwijzingopmerking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5592"/>
    <w:rsid w:val="00277A8C"/>
    <w:rsid w:val="0029579C"/>
    <w:rsid w:val="002A5EEE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669E"/>
    <w:rsid w:val="004F2A66"/>
    <w:rsid w:val="004F410D"/>
    <w:rsid w:val="004F43D4"/>
    <w:rsid w:val="004F7EBB"/>
    <w:rsid w:val="00500AEE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F5CC7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C10D6"/>
    <w:rsid w:val="00BC4C97"/>
    <w:rsid w:val="00BD19E0"/>
    <w:rsid w:val="00BD1F91"/>
    <w:rsid w:val="00BE2AD4"/>
    <w:rsid w:val="00BE5726"/>
    <w:rsid w:val="00BF11E9"/>
    <w:rsid w:val="00BF49A4"/>
    <w:rsid w:val="00C11893"/>
    <w:rsid w:val="00C154D0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43AC"/>
    <w:rsid w:val="00F64CF2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kstvantijdelijkeaanduiding">
    <w:name w:val="Placeholder Text"/>
    <w:basedOn w:val="Standaardalinea-lettertype"/>
    <w:semiHidden/>
    <w:rsid w:val="004150B7"/>
    <w:rPr>
      <w:color w:val="808080"/>
    </w:rPr>
  </w:style>
  <w:style w:type="paragraph" w:styleId="Lijstalinea">
    <w:name w:val="List Paragraph"/>
    <w:basedOn w:val="Standaard"/>
    <w:rsid w:val="00300CE7"/>
    <w:pPr>
      <w:ind w:left="720"/>
      <w:contextualSpacing/>
    </w:pPr>
  </w:style>
  <w:style w:type="table" w:styleId="Tabelraster">
    <w:name w:val="Table Grid"/>
    <w:basedOn w:val="Standaardtabe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unhideWhenUsed/>
    <w:rsid w:val="00B8321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B8321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B832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B832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B8321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B8321D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61EA-A32A-464E-A5F0-61CD02EB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1439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Carolien Maas</cp:lastModifiedBy>
  <cp:revision>16</cp:revision>
  <dcterms:created xsi:type="dcterms:W3CDTF">2023-07-18T13:54:00Z</dcterms:created>
  <dcterms:modified xsi:type="dcterms:W3CDTF">2023-07-19T12:44:00Z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