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commentRangeStart w:id="0"/>
      <w:r w:rsidRPr="002440B9">
        <w:rPr>
          <w:rFonts w:ascii="Times New Roman" w:eastAsia="Calibri" w:hAnsi="Times New Roman" w:cs="Times New Roman"/>
          <w:b/>
          <w:lang w:val="en-US"/>
        </w:rPr>
        <w:t>T</w:t>
      </w:r>
      <w:commentRangeEnd w:id="0"/>
      <w:r w:rsidR="00FB557D">
        <w:rPr>
          <w:rStyle w:val="CommentReference"/>
        </w:rPr>
        <w:commentReference w:id="0"/>
      </w:r>
      <w:r w:rsidRPr="002440B9">
        <w:rPr>
          <w:rFonts w:ascii="Times New Roman" w:eastAsia="Calibri" w:hAnsi="Times New Roman" w:cs="Times New Roman"/>
          <w:b/>
          <w:lang w:val="en-US"/>
        </w:rPr>
        <w:t xml:space="preserve">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</w:t>
      </w:r>
      <w:commentRangeStart w:id="1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1"/>
      <w:r w:rsidR="000E7764">
        <w:rPr>
          <w:rStyle w:val="CommentReference"/>
        </w:rPr>
        <w:commentReference w:id="1"/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</w:t>
      </w:r>
      <w:proofErr w:type="gramStart"/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The</w:t>
      </w:r>
      <w:proofErr w:type="gramEnd"/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IKNL), Utrecht, </w:t>
      </w:r>
      <w:proofErr w:type="gramStart"/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The</w:t>
      </w:r>
      <w:proofErr w:type="gramEnd"/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6E73B0E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705E0B" w:rsidRPr="00F935E0">
        <w:rPr>
          <w:lang w:val="en-GB"/>
        </w:rPr>
        <w:t>s.p.j.vandijk@erasmusmc.nl</w:t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r w:rsidR="0086293F">
        <w:rPr>
          <w:rFonts w:ascii="Times New Roman" w:hAnsi="Times New Roman" w:cs="Times New Roman"/>
          <w:sz w:val="22"/>
          <w:szCs w:val="22"/>
          <w:lang w:val="en-US"/>
        </w:rPr>
        <w:t xml:space="preserve">internal-externally 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192333ED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7BDB5A5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r w:rsidR="00371C09">
        <w:rPr>
          <w:rFonts w:ascii="Times New Roman" w:hAnsi="Times New Roman" w:cs="Times New Roman"/>
          <w:sz w:val="22"/>
          <w:szCs w:val="22"/>
          <w:lang w:val="en-US"/>
        </w:rPr>
        <w:t xml:space="preserve"> percent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43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surgery (OR 3.78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1.58-9.04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0.85-0.92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521A9A1C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7B50C1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AF06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4F406479" w:rsidR="00227FCE" w:rsidRPr="002440B9" w:rsidRDefault="00CA147E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proofErr w:type="gramStart"/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proofErr w:type="gramEnd"/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7B9168D2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5F067230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5CF79921" w14:textId="5F50B468" w:rsidR="00F935E0" w:rsidRDefault="00007957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 The Netherlands.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e Netherlands before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, 2017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, 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30F6D428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Supplement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4100CE80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</w:p>
    <w:p w14:paraId="2274F735" w14:textId="0A8462CC" w:rsidR="00EE718F" w:rsidRPr="002440B9" w:rsidRDefault="008429C7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F74F8A" w14:textId="4DB25DF3" w:rsidR="00FD4B27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E7C025" w14:textId="77777777" w:rsidR="002B4B5B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30DB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t>Statistical analysis for model development</w:t>
      </w:r>
    </w:p>
    <w:p w14:paraId="02189248" w14:textId="74A3646F" w:rsidR="0012073C" w:rsidRDefault="002B4B5B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face="superscript"&gt;14&lt;/style&gt;&lt;/DisplayText&gt;&lt;record&gt;&lt;rec-number&gt;46&lt;/rec-number&gt;&lt;foreign-keys&gt;&lt;key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face="superscript"&gt;15&lt;/style&gt;&lt;/DisplayText&gt;&lt;record&gt;&lt;rec-number&gt;49&lt;/rec-number&gt;&lt;foreign-keys&gt;&lt;key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 E</w:t>
      </w:r>
      <w:commentRangeStart w:id="2"/>
      <w:commentRangeStart w:id="3"/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face="superscript"&gt;16&lt;/style&gt;&lt;/DisplayText&gt;&lt;record&gt;&lt;rec-number&gt;22&lt;/rec-number&gt;&lt;foreign-keys&gt;&lt;key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face="superscript"&gt;17&lt;/style&gt;&lt;/DisplayText&gt;&lt;record&gt;&lt;rec-number&gt;56&lt;/rec-number&gt;&lt;foreign-keys&gt;&lt;key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p&lt;0.05</w:t>
      </w:r>
      <w:r w:rsidR="00F10BC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face="superscript"&gt;18, 19&lt;/style&gt;&lt;/DisplayText&gt;&lt;record&gt;&lt;rec-number&gt;29&lt;/rec-number&gt;&lt;foreign-keys&gt;&lt;key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18, 19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commentRangeStart w:id="5"/>
      <w:commentRangeStart w:id="6"/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5"/>
      <w:r w:rsidR="00557EE8">
        <w:rPr>
          <w:rStyle w:val="CommentReference"/>
        </w:rPr>
        <w:commentReference w:id="5"/>
      </w:r>
      <w:commentRangeEnd w:id="6"/>
      <w:r w:rsidR="00152DB3">
        <w:rPr>
          <w:rStyle w:val="CommentReference"/>
        </w:rPr>
        <w:commentReference w:id="6"/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Predictions of the final model were made easily accessible through a </w:t>
      </w:r>
      <w:commentRangeStart w:id="7"/>
      <w:r w:rsidR="004A5660">
        <w:rPr>
          <w:rFonts w:ascii="Times New Roman" w:hAnsi="Times New Roman" w:cs="Times New Roman"/>
          <w:sz w:val="22"/>
          <w:szCs w:val="22"/>
          <w:lang w:val="en-US"/>
        </w:rPr>
        <w:t>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20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End w:id="7"/>
      <w:r w:rsidR="00607D88">
        <w:rPr>
          <w:rStyle w:val="CommentReference"/>
        </w:rPr>
        <w:commentReference w:id="7"/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To assess the relationship between the risk of </w:t>
      </w:r>
      <w:proofErr w:type="gramStart"/>
      <w:r w:rsidR="001971E3">
        <w:rPr>
          <w:rFonts w:ascii="Times New Roman" w:hAnsi="Times New Roman" w:cs="Times New Roman"/>
          <w:sz w:val="22"/>
          <w:szCs w:val="22"/>
          <w:lang w:val="en-US"/>
        </w:rPr>
        <w:t>long-term</w:t>
      </w:r>
      <w:proofErr w:type="gramEnd"/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</w:t>
      </w:r>
      <w:r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7930812E" w:rsidR="007349DF" w:rsidRDefault="00A43EC2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leaving one center out of 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predictions for the left out center.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="00750FC1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1A10F6">
        <w:rPr>
          <w:rFonts w:ascii="Times New Roman" w:hAnsi="Times New Roman" w:cs="Times New Roman"/>
          <w:sz w:val="22"/>
          <w:szCs w:val="22"/>
          <w:lang w:val="en-US"/>
        </w:rPr>
        <w:t>n</w:t>
      </w:r>
      <w:proofErr w:type="gramEnd"/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lastRenderedPageBreak/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face="superscript"&gt;22&lt;/style&gt;&lt;/DisplayText&gt;&lt;record&gt;&lt;rec-number&gt;59&lt;/rec-number&gt;&lt;foreign-keys&gt;&lt;key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5122F6C" w14:textId="754DD83A" w:rsidR="003962CC" w:rsidRPr="00836C28" w:rsidRDefault="00073A03" w:rsidP="00040C71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F6EACF" w:rsidR="008561EE" w:rsidRDefault="00AA2499" w:rsidP="00040C71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3D3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 xml:space="preserve"> 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>PTH at 24 hours,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Table 1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46D5888E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that fits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and is most clinically applicable 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includes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 xml:space="preserve">, age, sex, type of surgery, and indication </w:t>
      </w:r>
      <w:r w:rsidR="00985724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</w:t>
      </w:r>
      <w:r w:rsidR="00246733">
        <w:rPr>
          <w:rFonts w:ascii="Times New Roman" w:eastAsiaTheme="minorEastAsia" w:hAnsi="Times New Roman" w:cs="Times New Roman"/>
          <w:sz w:val="22"/>
          <w:szCs w:val="22"/>
          <w:lang w:val="en-US"/>
        </w:rPr>
        <w:t>, Supplemental Figure 3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).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seems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there is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</w:t>
      </w:r>
      <w:proofErr w:type="gramStart"/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test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1.11-1.86),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3.90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1.62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9.37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46733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Table 2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lastRenderedPageBreak/>
        <w:t>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1CB8D709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 xml:space="preserve"> (Supplemental Table 3)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228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62.6</w:t>
      </w:r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75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20.2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D030DE" w:rsidRPr="0071703D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17.2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1028">
        <w:rPr>
          <w:rFonts w:ascii="Times New Roman" w:hAnsi="Times New Roman" w:cs="Times New Roman"/>
          <w:sz w:val="22"/>
          <w:szCs w:val="22"/>
          <w:lang w:val="en-US"/>
        </w:rPr>
        <w:t>classified</w:t>
      </w:r>
      <w:r w:rsidR="009D28E8">
        <w:rPr>
          <w:rFonts w:ascii="Times New Roman" w:hAnsi="Times New Roman" w:cs="Times New Roman"/>
          <w:sz w:val="22"/>
          <w:szCs w:val="22"/>
          <w:lang w:val="en-US"/>
        </w:rPr>
        <w:t xml:space="preserve"> as high risk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8"/>
      <w:r w:rsidR="00951F3F">
        <w:rPr>
          <w:rFonts w:ascii="Times New Roman" w:hAnsi="Times New Roman" w:cs="Times New Roman"/>
          <w:sz w:val="22"/>
          <w:szCs w:val="22"/>
          <w:lang w:val="en-US"/>
        </w:rPr>
        <w:t>T</w:t>
      </w:r>
      <w:commentRangeEnd w:id="8"/>
      <w:r w:rsidR="00650135">
        <w:rPr>
          <w:rStyle w:val="CommentReference"/>
        </w:rPr>
        <w:commentReference w:id="8"/>
      </w:r>
      <w:proofErr w:type="gramStart"/>
      <w:r w:rsidR="00951F3F">
        <w:rPr>
          <w:rFonts w:ascii="Times New Roman" w:hAnsi="Times New Roman" w:cs="Times New Roman"/>
          <w:sz w:val="22"/>
          <w:szCs w:val="22"/>
          <w:lang w:val="en-US"/>
        </w:rPr>
        <w:t>wo</w:t>
      </w:r>
      <w:proofErr w:type="gramEnd"/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low-risk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9.3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647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5FCA7BA1" w:rsidR="00C52D0D" w:rsidRDefault="00032090" w:rsidP="00040C7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FB113D">
        <w:rPr>
          <w:rFonts w:ascii="Times New Roman" w:hAnsi="Times New Roman" w:cs="Times New Roman"/>
          <w:sz w:val="22"/>
          <w:szCs w:val="22"/>
          <w:lang w:val="en-US"/>
        </w:rPr>
        <w:t>C-index 0.88, 95% CI: 0.84-0.92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1F2D">
        <w:rPr>
          <w:rFonts w:ascii="Times New Roman" w:hAnsi="Times New Roman" w:cs="Times New Roman"/>
          <w:sz w:val="22"/>
          <w:szCs w:val="22"/>
          <w:lang w:val="en-US"/>
        </w:rPr>
        <w:t xml:space="preserve">enhance accuracy and validate the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model.</w:t>
      </w:r>
    </w:p>
    <w:p w14:paraId="682DC25E" w14:textId="7F7C6021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face="superscript"&gt;23&lt;/style&gt;&lt;/DisplayText&gt;&lt;record&gt;&lt;rec-number&gt;36&lt;/rec-number&gt;&lt;foreign-keys&gt;&lt;key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5B9827C9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3, 24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PTH of less than 70% 24-hour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4F6632">
        <w:rPr>
          <w:rFonts w:ascii="Times New Roman" w:hAnsi="Times New Roman" w:cs="Times New Roman"/>
          <w:sz w:val="22"/>
          <w:szCs w:val="22"/>
          <w:lang w:val="en-US"/>
        </w:rPr>
        <w:t xml:space="preserve"> (Table 2)</w:t>
      </w:r>
      <w:del w:id="9" w:author="C.H.M. Maas" w:date="2023-07-14T14:48:00Z">
        <w:r w:rsidR="00E30D1B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accounting for </w:delText>
        </w:r>
        <w:commentRangeStart w:id="10"/>
        <w:r w:rsidR="00E30D1B" w:rsidRPr="00DF764B" w:rsidDel="0012038C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commentRangeEnd w:id="10"/>
        <w:r w:rsidR="00BA620F" w:rsidDel="0012038C">
          <w:rPr>
            <w:rStyle w:val="CommentReference"/>
          </w:rPr>
          <w:commentReference w:id="10"/>
        </w:r>
        <w:r w:rsidR="00BE7918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>% of the models’</w:delText>
        </w:r>
        <w:r w:rsidR="00984927" w:rsidRPr="00984927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predictive ability</w:delText>
        </w:r>
      </w:del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r w:rsidR="00AC669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63457">
        <w:rPr>
          <w:rFonts w:ascii="Times New Roman" w:hAnsi="Times New Roman" w:cs="Times New Roman"/>
          <w:sz w:val="22"/>
          <w:szCs w:val="22"/>
          <w:lang w:val="en-US"/>
        </w:rPr>
        <w:t>Supplemental Figure 1)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3B090CF5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11"/>
      <w:commentRangeStart w:id="12"/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</w:t>
      </w:r>
      <w:commentRangeEnd w:id="11"/>
      <w:r w:rsidR="005B16C1">
        <w:rPr>
          <w:rStyle w:val="CommentReference"/>
        </w:rPr>
        <w:commentReference w:id="11"/>
      </w:r>
      <w:commentRangeEnd w:id="12"/>
      <w:r w:rsidR="0034215D">
        <w:rPr>
          <w:rStyle w:val="CommentReference"/>
        </w:rPr>
        <w:commentReference w:id="12"/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long-term hypoparathyroidism, we also observed a notable correlation between a higher risk of long-term hypoparathyroidism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23D374B9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24931" w:rsidRPr="0034215D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model more prone to </w:t>
      </w:r>
      <w:r w:rsidR="00724931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E62A37" w:rsidRPr="00E62A3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27, 28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, it is a retrospective cohort study.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1212A734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4D3E8A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4D3E8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commentRangeStart w:id="13"/>
      <w:commentRangeStart w:id="14"/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commentRangeEnd w:id="13"/>
      <w:r w:rsidR="009878DF">
        <w:rPr>
          <w:rStyle w:val="CommentReference"/>
        </w:rPr>
        <w:commentReference w:id="13"/>
      </w:r>
      <w:commentRangeEnd w:id="14"/>
      <w:r w:rsidR="00D3648D">
        <w:rPr>
          <w:rStyle w:val="CommentReference"/>
        </w:rPr>
        <w:commentReference w:id="14"/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7811E67D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0E73FAE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2282D4D9" w14:textId="77777777" w:rsidR="00E2176F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Medical Ethics committee of the Erasmus Medical Center approved this study </w:t>
      </w:r>
      <w:proofErr w:type="gramStart"/>
      <w:r w:rsidRPr="002440B9">
        <w:rPr>
          <w:rFonts w:ascii="Times New Roman" w:hAnsi="Times New Roman" w:cs="Times New Roman"/>
          <w:sz w:val="22"/>
          <w:szCs w:val="22"/>
          <w:lang w:val="en-US"/>
        </w:rPr>
        <w:t>( (</w:t>
      </w:r>
      <w:proofErr w:type="gramEnd"/>
      <w:r w:rsidRPr="002440B9">
        <w:rPr>
          <w:rFonts w:ascii="Times New Roman" w:hAnsi="Times New Roman" w:cs="Times New Roman"/>
          <w:sz w:val="22"/>
          <w:szCs w:val="22"/>
          <w:lang w:val="en-US"/>
        </w:rPr>
        <w:t>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24A071C8" w14:textId="77777777" w:rsidR="00E62A37" w:rsidRPr="00E62A37" w:rsidRDefault="00A804AE" w:rsidP="00E62A37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62A37" w:rsidRPr="00E62A37">
        <w:t>1.</w:t>
      </w:r>
      <w:r w:rsidR="00E62A37" w:rsidRPr="00E62A37">
        <w:tab/>
        <w:t xml:space="preserve">Asari R, Passler C, Kaczirek K, et al. Hypoparathyroidism after total thyroidectomy: a prospective study. </w:t>
      </w:r>
      <w:r w:rsidR="00E62A37" w:rsidRPr="00E62A37">
        <w:rPr>
          <w:i/>
        </w:rPr>
        <w:t>Arch Surg</w:t>
      </w:r>
      <w:r w:rsidR="00E62A37" w:rsidRPr="00E62A37">
        <w:t xml:space="preserve"> 2008; 143(2):132-7; discussion 138.</w:t>
      </w:r>
    </w:p>
    <w:p w14:paraId="3DC204D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2.</w:t>
      </w:r>
      <w:r w:rsidRPr="00E62A37">
        <w:tab/>
        <w:t xml:space="preserve">Kim SM, Kim HK, Kim KJ, et al. Recovery from Permanent Hypoparathyroidism After Total Thyroidectomy. </w:t>
      </w:r>
      <w:r w:rsidRPr="00E62A37">
        <w:rPr>
          <w:i/>
        </w:rPr>
        <w:t>Thyroid</w:t>
      </w:r>
      <w:r w:rsidRPr="00E62A37">
        <w:t xml:space="preserve"> 2015; 25(7):830-3.</w:t>
      </w:r>
    </w:p>
    <w:p w14:paraId="79F96B3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3.</w:t>
      </w:r>
      <w:r w:rsidRPr="00E62A37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62A37">
        <w:rPr>
          <w:i/>
        </w:rPr>
        <w:t>Endocrine</w:t>
      </w:r>
      <w:r w:rsidRPr="00E62A37">
        <w:t xml:space="preserve"> 2019; 66(2):405-415.</w:t>
      </w:r>
    </w:p>
    <w:p w14:paraId="73B948C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4.</w:t>
      </w:r>
      <w:r w:rsidRPr="00E62A37">
        <w:tab/>
        <w:t xml:space="preserve">Almquist M, Hallgrimsson P, Nordenström E, et al. Prediction of permanent hypoparathyroidism after total thyroidectomy. </w:t>
      </w:r>
      <w:r w:rsidRPr="00E62A37">
        <w:rPr>
          <w:i/>
        </w:rPr>
        <w:t>World J Surg</w:t>
      </w:r>
      <w:r w:rsidRPr="00E62A37">
        <w:t xml:space="preserve"> 2014; 38(10):2613-20.</w:t>
      </w:r>
    </w:p>
    <w:p w14:paraId="034F6CBF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5.</w:t>
      </w:r>
      <w:r w:rsidRPr="00E62A37">
        <w:tab/>
        <w:t xml:space="preserve">Siggelkow H, Clarke BL, Germak J, et al. Burden of illness in not adequately controlled chronic hypoparathyroidism: Findings from a 13-country patient and caregiver survey. </w:t>
      </w:r>
      <w:r w:rsidRPr="00F10BC2">
        <w:rPr>
          <w:i/>
          <w:lang w:val="nl-NL"/>
        </w:rPr>
        <w:t>Clin Endocrinol (Oxf)</w:t>
      </w:r>
      <w:r w:rsidRPr="00F10BC2">
        <w:rPr>
          <w:lang w:val="nl-NL"/>
        </w:rPr>
        <w:t xml:space="preserve"> 2020; 92(2):159-168.</w:t>
      </w:r>
    </w:p>
    <w:p w14:paraId="3581A6FC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6.</w:t>
      </w:r>
      <w:r w:rsidRPr="00F10BC2">
        <w:rPr>
          <w:lang w:val="nl-NL"/>
        </w:rPr>
        <w:tab/>
        <w:t xml:space="preserve">Jørgensen CU, Homøe P, Dahl M, et al. </w:t>
      </w:r>
      <w:r w:rsidRPr="00E62A37">
        <w:t xml:space="preserve">Postoperative Chronic Hypoparathyroidism and Quality of Life After Total Thyroidectomy. </w:t>
      </w:r>
      <w:r w:rsidRPr="00E62A37">
        <w:rPr>
          <w:i/>
        </w:rPr>
        <w:t>JBMR Plus</w:t>
      </w:r>
      <w:r w:rsidRPr="00E62A37">
        <w:t xml:space="preserve"> 2021; 5(4):e10479.</w:t>
      </w:r>
    </w:p>
    <w:p w14:paraId="21CB43C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7.</w:t>
      </w:r>
      <w:r w:rsidRPr="00E62A37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62A37">
        <w:rPr>
          <w:i/>
        </w:rPr>
        <w:t>Endokrynol Pol</w:t>
      </w:r>
      <w:r w:rsidRPr="00E62A37">
        <w:t xml:space="preserve"> 2020; 71(2):126-133.</w:t>
      </w:r>
    </w:p>
    <w:p w14:paraId="46B27FE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8.</w:t>
      </w:r>
      <w:r w:rsidRPr="00E62A37">
        <w:tab/>
        <w:t xml:space="preserve">Cho JN, Park WS, Min SY. Predictors and risk factors of hypoparathyroidism after total thyroidectomy. </w:t>
      </w:r>
      <w:r w:rsidRPr="00E62A37">
        <w:rPr>
          <w:i/>
        </w:rPr>
        <w:t>International Journal of Surgery</w:t>
      </w:r>
      <w:r w:rsidRPr="00E62A37">
        <w:t xml:space="preserve"> 2016; 34:47-52.</w:t>
      </w:r>
    </w:p>
    <w:p w14:paraId="1883236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9.</w:t>
      </w:r>
      <w:r w:rsidRPr="00E62A37">
        <w:tab/>
        <w:t xml:space="preserve">Loncar I, Noltes ME, Dickhoff C, et al. Persistent Postthyroidectomy Hypoparathyroidism in the Netherlands. </w:t>
      </w:r>
      <w:r w:rsidRPr="00E62A37">
        <w:rPr>
          <w:i/>
        </w:rPr>
        <w:t>JAMA Otolaryngol Head Neck Surg</w:t>
      </w:r>
      <w:r w:rsidRPr="00E62A37">
        <w:t xml:space="preserve"> 2021; 147(11):959-965.</w:t>
      </w:r>
    </w:p>
    <w:p w14:paraId="24FA534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10.</w:t>
      </w:r>
      <w:r w:rsidRPr="00E62A37">
        <w:tab/>
        <w:t xml:space="preserve">Wang W, Xia F, Meng C, et al. Prediction of permanent hypoparathyroidism by parathyroid hormone and serum calcium 24 h after thyroidectomy. </w:t>
      </w:r>
      <w:r w:rsidRPr="00E62A37">
        <w:rPr>
          <w:i/>
        </w:rPr>
        <w:t>Am J Otolaryngol</w:t>
      </w:r>
      <w:r w:rsidRPr="00E62A37">
        <w:t xml:space="preserve"> 2018; 39(6):746-750.</w:t>
      </w:r>
    </w:p>
    <w:p w14:paraId="538A990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11.</w:t>
      </w:r>
      <w:r w:rsidRPr="00E62A37">
        <w:tab/>
        <w:t xml:space="preserve">Nagel K, Hendricks A, Lenschow C, et al. Definition and diagnosis of postsurgical hypoparathyroidism after thyroid surgery: meta-analysis. </w:t>
      </w:r>
      <w:r w:rsidRPr="00E62A37">
        <w:rPr>
          <w:i/>
        </w:rPr>
        <w:t>BJS Open</w:t>
      </w:r>
      <w:r w:rsidRPr="00E62A37">
        <w:t xml:space="preserve"> 2022; 6(5).</w:t>
      </w:r>
    </w:p>
    <w:p w14:paraId="583A2CA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12.</w:t>
      </w:r>
      <w:r w:rsidRPr="00E62A37">
        <w:tab/>
        <w:t xml:space="preserve">Transparent Reporting of a multivariable prediction model for Individual Prognosis Or Diagnosis (TRIPOD): Explanation and Elaboration. </w:t>
      </w:r>
      <w:r w:rsidRPr="00E62A37">
        <w:rPr>
          <w:i/>
        </w:rPr>
        <w:t>Annals of Internal Medicine</w:t>
      </w:r>
      <w:r w:rsidRPr="00E62A37">
        <w:t xml:space="preserve"> 2015; 162(1):W1-W73.</w:t>
      </w:r>
    </w:p>
    <w:p w14:paraId="2D96959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13.</w:t>
      </w:r>
      <w:r w:rsidRPr="00E62A37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62A37">
        <w:rPr>
          <w:i/>
        </w:rPr>
        <w:t>European Journal of Endocrinology</w:t>
      </w:r>
      <w:r w:rsidRPr="00E62A37">
        <w:t xml:space="preserve"> 2022; 186(2):R33-R63.</w:t>
      </w:r>
    </w:p>
    <w:p w14:paraId="0001CEF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14.</w:t>
      </w:r>
      <w:r w:rsidRPr="00E62A37">
        <w:tab/>
        <w:t xml:space="preserve">van Buuren S, Groothuis-Oudshoorn K. mice: Multivariate Imputation by Chained Equations in R. </w:t>
      </w:r>
      <w:r w:rsidRPr="00E62A37">
        <w:rPr>
          <w:i/>
        </w:rPr>
        <w:t>Journal of Statistical Software</w:t>
      </w:r>
      <w:r w:rsidRPr="00E62A37">
        <w:t xml:space="preserve"> 2011; 45(3):1 - 67.</w:t>
      </w:r>
    </w:p>
    <w:p w14:paraId="531A1362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15.</w:t>
      </w:r>
      <w:r w:rsidRPr="00F10BC2">
        <w:rPr>
          <w:lang w:val="nl-NL"/>
        </w:rPr>
        <w:tab/>
        <w:t xml:space="preserve">Moons KGM, Donders RART, Stijnen T, et al. </w:t>
      </w:r>
      <w:r w:rsidRPr="00E62A37">
        <w:t xml:space="preserve">Using the outcome for imputation of missing predictor values was preferred. </w:t>
      </w:r>
      <w:r w:rsidRPr="00E62A37">
        <w:rPr>
          <w:i/>
        </w:rPr>
        <w:t>Journal of Clinical Epidemiology</w:t>
      </w:r>
      <w:r w:rsidRPr="00E62A37">
        <w:t xml:space="preserve"> 2006; 59(10):1092-1101.</w:t>
      </w:r>
    </w:p>
    <w:p w14:paraId="34DDDAF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16.</w:t>
      </w:r>
      <w:r w:rsidRPr="00E62A37">
        <w:tab/>
        <w:t xml:space="preserve">Rubin DB. Multiple imputation after 18+ years. </w:t>
      </w:r>
      <w:r w:rsidRPr="00E62A37">
        <w:rPr>
          <w:i/>
        </w:rPr>
        <w:t>Journal of the American statistical Association</w:t>
      </w:r>
      <w:r w:rsidRPr="00E62A37">
        <w:t xml:space="preserve"> 1996; 91(434):473-489.</w:t>
      </w:r>
    </w:p>
    <w:p w14:paraId="7EFB045B" w14:textId="5D5951AE" w:rsidR="00E62A37" w:rsidRPr="00E62A37" w:rsidRDefault="00E62A37" w:rsidP="00E62A37">
      <w:pPr>
        <w:pStyle w:val="EndNoteBibliography"/>
        <w:ind w:left="720" w:hanging="720"/>
      </w:pPr>
      <w:r w:rsidRPr="00E62A37">
        <w:t>17.</w:t>
      </w:r>
      <w:r w:rsidRPr="00E62A37">
        <w:tab/>
        <w:t xml:space="preserve">Jr FEH. rms: Regression Modeling Strategies. R package version 6.6-0. 2023. Available at: </w:t>
      </w:r>
      <w:hyperlink r:id="rId13" w:history="1">
        <w:r w:rsidRPr="00E62A37">
          <w:rPr>
            <w:rStyle w:val="Hyperlink"/>
          </w:rPr>
          <w:t>https://CRAN.R-project.org/package=rms</w:t>
        </w:r>
      </w:hyperlink>
      <w:r w:rsidRPr="00E62A37">
        <w:t xml:space="preserve">. </w:t>
      </w:r>
    </w:p>
    <w:p w14:paraId="7768E63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18.</w:t>
      </w:r>
      <w:r w:rsidRPr="00E62A37">
        <w:tab/>
        <w:t xml:space="preserve">Smith GC, Seaman SR, Wood AM, et al. Correcting for optimistic prediction in small data sets. </w:t>
      </w:r>
      <w:r w:rsidRPr="00E62A37">
        <w:rPr>
          <w:i/>
        </w:rPr>
        <w:t>Am J Epidemiol</w:t>
      </w:r>
      <w:r w:rsidRPr="00E62A37">
        <w:t xml:space="preserve"> 2014; 180(3):318-24.</w:t>
      </w:r>
    </w:p>
    <w:p w14:paraId="064FA6A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19.</w:t>
      </w:r>
      <w:r w:rsidRPr="00E62A37">
        <w:tab/>
        <w:t>Steyerberg EW. Clinical Prediction Models: A Practical Approach to Development, Validation, and Updating.: New York: Springer, 2009.</w:t>
      </w:r>
    </w:p>
    <w:p w14:paraId="1E7723E9" w14:textId="1FEFC537" w:rsidR="00E62A37" w:rsidRPr="00E62A37" w:rsidRDefault="00E62A37" w:rsidP="00E62A37">
      <w:pPr>
        <w:pStyle w:val="EndNoteBibliography"/>
        <w:ind w:left="720" w:hanging="720"/>
      </w:pPr>
      <w:r w:rsidRPr="00E62A37">
        <w:t>20.</w:t>
      </w:r>
      <w:r w:rsidRPr="00E62A37">
        <w:tab/>
        <w:t xml:space="preserve">Maas CCHM. Web tool for predicting long-term hypoparathyroidism 2023. Available at: </w:t>
      </w:r>
      <w:hyperlink r:id="rId14" w:history="1">
        <w:r w:rsidRPr="00E62A37">
          <w:rPr>
            <w:rStyle w:val="Hyperlink"/>
          </w:rPr>
          <w:t>https://erasmusmcpublichealth.shinyapps.io/Hypoparathyroidism/</w:t>
        </w:r>
      </w:hyperlink>
      <w:r w:rsidRPr="00E62A37">
        <w:t xml:space="preserve"> </w:t>
      </w:r>
    </w:p>
    <w:p w14:paraId="0E49A8D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21.</w:t>
      </w:r>
      <w:r w:rsidRPr="00E62A37">
        <w:tab/>
        <w:t xml:space="preserve">Harrell FE, Jr., Califf RM, Pryor DB, et al. Evaluating the yield of medical tests. </w:t>
      </w:r>
      <w:r w:rsidRPr="00E62A37">
        <w:rPr>
          <w:i/>
        </w:rPr>
        <w:t>Jama</w:t>
      </w:r>
      <w:r w:rsidRPr="00E62A37">
        <w:t xml:space="preserve"> 1982; 247(18):2543-6.</w:t>
      </w:r>
    </w:p>
    <w:p w14:paraId="1EE48053" w14:textId="069174CB" w:rsidR="00E62A37" w:rsidRPr="00E62A37" w:rsidRDefault="00E62A37" w:rsidP="00E62A37">
      <w:pPr>
        <w:pStyle w:val="EndNoteBibliography"/>
        <w:ind w:left="720" w:hanging="720"/>
      </w:pPr>
      <w:r w:rsidRPr="00E62A37">
        <w:t>22.</w:t>
      </w:r>
      <w:r w:rsidRPr="00E62A37">
        <w:tab/>
        <w:t xml:space="preserve">Team RC. R: A language and environment for statistical computing. R Foundation for Statistical Computing, Vienna, Austria. 2022. Available at: </w:t>
      </w:r>
      <w:hyperlink r:id="rId15" w:history="1">
        <w:r w:rsidRPr="00E62A37">
          <w:rPr>
            <w:rStyle w:val="Hyperlink"/>
          </w:rPr>
          <w:t>https://www.R-project.org/</w:t>
        </w:r>
      </w:hyperlink>
      <w:r w:rsidRPr="00E62A37">
        <w:t xml:space="preserve">. </w:t>
      </w:r>
    </w:p>
    <w:p w14:paraId="60E299F5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23.</w:t>
      </w:r>
      <w:r w:rsidRPr="00E62A37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62A37">
        <w:rPr>
          <w:i/>
        </w:rPr>
        <w:t>Gland Surgery</w:t>
      </w:r>
      <w:r w:rsidRPr="00E62A37">
        <w:t xml:space="preserve"> 2017:S11-S19.</w:t>
      </w:r>
    </w:p>
    <w:p w14:paraId="214E2FF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24.</w:t>
      </w:r>
      <w:r w:rsidRPr="00E62A37">
        <w:tab/>
        <w:t xml:space="preserve">Jørgensen CU, Homøe P, Dahl M, et al. High incidence of chronic hypoparathyroidism secondary to total thyroidectomy. </w:t>
      </w:r>
      <w:r w:rsidRPr="00E62A37">
        <w:rPr>
          <w:i/>
        </w:rPr>
        <w:t>Dan Med J</w:t>
      </w:r>
      <w:r w:rsidRPr="00E62A37">
        <w:t xml:space="preserve"> 2020; 67(5).</w:t>
      </w:r>
    </w:p>
    <w:p w14:paraId="29DA5E3E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25.</w:t>
      </w:r>
      <w:r w:rsidRPr="00E62A37">
        <w:tab/>
        <w:t xml:space="preserve">Lončar I, Dulfer RR, Massolt ET, et al. Postoperative parathyroid hormone levels as a predictor for persistent hypoparathyroidism. </w:t>
      </w:r>
      <w:r w:rsidRPr="00F10BC2">
        <w:rPr>
          <w:i/>
          <w:lang w:val="nl-NL"/>
        </w:rPr>
        <w:t>Eur J Endocrinol</w:t>
      </w:r>
      <w:r w:rsidRPr="00F10BC2">
        <w:rPr>
          <w:lang w:val="nl-NL"/>
        </w:rPr>
        <w:t xml:space="preserve"> 2020; 183(2):149-159.</w:t>
      </w:r>
    </w:p>
    <w:p w14:paraId="0D200C19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F10BC2">
        <w:rPr>
          <w:lang w:val="nl-NL"/>
        </w:rPr>
        <w:t>26.</w:t>
      </w:r>
      <w:r w:rsidRPr="00F10BC2">
        <w:rPr>
          <w:lang w:val="nl-NL"/>
        </w:rPr>
        <w:tab/>
        <w:t xml:space="preserve">Li K, Wang XF, Li DY, et al. </w:t>
      </w:r>
      <w:r w:rsidRPr="00E62A37">
        <w:t xml:space="preserve">The good, the bad, and the ugly of calcium supplementation: a review of calcium intake on human health. </w:t>
      </w:r>
      <w:r w:rsidRPr="00F10BC2">
        <w:rPr>
          <w:i/>
          <w:lang w:val="nl-NL"/>
        </w:rPr>
        <w:t>Clin Interv Aging</w:t>
      </w:r>
      <w:r w:rsidRPr="00F10BC2">
        <w:rPr>
          <w:lang w:val="nl-NL"/>
        </w:rPr>
        <w:t xml:space="preserve"> 2018; 13:2443-2452.</w:t>
      </w:r>
    </w:p>
    <w:p w14:paraId="20A10CEA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27.</w:t>
      </w:r>
      <w:r w:rsidRPr="00F10BC2">
        <w:rPr>
          <w:lang w:val="nl-NL"/>
        </w:rPr>
        <w:tab/>
        <w:t xml:space="preserve">Riley RD, Snell KIE, Ensor J, et al. </w:t>
      </w:r>
      <w:r w:rsidRPr="00E62A37">
        <w:t xml:space="preserve">Minimum sample size for developing a multivariable prediction model: PART II - binary and time-to-event outcomes. </w:t>
      </w:r>
      <w:r w:rsidRPr="00E62A37">
        <w:rPr>
          <w:i/>
        </w:rPr>
        <w:t>Statistics in Medicine</w:t>
      </w:r>
      <w:r w:rsidRPr="00E62A37">
        <w:t xml:space="preserve"> 2019; 38(7):1276-1296.</w:t>
      </w:r>
    </w:p>
    <w:p w14:paraId="0EB43A9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28.</w:t>
      </w:r>
      <w:r w:rsidRPr="00E62A37">
        <w:tab/>
        <w:t xml:space="preserve">Steyerberg EW, Harrell FE, Jr. Prediction models need appropriate internal, internal-external, and external validation. </w:t>
      </w:r>
      <w:r w:rsidRPr="00E62A37">
        <w:rPr>
          <w:i/>
        </w:rPr>
        <w:t>J Clin Epidemiol</w:t>
      </w:r>
      <w:r w:rsidRPr="00E62A37">
        <w:t xml:space="preserve"> 2016; 69:245-7.</w:t>
      </w:r>
    </w:p>
    <w:p w14:paraId="45D12D88" w14:textId="5D793A08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6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 [3]" w:date="2023-07-18T17:46:00Z" w:initials="SvD">
    <w:p w14:paraId="49E789FF" w14:textId="0C41247E" w:rsidR="00FB557D" w:rsidRDefault="00FB557D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3A21A102" w14:textId="74F198D1" w:rsidR="00FB557D" w:rsidRDefault="00FB557D" w:rsidP="00FB557D">
      <w:pPr>
        <w:pStyle w:val="CommentText"/>
        <w:numPr>
          <w:ilvl w:val="0"/>
          <w:numId w:val="9"/>
        </w:numPr>
      </w:pPr>
      <w:r>
        <w:t>Volgorde figuren en tabellen</w:t>
      </w:r>
    </w:p>
  </w:comment>
  <w:comment w:id="1" w:author="S.P.J. van Dijk [3]" w:date="2023-07-18T17:23:00Z" w:initials="SvD">
    <w:p w14:paraId="7F9676AD" w14:textId="4284A3C7" w:rsidR="000E7764" w:rsidRDefault="000E7764">
      <w:pPr>
        <w:pStyle w:val="CommentText"/>
      </w:pPr>
      <w:r>
        <w:rPr>
          <w:rStyle w:val="CommentReference"/>
        </w:rPr>
        <w:annotationRef/>
      </w:r>
      <w:r>
        <w:t>Groningen</w:t>
      </w:r>
    </w:p>
  </w:comment>
  <w:comment w:id="2" w:author="C.H.M. Maas" w:date="2023-07-13T16:33:00Z" w:initials="CM">
    <w:p w14:paraId="7B8C15CF" w14:textId="77777777" w:rsidR="002B4B5B" w:rsidRPr="00DB56DD" w:rsidRDefault="002B4B5B" w:rsidP="002B4B5B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06A10">
        <w:rPr>
          <w:highlight w:val="green"/>
        </w:rPr>
        <w:t>Coefficients</w:t>
      </w:r>
      <w:bookmarkStart w:id="4" w:name="_GoBack"/>
      <w:bookmarkEnd w:id="4"/>
      <w:r w:rsidRPr="00606A10">
        <w:rPr>
          <w:highlight w:val="green"/>
        </w:rPr>
        <w:t xml:space="preserve"> en C-index allebei met Rubin’s rule</w:t>
      </w:r>
    </w:p>
  </w:comment>
  <w:comment w:id="3" w:author="S.P.J. van Dijk [3]" w:date="2023-07-18T15:50:00Z" w:initials="SvD">
    <w:p w14:paraId="482D9398" w14:textId="72457244" w:rsidR="002B4B5B" w:rsidRDefault="002B4B5B" w:rsidP="002B4B5B">
      <w:pPr>
        <w:pStyle w:val="CommentText"/>
      </w:pPr>
      <w:r>
        <w:rPr>
          <w:rStyle w:val="CommentReference"/>
        </w:rPr>
        <w:annotationRef/>
      </w:r>
      <w:r w:rsidR="0050501F">
        <w:t>Hoe wil je dit veranderd hebben?</w:t>
      </w:r>
    </w:p>
  </w:comment>
  <w:comment w:id="5" w:author="C.H.M. Maas" w:date="2023-07-13T16:25:00Z" w:initials="CM">
    <w:p w14:paraId="35D7AB48" w14:textId="77777777" w:rsidR="00FD2630" w:rsidRDefault="00FD2630" w:rsidP="00557EE8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06A10">
        <w:rPr>
          <w:highlight w:val="green"/>
        </w:rPr>
        <w:t>Ref to github als we de code publiek beschikbaar willen maken, anders ref naar supplement met uitleg over intercept adjustment</w:t>
      </w:r>
    </w:p>
  </w:comment>
  <w:comment w:id="6" w:author="S.P.J. van Dijk [3]" w:date="2023-07-18T14:23:00Z" w:initials="SvD">
    <w:p w14:paraId="5B10D1B1" w14:textId="5EA73ECF" w:rsidR="00FD2630" w:rsidRPr="00F10BC2" w:rsidRDefault="00FD2630">
      <w:pPr>
        <w:pStyle w:val="CommentText"/>
      </w:pPr>
      <w:r>
        <w:rPr>
          <w:rStyle w:val="CommentReference"/>
        </w:rPr>
        <w:annotationRef/>
      </w:r>
      <w:r>
        <w:t xml:space="preserve">Wat mij betreft maken we de code publiek, misschien beter om de R-code in een supplement bij te voegen? </w:t>
      </w:r>
      <w:r w:rsidRPr="00F10BC2">
        <w:t>Of is Github dan geprefereerd?</w:t>
      </w:r>
    </w:p>
  </w:comment>
  <w:comment w:id="7" w:author="S.P.J. van Dijk [3]" w:date="2023-07-18T15:09:00Z" w:initials="SvD">
    <w:p w14:paraId="43CD6C36" w14:textId="176E9571" w:rsidR="00607D88" w:rsidRDefault="00607D88">
      <w:pPr>
        <w:pStyle w:val="CommentText"/>
      </w:pPr>
      <w:r>
        <w:rPr>
          <w:rStyle w:val="CommentReference"/>
        </w:rPr>
        <w:annotationRef/>
      </w:r>
      <w:r>
        <w:t xml:space="preserve">Kunnen </w:t>
      </w:r>
      <w:r>
        <w:t>we 95% confidence intervallen krijgen voor de predicted probability?</w:t>
      </w:r>
    </w:p>
  </w:comment>
  <w:comment w:id="8" w:author="S.P.J. van Dijk [3]" w:date="2023-07-18T14:56:00Z" w:initials="SvD">
    <w:p w14:paraId="613E2557" w14:textId="03E2278F" w:rsidR="00650135" w:rsidRDefault="00650135">
      <w:pPr>
        <w:pStyle w:val="CommentText"/>
      </w:pPr>
      <w:r>
        <w:rPr>
          <w:rStyle w:val="CommentReference"/>
        </w:rPr>
        <w:annotationRef/>
      </w:r>
      <w:r>
        <w:t xml:space="preserve">Hier ook nog de </w:t>
      </w:r>
      <w:r>
        <w:t>percentages van long-term hypoparathyroidism</w:t>
      </w:r>
      <w:r w:rsidR="0050501F">
        <w:t xml:space="preserve"> per risk group</w:t>
      </w:r>
    </w:p>
  </w:comment>
  <w:comment w:id="10" w:author="C.H.M. Maas" w:date="2023-07-13T17:15:00Z" w:initials="CM">
    <w:p w14:paraId="24F41655" w14:textId="5F725FD0" w:rsidR="00FD2630" w:rsidRPr="00F935E0" w:rsidRDefault="00FD2630">
      <w:pPr>
        <w:pStyle w:val="CommentText"/>
      </w:pPr>
      <w:r w:rsidRPr="00BA620F">
        <w:rPr>
          <w:rStyle w:val="CommentReference"/>
          <w:highlight w:val="magenta"/>
        </w:rPr>
        <w:annotationRef/>
      </w:r>
      <w:r w:rsidRPr="00F935E0">
        <w:rPr>
          <w:highlight w:val="magenta"/>
        </w:rPr>
        <w:t>@Caro: TODO</w:t>
      </w:r>
    </w:p>
  </w:comment>
  <w:comment w:id="11" w:author="C.H.M. Maas" w:date="2023-07-17T15:46:00Z" w:initials="CM">
    <w:p w14:paraId="174EAA4A" w14:textId="31E26122" w:rsidR="00FD2630" w:rsidRDefault="00FD2630">
      <w:pPr>
        <w:pStyle w:val="CommentText"/>
      </w:pPr>
      <w:r w:rsidRPr="005B16C1">
        <w:rPr>
          <w:rStyle w:val="CommentReference"/>
          <w:highlight w:val="green"/>
        </w:rPr>
        <w:annotationRef/>
      </w:r>
      <w:r w:rsidRPr="005B16C1">
        <w:rPr>
          <w:highlight w:val="green"/>
        </w:rPr>
        <w:t xml:space="preserve">@Sam: </w:t>
      </w:r>
      <w:r>
        <w:rPr>
          <w:highlight w:val="green"/>
        </w:rPr>
        <w:t xml:space="preserve">waarom </w:t>
      </w:r>
      <w:r>
        <w:rPr>
          <w:highlight w:val="green"/>
        </w:rPr>
        <w:t xml:space="preserve">is hier geen </w:t>
      </w:r>
      <w:r w:rsidRPr="005B16C1">
        <w:rPr>
          <w:highlight w:val="green"/>
        </w:rPr>
        <w:t xml:space="preserve">reference </w:t>
      </w:r>
      <w:r>
        <w:rPr>
          <w:highlight w:val="green"/>
        </w:rPr>
        <w:t>naar</w:t>
      </w:r>
      <w:r w:rsidRPr="005B16C1">
        <w:rPr>
          <w:highlight w:val="green"/>
        </w:rPr>
        <w:t xml:space="preserve"> </w:t>
      </w:r>
      <w:r>
        <w:rPr>
          <w:highlight w:val="green"/>
        </w:rPr>
        <w:t>Fi</w:t>
      </w:r>
      <w:r w:rsidRPr="005B16C1">
        <w:rPr>
          <w:highlight w:val="green"/>
        </w:rPr>
        <w:t>gure 3?</w:t>
      </w:r>
    </w:p>
  </w:comment>
  <w:comment w:id="12" w:author="S.P.J. van Dijk [3]" w:date="2023-07-18T16:47:00Z" w:initials="SvD">
    <w:p w14:paraId="476626E1" w14:textId="5A72C217" w:rsidR="0034215D" w:rsidRDefault="0034215D">
      <w:pPr>
        <w:pStyle w:val="CommentText"/>
      </w:pPr>
      <w:r>
        <w:rPr>
          <w:rStyle w:val="CommentReference"/>
        </w:rPr>
        <w:annotationRef/>
      </w:r>
      <w:r>
        <w:t>Nog even de</w:t>
      </w:r>
      <w:r w:rsidR="00D3648D">
        <w:t xml:space="preserve"> vraag in welke hoedanigheid die figuur</w:t>
      </w:r>
      <w:r>
        <w:t xml:space="preserve"> erin komt. </w:t>
      </w:r>
    </w:p>
  </w:comment>
  <w:comment w:id="13" w:author="C.H.M. Maas" w:date="2023-07-17T15:43:00Z" w:initials="CM">
    <w:p w14:paraId="2B47D6EC" w14:textId="4D1015F0" w:rsidR="00FD2630" w:rsidRPr="009878DF" w:rsidRDefault="00FD2630">
      <w:pPr>
        <w:pStyle w:val="CommentText"/>
        <w:rPr>
          <w:lang w:val="en-US"/>
        </w:rPr>
      </w:pPr>
      <w:r w:rsidRPr="009878DF">
        <w:rPr>
          <w:rStyle w:val="CommentReference"/>
          <w:highlight w:val="green"/>
        </w:rPr>
        <w:annotationRef/>
      </w:r>
      <w:r w:rsidRPr="009878DF">
        <w:rPr>
          <w:highlight w:val="green"/>
          <w:lang w:val="en-US"/>
        </w:rPr>
        <w:t xml:space="preserve">@Sam: add link to </w:t>
      </w:r>
      <w:proofErr w:type="spellStart"/>
      <w:r w:rsidRPr="009878DF">
        <w:rPr>
          <w:highlight w:val="green"/>
          <w:lang w:val="en-US"/>
        </w:rPr>
        <w:t>webapp</w:t>
      </w:r>
      <w:proofErr w:type="spellEnd"/>
      <w:r w:rsidRPr="009878DF">
        <w:rPr>
          <w:highlight w:val="green"/>
          <w:lang w:val="en-US"/>
        </w:rPr>
        <w:t>?</w:t>
      </w:r>
    </w:p>
  </w:comment>
  <w:comment w:id="14" w:author="S.P.J. van Dijk [3]" w:date="2023-07-18T16:54:00Z" w:initials="SvD">
    <w:p w14:paraId="34AB3046" w14:textId="4F6901AE" w:rsidR="00D3648D" w:rsidRDefault="00D3648D">
      <w:pPr>
        <w:pStyle w:val="CommentText"/>
      </w:pPr>
      <w:r>
        <w:rPr>
          <w:rStyle w:val="CommentReference"/>
        </w:rPr>
        <w:annotationRef/>
      </w:r>
      <w:r>
        <w:t xml:space="preserve">Yes! Gedaan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A102" w15:done="0"/>
  <w15:commentEx w15:paraId="7F9676AD" w15:done="0"/>
  <w15:commentEx w15:paraId="7B8C15CF" w15:done="1"/>
  <w15:commentEx w15:paraId="482D9398" w15:paraIdParent="7B8C15CF" w15:done="1"/>
  <w15:commentEx w15:paraId="35D7AB48" w15:done="0"/>
  <w15:commentEx w15:paraId="5B10D1B1" w15:paraIdParent="35D7AB48" w15:done="0"/>
  <w15:commentEx w15:paraId="43CD6C36" w15:done="0"/>
  <w15:commentEx w15:paraId="613E2557" w15:done="0"/>
  <w15:commentEx w15:paraId="24F41655" w15:done="0"/>
  <w15:commentEx w15:paraId="174EAA4A" w15:done="0"/>
  <w15:commentEx w15:paraId="476626E1" w15:paraIdParent="174EAA4A" w15:done="0"/>
  <w15:commentEx w15:paraId="2B47D6EC" w15:done="1"/>
  <w15:commentEx w15:paraId="34AB3046" w15:paraIdParent="2B47D6EC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FD2630" w:rsidRDefault="00FD2630" w:rsidP="00E4632A">
      <w:r>
        <w:separator/>
      </w:r>
    </w:p>
  </w:endnote>
  <w:endnote w:type="continuationSeparator" w:id="0">
    <w:p w14:paraId="0F504BD6" w14:textId="77777777" w:rsidR="00FD2630" w:rsidRDefault="00FD2630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073E8D04" w:rsidR="00FD2630" w:rsidRDefault="00FD263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CB8">
          <w:rPr>
            <w:noProof/>
          </w:rPr>
          <w:t>11</w:t>
        </w:r>
        <w:r>
          <w:fldChar w:fldCharType="end"/>
        </w:r>
      </w:p>
    </w:sdtContent>
  </w:sdt>
  <w:p w14:paraId="59F08D39" w14:textId="77777777" w:rsidR="00FD2630" w:rsidRDefault="00FD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FD2630" w:rsidRDefault="00FD2630" w:rsidP="00E4632A">
      <w:r>
        <w:separator/>
      </w:r>
    </w:p>
  </w:footnote>
  <w:footnote w:type="continuationSeparator" w:id="0">
    <w:p w14:paraId="0F9D94D1" w14:textId="77777777" w:rsidR="00FD2630" w:rsidRDefault="00FD2630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 [3]">
    <w15:presenceInfo w15:providerId="AD" w15:userId="S-1-5-21-932686498-1610486119-1155464205-242272"/>
  </w15:person>
  <w15:person w15:author="C.H.M. Maas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0C71"/>
    <w:rsid w:val="00043ED7"/>
    <w:rsid w:val="00043EDC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7E15"/>
    <w:rsid w:val="001C2328"/>
    <w:rsid w:val="001C6E60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4673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3702"/>
    <w:rsid w:val="00296789"/>
    <w:rsid w:val="00296C5A"/>
    <w:rsid w:val="002A102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215D"/>
    <w:rsid w:val="003430C7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0530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1E20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45CE"/>
    <w:rsid w:val="00BA56E1"/>
    <w:rsid w:val="00BA5C2D"/>
    <w:rsid w:val="00BA60C2"/>
    <w:rsid w:val="00BA620F"/>
    <w:rsid w:val="00BB2189"/>
    <w:rsid w:val="00BB2970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DA4"/>
    <w:rsid w:val="00C412E5"/>
    <w:rsid w:val="00C419F5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4B8"/>
    <w:rsid w:val="00CC3A30"/>
    <w:rsid w:val="00CC5144"/>
    <w:rsid w:val="00CC6E8B"/>
    <w:rsid w:val="00CD038A"/>
    <w:rsid w:val="00CD2312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984"/>
    <w:rsid w:val="00D2675F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2A37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0BC2"/>
    <w:rsid w:val="00F13522"/>
    <w:rsid w:val="00F1378F"/>
    <w:rsid w:val="00F13A09"/>
    <w:rsid w:val="00F13A3C"/>
    <w:rsid w:val="00F13F16"/>
    <w:rsid w:val="00F15034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AN.R-project.org/package=rms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R-project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rasmusmcpublichealth.shinyapps.io/Hypoparathyroidis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2deb8e8-824b-4577-b8d2-4c5a19f97a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6667C-3B8B-4DB0-897B-16CCF4E9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5636</Words>
  <Characters>30999</Characters>
  <Application>Microsoft Office Word</Application>
  <DocSecurity>0</DocSecurity>
  <Lines>258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C.H.M. Maas</cp:lastModifiedBy>
  <cp:revision>16</cp:revision>
  <dcterms:created xsi:type="dcterms:W3CDTF">2023-07-18T12:26:00Z</dcterms:created>
  <dcterms:modified xsi:type="dcterms:W3CDTF">2023-07-19T11:36:00Z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