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09"/>
        <w:gridCol w:w="1803"/>
        <w:gridCol w:w="1802"/>
        <w:gridCol w:w="1803"/>
        <w:gridCol w:w="1803"/>
        <w:gridCol w:w="1802"/>
      </w:tblGrid>
      <w:tr w:rsidR="00380EDE" w:rsidRPr="00A97A6B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2E1EE9" w14:textId="77777777" w:rsidR="00380EDE" w:rsidRPr="00A97A6B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1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0A533" w14:textId="1B7B09A7" w:rsidR="00A95D15" w:rsidRPr="00A97A6B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8A9391" w14:textId="77777777" w:rsidR="00380EDE" w:rsidRPr="00A97A6B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2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0E7C2E" w14:textId="3664C948" w:rsidR="00A95D15" w:rsidRPr="00A97A6B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F90CF8" w14:textId="77777777" w:rsidR="00380EDE" w:rsidRPr="00A97A6B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3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BEC4DB" w14:textId="42E8EDD6" w:rsidR="00A95D15" w:rsidRPr="00A97A6B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60FB15AA" w:rsidR="00A95D15" w:rsidRPr="00A97A6B" w:rsidRDefault="00380ED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4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92DEBA" w14:textId="7E86C57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(N=78)</w:t>
            </w:r>
          </w:p>
        </w:tc>
      </w:tr>
      <w:tr w:rsidR="00380EDE" w:rsidRPr="00A97A6B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EB236F" w:rsidRPr="00A97A6B" w14:paraId="627DC160" w14:textId="77777777" w:rsidTr="00A95D15">
        <w:trPr>
          <w:trHeight w:val="113"/>
        </w:trPr>
        <w:tc>
          <w:tcPr>
            <w:tcW w:w="0" w:type="auto"/>
          </w:tcPr>
          <w:p w14:paraId="25E1BBFD" w14:textId="566668F8" w:rsidR="00EB236F" w:rsidRPr="00A97A6B" w:rsidRDefault="00EB236F" w:rsidP="00A95D15">
            <w:pPr>
              <w:pStyle w:val="Compact"/>
              <w:spacing w:before="0"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Readmissions related to </w:t>
            </w:r>
            <w:r w:rsidR="008A5782" w:rsidRPr="008A5782">
              <w:rPr>
                <w:rFonts w:ascii="Arial" w:hAnsi="Arial" w:cs="Arial"/>
                <w:b/>
                <w:bCs/>
                <w:sz w:val="22"/>
                <w:szCs w:val="22"/>
              </w:rPr>
              <w:t>hypocalcemia</w:t>
            </w:r>
          </w:p>
        </w:tc>
        <w:tc>
          <w:tcPr>
            <w:tcW w:w="0" w:type="auto"/>
          </w:tcPr>
          <w:p w14:paraId="5FF5953A" w14:textId="785FD34F" w:rsidR="00EB236F" w:rsidRPr="00A97A6B" w:rsidRDefault="008A5782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(7.4%)</w:t>
            </w:r>
          </w:p>
        </w:tc>
        <w:tc>
          <w:tcPr>
            <w:tcW w:w="0" w:type="auto"/>
          </w:tcPr>
          <w:p w14:paraId="6B6AB460" w14:textId="3A0F4300" w:rsidR="00EB236F" w:rsidRPr="00A97A6B" w:rsidRDefault="008A5782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7796ACB3" w14:textId="4589A944" w:rsidR="00EB236F" w:rsidRPr="00A97A6B" w:rsidRDefault="008A5782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6A6C4988" w14:textId="40ED2919" w:rsidR="00EB236F" w:rsidRPr="00A97A6B" w:rsidRDefault="008A5782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(4.3%)</w:t>
            </w:r>
          </w:p>
        </w:tc>
        <w:tc>
          <w:tcPr>
            <w:tcW w:w="0" w:type="auto"/>
          </w:tcPr>
          <w:p w14:paraId="574DE602" w14:textId="03BBCFBC" w:rsidR="00EB236F" w:rsidRPr="00A97A6B" w:rsidRDefault="00CF2CFD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(12.8%)</w:t>
            </w:r>
          </w:p>
        </w:tc>
      </w:tr>
      <w:tr w:rsidR="00380EDE" w:rsidRPr="00A97A6B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380EDE" w:rsidRPr="00A97A6B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380EDE" w:rsidRPr="00A97A6B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380EDE" w:rsidRPr="00A97A6B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113F2911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19</w:t>
            </w:r>
            <w:r w:rsidR="000855C2">
              <w:rPr>
                <w:rFonts w:ascii="Arial" w:hAnsi="Arial" w:cs="Arial"/>
                <w:sz w:val="22"/>
                <w:szCs w:val="22"/>
              </w:rPr>
              <w:t xml:space="preserve"> (5.2%)</w:t>
            </w:r>
          </w:p>
        </w:tc>
        <w:tc>
          <w:tcPr>
            <w:tcW w:w="0" w:type="auto"/>
          </w:tcPr>
          <w:p w14:paraId="7C4CB2C5" w14:textId="5C0F7E0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25732C66" w14:textId="5454493F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  <w:r w:rsidR="000855C2">
              <w:rPr>
                <w:rFonts w:ascii="Arial" w:hAnsi="Arial" w:cs="Arial"/>
                <w:sz w:val="22"/>
                <w:szCs w:val="22"/>
              </w:rPr>
              <w:t xml:space="preserve"> (1.6%)</w:t>
            </w:r>
          </w:p>
        </w:tc>
        <w:tc>
          <w:tcPr>
            <w:tcW w:w="0" w:type="auto"/>
          </w:tcPr>
          <w:p w14:paraId="4E7B1035" w14:textId="0E6EA05E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</w:t>
            </w:r>
            <w:r w:rsidR="000855C2"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0" w:type="auto"/>
          </w:tcPr>
          <w:p w14:paraId="6229A236" w14:textId="63A052FF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</w:t>
            </w:r>
            <w:r w:rsidR="000855C2">
              <w:rPr>
                <w:rFonts w:ascii="Arial" w:hAnsi="Arial" w:cs="Arial"/>
                <w:sz w:val="22"/>
                <w:szCs w:val="22"/>
              </w:rPr>
              <w:t xml:space="preserve"> (2.5%)</w:t>
            </w:r>
          </w:p>
        </w:tc>
      </w:tr>
      <w:tr w:rsidR="00380EDE" w:rsidRPr="00A97A6B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380EDE" w:rsidRPr="00A97A6B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380EDE" w:rsidRPr="00A97A6B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380EDE" w:rsidRPr="00A97A6B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44E831D9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28</w:t>
            </w:r>
            <w:r w:rsidR="009F715E">
              <w:rPr>
                <w:rFonts w:ascii="Arial" w:hAnsi="Arial" w:cs="Arial"/>
                <w:sz w:val="22"/>
                <w:szCs w:val="22"/>
              </w:rPr>
              <w:t xml:space="preserve"> (7.7%)</w:t>
            </w:r>
          </w:p>
        </w:tc>
        <w:tc>
          <w:tcPr>
            <w:tcW w:w="0" w:type="auto"/>
          </w:tcPr>
          <w:p w14:paraId="0D5AB11F" w14:textId="6B2FF067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6B49B76B" w14:textId="116ECD70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  <w:r w:rsidR="009F715E">
              <w:rPr>
                <w:rFonts w:ascii="Arial" w:hAnsi="Arial" w:cs="Arial"/>
                <w:sz w:val="22"/>
                <w:szCs w:val="22"/>
              </w:rPr>
              <w:t xml:space="preserve"> (1.9%)</w:t>
            </w:r>
          </w:p>
        </w:tc>
        <w:tc>
          <w:tcPr>
            <w:tcW w:w="0" w:type="auto"/>
          </w:tcPr>
          <w:p w14:paraId="060E76D1" w14:textId="06928409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</w:t>
            </w:r>
            <w:r w:rsidR="009F715E">
              <w:rPr>
                <w:rFonts w:ascii="Arial" w:hAnsi="Arial" w:cs="Arial"/>
                <w:sz w:val="22"/>
                <w:szCs w:val="22"/>
              </w:rPr>
              <w:t xml:space="preserve"> (3.0%)</w:t>
            </w:r>
          </w:p>
        </w:tc>
        <w:tc>
          <w:tcPr>
            <w:tcW w:w="0" w:type="auto"/>
          </w:tcPr>
          <w:p w14:paraId="73F0D59D" w14:textId="422BE49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</w:t>
            </w:r>
            <w:r w:rsidR="009F715E">
              <w:rPr>
                <w:rFonts w:ascii="Arial" w:hAnsi="Arial" w:cs="Arial"/>
                <w:sz w:val="22"/>
                <w:szCs w:val="22"/>
              </w:rPr>
              <w:t xml:space="preserve"> (2.7%)</w:t>
            </w:r>
          </w:p>
        </w:tc>
      </w:tr>
      <w:tr w:rsidR="00380EDE" w:rsidRPr="00A97A6B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15EBAE6F" w:rsidR="00A95D15" w:rsidRPr="00A97A6B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>Δ</w:t>
            </w:r>
            <w:r w:rsidR="00A95D15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PTH</w:t>
            </w:r>
          </w:p>
        </w:tc>
        <w:tc>
          <w:tcPr>
            <w:tcW w:w="0" w:type="auto"/>
          </w:tcPr>
          <w:p w14:paraId="2E9B3F1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380EDE" w:rsidRPr="00A97A6B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380EDE" w:rsidRPr="00A97A6B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380EDE" w:rsidRPr="00A97A6B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0381FBEC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47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(12.8%)</w:t>
            </w:r>
          </w:p>
        </w:tc>
        <w:tc>
          <w:tcPr>
            <w:tcW w:w="0" w:type="auto"/>
          </w:tcPr>
          <w:p w14:paraId="45B30706" w14:textId="1033D1E2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002150B8" w14:textId="67D02440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13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(3.6%)</w:t>
            </w:r>
          </w:p>
        </w:tc>
        <w:tc>
          <w:tcPr>
            <w:tcW w:w="0" w:type="auto"/>
          </w:tcPr>
          <w:p w14:paraId="192246AA" w14:textId="70A6972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15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(4.1%)</w:t>
            </w:r>
          </w:p>
        </w:tc>
        <w:tc>
          <w:tcPr>
            <w:tcW w:w="0" w:type="auto"/>
          </w:tcPr>
          <w:p w14:paraId="52FD947E" w14:textId="70EB6D3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19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(5.2%)</w:t>
            </w:r>
          </w:p>
        </w:tc>
      </w:tr>
      <w:tr w:rsidR="00380EDE" w:rsidRPr="00A97A6B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380EDE" w:rsidRPr="00A97A6B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380EDE" w:rsidRPr="00A97A6B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380EDE" w:rsidRPr="00A97A6B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4ED0CE2F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25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(6.8%)</w:t>
            </w:r>
          </w:p>
        </w:tc>
        <w:tc>
          <w:tcPr>
            <w:tcW w:w="0" w:type="auto"/>
          </w:tcPr>
          <w:p w14:paraId="2A3B71C8" w14:textId="5A1A4A46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4588DED2" w14:textId="01E7D594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0" w:type="auto"/>
          </w:tcPr>
          <w:p w14:paraId="2ED8FDF9" w14:textId="597D21A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(1.6%)</w:t>
            </w:r>
          </w:p>
        </w:tc>
        <w:tc>
          <w:tcPr>
            <w:tcW w:w="0" w:type="auto"/>
          </w:tcPr>
          <w:p w14:paraId="55941192" w14:textId="6F790F20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16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(4.4%)</w:t>
            </w:r>
          </w:p>
        </w:tc>
      </w:tr>
      <w:tr w:rsidR="00380EDE" w:rsidRPr="00A97A6B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723F4B3B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380EDE" w:rsidRPr="00A97A6B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380EDE" w:rsidRPr="00A97A6B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380EDE" w:rsidRPr="00A97A6B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1EA793E9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20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(5.5%)</w:t>
            </w:r>
          </w:p>
        </w:tc>
        <w:tc>
          <w:tcPr>
            <w:tcW w:w="0" w:type="auto"/>
          </w:tcPr>
          <w:p w14:paraId="4F9C4A50" w14:textId="5CAF3BF3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39DBB24F" w14:textId="256A3641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0" w:type="auto"/>
          </w:tcPr>
          <w:p w14:paraId="3C5452F9" w14:textId="536CA6AD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(1.6%)</w:t>
            </w:r>
          </w:p>
        </w:tc>
        <w:tc>
          <w:tcPr>
            <w:tcW w:w="0" w:type="auto"/>
          </w:tcPr>
          <w:p w14:paraId="09FFDEDF" w14:textId="19D10E0D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</w:t>
            </w:r>
            <w:r w:rsidR="00DA61C3">
              <w:rPr>
                <w:rFonts w:ascii="Arial" w:hAnsi="Arial" w:cs="Arial"/>
                <w:sz w:val="22"/>
                <w:szCs w:val="22"/>
              </w:rPr>
              <w:t xml:space="preserve"> (3.0%)</w:t>
            </w:r>
          </w:p>
        </w:tc>
      </w:tr>
      <w:tr w:rsidR="00380EDE" w:rsidRPr="00A97A6B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56FE7AF4" w:rsidR="00A95D15" w:rsidRPr="00A97A6B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as</w:t>
            </w:r>
            <w:r w:rsidR="00EF5889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line</w:t>
            </w:r>
          </w:p>
        </w:tc>
        <w:tc>
          <w:tcPr>
            <w:tcW w:w="0" w:type="auto"/>
          </w:tcPr>
          <w:p w14:paraId="3A6AC71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380EDE" w:rsidRPr="00A97A6B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380EDE" w:rsidRPr="00A97A6B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380EDE" w:rsidRPr="00A97A6B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lastRenderedPageBreak/>
              <w:t>   Missing</w:t>
            </w:r>
          </w:p>
        </w:tc>
        <w:tc>
          <w:tcPr>
            <w:tcW w:w="0" w:type="auto"/>
          </w:tcPr>
          <w:p w14:paraId="00A9DD5A" w14:textId="4B6AD164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27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(7.4%)</w:t>
            </w:r>
          </w:p>
        </w:tc>
        <w:tc>
          <w:tcPr>
            <w:tcW w:w="0" w:type="auto"/>
          </w:tcPr>
          <w:p w14:paraId="0F9D811E" w14:textId="4EDF8ADA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286F10F3" w14:textId="3635B298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0" w:type="auto"/>
          </w:tcPr>
          <w:p w14:paraId="47EA1055" w14:textId="1B287F20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(1.6%)</w:t>
            </w:r>
          </w:p>
        </w:tc>
        <w:tc>
          <w:tcPr>
            <w:tcW w:w="0" w:type="auto"/>
          </w:tcPr>
          <w:p w14:paraId="79816B19" w14:textId="31A3061C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18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(4.9%)</w:t>
            </w:r>
          </w:p>
        </w:tc>
      </w:tr>
      <w:tr w:rsidR="00380EDE" w:rsidRPr="00A97A6B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7A6B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380EDE" w:rsidRPr="00A97A6B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380EDE" w:rsidRPr="00A97A6B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58AE08CB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(2.5%)</w:t>
            </w:r>
          </w:p>
        </w:tc>
        <w:tc>
          <w:tcPr>
            <w:tcW w:w="0" w:type="auto"/>
          </w:tcPr>
          <w:p w14:paraId="6A2A5427" w14:textId="1EE08FF7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74EB5147" w14:textId="591B037A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029A0D54" w14:textId="6E4F09CD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(1.9%)</w:t>
            </w:r>
          </w:p>
        </w:tc>
        <w:tc>
          <w:tcPr>
            <w:tcW w:w="0" w:type="auto"/>
          </w:tcPr>
          <w:p w14:paraId="6AFDFECB" w14:textId="2D6AFA6F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</w:tr>
      <w:tr w:rsidR="00380EDE" w:rsidRPr="00A97A6B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0D7CDFD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0997876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380EDE" w:rsidRPr="00A97A6B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380EDE" w:rsidRPr="00A97A6B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380EDE" w:rsidRPr="00A97A6B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166496CF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14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(3.8%)</w:t>
            </w:r>
          </w:p>
        </w:tc>
        <w:tc>
          <w:tcPr>
            <w:tcW w:w="0" w:type="auto"/>
          </w:tcPr>
          <w:p w14:paraId="2B9A9946" w14:textId="23481AC5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(1.4%)</w:t>
            </w:r>
          </w:p>
        </w:tc>
        <w:tc>
          <w:tcPr>
            <w:tcW w:w="0" w:type="auto"/>
          </w:tcPr>
          <w:p w14:paraId="64F6E034" w14:textId="0C2B481A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6E04198F" w14:textId="4B36C781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(1.9%)</w:t>
            </w:r>
          </w:p>
        </w:tc>
        <w:tc>
          <w:tcPr>
            <w:tcW w:w="0" w:type="auto"/>
          </w:tcPr>
          <w:p w14:paraId="2E5567A7" w14:textId="74A7F13A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</w:tr>
      <w:tr w:rsidR="00380EDE" w:rsidRPr="00A97A6B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7A6B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7A6B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380EDE" w:rsidRPr="00A97A6B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380EDE" w:rsidRPr="00A97A6B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3B3EB7C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14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(3.8%)</w:t>
            </w:r>
          </w:p>
        </w:tc>
        <w:tc>
          <w:tcPr>
            <w:tcW w:w="0" w:type="auto"/>
          </w:tcPr>
          <w:p w14:paraId="1C885C82" w14:textId="345A5474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(1.4%)</w:t>
            </w:r>
          </w:p>
        </w:tc>
        <w:tc>
          <w:tcPr>
            <w:tcW w:w="0" w:type="auto"/>
          </w:tcPr>
          <w:p w14:paraId="3651B06F" w14:textId="55DF6D3D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76EA578E" w14:textId="7A9E82D8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(1.9%)</w:t>
            </w:r>
          </w:p>
        </w:tc>
        <w:tc>
          <w:tcPr>
            <w:tcW w:w="0" w:type="auto"/>
          </w:tcPr>
          <w:p w14:paraId="172DDC7F" w14:textId="129CD4BC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</w:t>
            </w:r>
            <w:r w:rsidR="005D1635"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</w:tr>
      <w:tr w:rsidR="00380EDE" w:rsidRPr="00A97A6B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1AA67F3B" w:rsidR="00A95D15" w:rsidRPr="00A97A6B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>ΔC</w:t>
            </w:r>
            <w:r w:rsidR="00DF370F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orrected calcium</w:t>
            </w:r>
          </w:p>
        </w:tc>
        <w:tc>
          <w:tcPr>
            <w:tcW w:w="0" w:type="auto"/>
          </w:tcPr>
          <w:p w14:paraId="60FA926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380EDE" w:rsidRPr="00A97A6B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380EDE" w:rsidRPr="00A97A6B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380EDE" w:rsidRPr="00A97A6B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4692C46C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33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(9.0%)</w:t>
            </w:r>
          </w:p>
        </w:tc>
        <w:tc>
          <w:tcPr>
            <w:tcW w:w="0" w:type="auto"/>
          </w:tcPr>
          <w:p w14:paraId="4C34ED2F" w14:textId="2B9E9C6A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(1.4%)</w:t>
            </w:r>
          </w:p>
        </w:tc>
        <w:tc>
          <w:tcPr>
            <w:tcW w:w="0" w:type="auto"/>
          </w:tcPr>
          <w:p w14:paraId="257BF5F9" w14:textId="72A4584D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0" w:type="auto"/>
          </w:tcPr>
          <w:p w14:paraId="1F981964" w14:textId="307F967E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(1.9%)</w:t>
            </w:r>
          </w:p>
        </w:tc>
        <w:tc>
          <w:tcPr>
            <w:tcW w:w="0" w:type="auto"/>
          </w:tcPr>
          <w:p w14:paraId="2912D331" w14:textId="2E6B7B1B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18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(4.9%)</w:t>
            </w:r>
          </w:p>
        </w:tc>
      </w:tr>
      <w:tr w:rsidR="00380EDE" w:rsidRPr="00A97A6B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5FED2617" w:rsidR="00A95D15" w:rsidRPr="00A97A6B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>ΔC</w:t>
            </w:r>
            <w:r w:rsidR="00DF370F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alcium</w:t>
            </w:r>
          </w:p>
        </w:tc>
        <w:tc>
          <w:tcPr>
            <w:tcW w:w="0" w:type="auto"/>
          </w:tcPr>
          <w:p w14:paraId="24522A8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380EDE" w:rsidRPr="00A97A6B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380EDE" w:rsidRPr="00A97A6B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380EDE" w:rsidRPr="00A97A6B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1A4A4004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26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(7.1%)</w:t>
            </w:r>
          </w:p>
        </w:tc>
        <w:tc>
          <w:tcPr>
            <w:tcW w:w="0" w:type="auto"/>
          </w:tcPr>
          <w:p w14:paraId="49CB4259" w14:textId="191FBDA9" w:rsidR="00A95D15" w:rsidRPr="00A97A6B" w:rsidRDefault="005D163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(0.0%)</w:t>
            </w:r>
          </w:p>
        </w:tc>
        <w:tc>
          <w:tcPr>
            <w:tcW w:w="0" w:type="auto"/>
          </w:tcPr>
          <w:p w14:paraId="15BD1F89" w14:textId="65155B0F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0" w:type="auto"/>
          </w:tcPr>
          <w:p w14:paraId="136F7E06" w14:textId="3C42D5EB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(1.9%)</w:t>
            </w:r>
          </w:p>
        </w:tc>
        <w:tc>
          <w:tcPr>
            <w:tcW w:w="0" w:type="auto"/>
          </w:tcPr>
          <w:p w14:paraId="374268F3" w14:textId="77BF36CB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16</w:t>
            </w:r>
            <w:r w:rsidR="004F410D">
              <w:rPr>
                <w:rFonts w:ascii="Arial" w:hAnsi="Arial" w:cs="Arial"/>
                <w:sz w:val="22"/>
                <w:szCs w:val="22"/>
              </w:rPr>
              <w:t xml:space="preserve"> (4.4%)</w:t>
            </w:r>
          </w:p>
        </w:tc>
      </w:tr>
      <w:tr w:rsidR="00380EDE" w:rsidRPr="00A97A6B" w14:paraId="6EE21107" w14:textId="77777777" w:rsidTr="00A95D15">
        <w:trPr>
          <w:trHeight w:val="113"/>
        </w:trPr>
        <w:tc>
          <w:tcPr>
            <w:tcW w:w="0" w:type="auto"/>
          </w:tcPr>
          <w:p w14:paraId="7C04B131" w14:textId="77777777" w:rsidR="00F77F2C" w:rsidRDefault="00F77F2C" w:rsidP="00F77F2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Median a</w:t>
            </w:r>
            <w:r w:rsidR="00A95D15" w:rsidRPr="00A97A6B">
              <w:rPr>
                <w:rFonts w:ascii="Arial" w:hAnsi="Arial" w:cs="Arial"/>
                <w:b/>
                <w:sz w:val="22"/>
                <w:szCs w:val="22"/>
              </w:rPr>
              <w:t>ge in years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582D488" w14:textId="04A9AAA8" w:rsidR="00A95D15" w:rsidRPr="00F77F2C" w:rsidRDefault="00A95D15" w:rsidP="00F77F2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(Q1, Q3)</w:t>
            </w:r>
          </w:p>
        </w:tc>
        <w:tc>
          <w:tcPr>
            <w:tcW w:w="0" w:type="auto"/>
          </w:tcPr>
          <w:p w14:paraId="612B133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380EDE" w:rsidRPr="00A97A6B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380EDE" w:rsidRPr="00A97A6B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7A6B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380EDE" w:rsidRPr="00A97A6B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7A6B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380EDE" w:rsidRPr="00A97A6B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5D1EB6B5" w:rsidR="00A95D15" w:rsidRPr="00A97A6B" w:rsidRDefault="00BD19E0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Para</w:t>
            </w:r>
            <w:r w:rsidR="000B0DB8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hyroid gland</w:t>
            </w:r>
            <w:r w:rsidR="00A95D15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not seen</w:t>
            </w:r>
            <w:r w:rsidR="00191551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A0CCE" w:rsidRPr="00A97A6B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191551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during surgery</w:t>
            </w:r>
          </w:p>
        </w:tc>
        <w:tc>
          <w:tcPr>
            <w:tcW w:w="0" w:type="auto"/>
          </w:tcPr>
          <w:p w14:paraId="731719D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C154D0" w:rsidRPr="00A97A6B" w14:paraId="7EBD3F67" w14:textId="77777777" w:rsidTr="00A95D15">
        <w:trPr>
          <w:trHeight w:val="113"/>
        </w:trPr>
        <w:tc>
          <w:tcPr>
            <w:tcW w:w="0" w:type="auto"/>
          </w:tcPr>
          <w:p w14:paraId="456177CD" w14:textId="52E8E3B6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   </w:t>
            </w:r>
            <w:r w:rsidRPr="00A97A6B">
              <w:rPr>
                <w:rFonts w:ascii="Arial" w:hAnsi="Arial" w:cs="Arial"/>
                <w:bCs/>
                <w:sz w:val="22"/>
                <w:szCs w:val="22"/>
              </w:rPr>
              <w:t>Missing</w:t>
            </w:r>
          </w:p>
        </w:tc>
        <w:tc>
          <w:tcPr>
            <w:tcW w:w="0" w:type="auto"/>
          </w:tcPr>
          <w:p w14:paraId="473DCB70" w14:textId="08669AD9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19 (5.2%)</w:t>
            </w:r>
          </w:p>
        </w:tc>
        <w:tc>
          <w:tcPr>
            <w:tcW w:w="0" w:type="auto"/>
          </w:tcPr>
          <w:p w14:paraId="28B26AF8" w14:textId="634F2CA1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FBE796B" w14:textId="6F70065C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 (3.6%)</w:t>
            </w:r>
          </w:p>
        </w:tc>
        <w:tc>
          <w:tcPr>
            <w:tcW w:w="0" w:type="auto"/>
          </w:tcPr>
          <w:p w14:paraId="2944E918" w14:textId="37B0EA83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 (8.6%)</w:t>
            </w:r>
          </w:p>
        </w:tc>
        <w:tc>
          <w:tcPr>
            <w:tcW w:w="0" w:type="auto"/>
          </w:tcPr>
          <w:p w14:paraId="53AF14C9" w14:textId="19217D6E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 (6.4%)</w:t>
            </w:r>
          </w:p>
        </w:tc>
      </w:tr>
      <w:tr w:rsidR="00C154D0" w:rsidRPr="00A97A6B" w14:paraId="28C79C1A" w14:textId="77777777" w:rsidTr="00C154D0">
        <w:trPr>
          <w:trHeight w:val="113"/>
        </w:trPr>
        <w:tc>
          <w:tcPr>
            <w:tcW w:w="0" w:type="auto"/>
          </w:tcPr>
          <w:p w14:paraId="2310DACA" w14:textId="4DA375B4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Central LND = “Yes”</w:t>
            </w:r>
          </w:p>
        </w:tc>
        <w:tc>
          <w:tcPr>
            <w:tcW w:w="0" w:type="auto"/>
          </w:tcPr>
          <w:p w14:paraId="58A6380B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</w:tcPr>
          <w:p w14:paraId="7BC0F4D4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</w:tcPr>
          <w:p w14:paraId="347D6C5E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</w:tcPr>
          <w:p w14:paraId="4AB315A9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</w:tcPr>
          <w:p w14:paraId="5352C11F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  <w:tr w:rsidR="00C154D0" w:rsidRPr="00A97A6B" w14:paraId="60433C5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6B2D769A" w14:textId="76CF8C5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bCs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</w:t>
            </w:r>
            <w:r w:rsidRPr="00A97A6B">
              <w:rPr>
                <w:rFonts w:ascii="Arial" w:hAnsi="Arial" w:cs="Arial"/>
                <w:bCs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2BE363" w14:textId="062C8089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 (1.9%)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BF271B" w14:textId="744BC210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4BFDFE" w14:textId="1960C5CB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 (1.8%)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5BC22E" w14:textId="3090B8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 (2.6%)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352E70" w14:textId="3B017E2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 (2.6%)</w:t>
            </w:r>
          </w:p>
        </w:tc>
      </w:tr>
    </w:tbl>
    <w:p w14:paraId="250B37C9" w14:textId="4B017911" w:rsidR="00921179" w:rsidRDefault="003A1AE4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>PTH,</w:t>
      </w:r>
      <w:r w:rsidR="001E2061">
        <w:rPr>
          <w:rFonts w:ascii="Arial" w:hAnsi="Arial" w:cs="Arial"/>
        </w:rPr>
        <w:t xml:space="preserve"> parathyroid hormone;</w:t>
      </w:r>
      <w:r w:rsidR="009D4541">
        <w:rPr>
          <w:rFonts w:ascii="Arial" w:hAnsi="Arial" w:cs="Arial"/>
        </w:rPr>
        <w:t xml:space="preserve"> </w:t>
      </w:r>
      <w:r w:rsidR="002E0FA2" w:rsidRPr="002E0FA2">
        <w:rPr>
          <w:rFonts w:ascii="Arial" w:eastAsiaTheme="minorEastAsia" w:hAnsi="Arial" w:cs="Arial"/>
        </w:rPr>
        <w:t>Δ</w:t>
      </w:r>
      <w:r>
        <w:rPr>
          <w:rFonts w:ascii="Arial" w:hAnsi="Arial" w:cs="Arial"/>
        </w:rPr>
        <w:t>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E0FA2" w:rsidRPr="002E0FA2">
        <w:rPr>
          <w:rFonts w:ascii="Arial" w:hAnsi="Arial" w:cs="Arial"/>
        </w:rPr>
        <w:t xml:space="preserve">(PTH </w:t>
      </w:r>
      <w:r w:rsidR="005B4881">
        <w:rPr>
          <w:rFonts w:ascii="Arial" w:hAnsi="Arial" w:cs="Arial"/>
        </w:rPr>
        <w:t xml:space="preserve">at baseline </w:t>
      </w:r>
      <w:r w:rsidR="002E0FA2" w:rsidRPr="002E0FA2">
        <w:rPr>
          <w:rFonts w:ascii="Arial" w:hAnsi="Arial" w:cs="Arial"/>
        </w:rPr>
        <w:t>- postoperative PTH after 2</w:t>
      </w:r>
      <w:r w:rsidR="00646837">
        <w:rPr>
          <w:rFonts w:ascii="Arial" w:hAnsi="Arial" w:cs="Arial"/>
        </w:rPr>
        <w:t>4 hours) /</w:t>
      </w:r>
      <w:r w:rsidR="001E792D">
        <w:rPr>
          <w:rFonts w:ascii="Arial" w:hAnsi="Arial" w:cs="Arial"/>
        </w:rPr>
        <w:t xml:space="preserve"> </w:t>
      </w:r>
      <w:r w:rsidR="00646837">
        <w:rPr>
          <w:rFonts w:ascii="Arial" w:hAnsi="Arial" w:cs="Arial"/>
        </w:rPr>
        <w:t>(P</w:t>
      </w:r>
      <w:r w:rsidR="002E0FA2">
        <w:rPr>
          <w:rFonts w:ascii="Arial" w:hAnsi="Arial" w:cs="Arial"/>
        </w:rPr>
        <w:t>TH</w:t>
      </w:r>
      <w:r w:rsidR="00646837">
        <w:rPr>
          <w:rFonts w:ascii="Arial" w:hAnsi="Arial" w:cs="Arial"/>
        </w:rPr>
        <w:t xml:space="preserve"> at baseline) </w:t>
      </w:r>
      <w:r w:rsidR="009307FD">
        <w:rPr>
          <w:rFonts w:ascii="Arial" w:hAnsi="Arial" w:cs="Arial"/>
        </w:rPr>
        <w:t>x</w:t>
      </w:r>
      <w:r w:rsidR="002E0FA2">
        <w:rPr>
          <w:rFonts w:ascii="Arial" w:hAnsi="Arial" w:cs="Arial"/>
        </w:rPr>
        <w:t xml:space="preserve"> 100%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770E06">
        <w:rPr>
          <w:rFonts w:ascii="Arial" w:hAnsi="Arial" w:cs="Arial"/>
        </w:rPr>
        <w:t>Corrected calcium,</w:t>
      </w:r>
      <w:r w:rsidR="00770E06" w:rsidRPr="00770E06">
        <w:t xml:space="preserve"> </w:t>
      </w:r>
      <w:r w:rsidR="00770E06" w:rsidRPr="00770E06">
        <w:rPr>
          <w:rFonts w:ascii="Arial" w:hAnsi="Arial" w:cs="Arial"/>
        </w:rPr>
        <w:t>meas</w:t>
      </w:r>
      <w:r w:rsidR="00646837">
        <w:rPr>
          <w:rFonts w:ascii="Arial" w:hAnsi="Arial" w:cs="Arial"/>
        </w:rPr>
        <w:t xml:space="preserve">ured calcium (mmol/L) + 0.016 </w:t>
      </w:r>
      <w:r w:rsidR="00C74CB2">
        <w:rPr>
          <w:rFonts w:ascii="Arial" w:hAnsi="Arial" w:cs="Arial"/>
        </w:rPr>
        <w:t>x</w:t>
      </w:r>
      <w:r w:rsidR="00646837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albumin (g/L))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EC205F" w:rsidRPr="00EC205F">
        <w:rPr>
          <w:rFonts w:ascii="Arial" w:eastAsiaTheme="minorEastAsia" w:hAnsi="Arial" w:cs="Arial"/>
        </w:rPr>
        <w:t>Δ</w:t>
      </w:r>
      <w:r w:rsidR="00EC205F">
        <w:rPr>
          <w:rFonts w:ascii="Arial" w:eastAsiaTheme="minorEastAsia" w:hAnsi="Arial" w:cs="Arial"/>
        </w:rPr>
        <w:t>Corrected calcium,</w:t>
      </w:r>
      <w:r w:rsidR="00E74E49">
        <w:rPr>
          <w:rFonts w:ascii="Arial" w:hAnsi="Arial" w:cs="Arial"/>
        </w:rPr>
        <w:t xml:space="preserve"> (</w:t>
      </w:r>
      <w:r w:rsidR="000B7D76">
        <w:rPr>
          <w:rFonts w:ascii="Arial" w:hAnsi="Arial" w:cs="Arial"/>
        </w:rPr>
        <w:t>c</w:t>
      </w:r>
      <w:r w:rsidR="00EC205F">
        <w:rPr>
          <w:rFonts w:ascii="Arial" w:hAnsi="Arial" w:cs="Arial"/>
        </w:rPr>
        <w:t xml:space="preserve">orrected calcium </w:t>
      </w:r>
      <w:r w:rsidR="00E74E49">
        <w:rPr>
          <w:rFonts w:ascii="Arial" w:hAnsi="Arial" w:cs="Arial"/>
        </w:rPr>
        <w:t xml:space="preserve"> at baseline – </w:t>
      </w:r>
      <w:r w:rsidR="00A2680E">
        <w:rPr>
          <w:rFonts w:ascii="Arial" w:hAnsi="Arial" w:cs="Arial"/>
        </w:rPr>
        <w:t>postoperative corrected calcium after</w:t>
      </w:r>
      <w:r w:rsidR="00E74E49">
        <w:rPr>
          <w:rFonts w:ascii="Arial" w:hAnsi="Arial" w:cs="Arial"/>
        </w:rPr>
        <w:t xml:space="preserve"> 24 hours)</w:t>
      </w:r>
      <w:r w:rsidR="00AA5951">
        <w:rPr>
          <w:rFonts w:ascii="Arial" w:hAnsi="Arial" w:cs="Arial"/>
        </w:rPr>
        <w:t xml:space="preserve"> </w:t>
      </w:r>
      <w:r w:rsidR="00E74E49">
        <w:rPr>
          <w:rFonts w:ascii="Arial" w:hAnsi="Arial" w:cs="Arial"/>
        </w:rPr>
        <w:t>/</w:t>
      </w:r>
      <w:r w:rsidR="00AA5951">
        <w:rPr>
          <w:rFonts w:ascii="Arial" w:hAnsi="Arial" w:cs="Arial"/>
        </w:rPr>
        <w:t xml:space="preserve"> </w:t>
      </w:r>
      <w:r w:rsidR="00E74E49">
        <w:rPr>
          <w:rFonts w:ascii="Arial" w:hAnsi="Arial" w:cs="Arial"/>
        </w:rPr>
        <w:t>(</w:t>
      </w:r>
      <w:r w:rsidR="00E06DE8">
        <w:rPr>
          <w:rFonts w:ascii="Arial" w:hAnsi="Arial" w:cs="Arial"/>
        </w:rPr>
        <w:t>corrected calcium</w:t>
      </w:r>
      <w:r w:rsidR="00646837">
        <w:rPr>
          <w:rFonts w:ascii="Arial" w:hAnsi="Arial" w:cs="Arial"/>
        </w:rPr>
        <w:t xml:space="preserve"> at baseline) </w:t>
      </w:r>
      <w:r w:rsidR="009307FD">
        <w:rPr>
          <w:rFonts w:ascii="Arial" w:hAnsi="Arial" w:cs="Arial"/>
        </w:rPr>
        <w:t>x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D05759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FB09D7" w:rsidRPr="00FB09D7">
        <w:rPr>
          <w:rFonts w:ascii="Arial" w:eastAsiaTheme="minorEastAsia" w:hAnsi="Arial" w:cs="Arial"/>
        </w:rPr>
        <w:t>ΔC</w:t>
      </w:r>
      <w:r w:rsidR="00E74E49">
        <w:rPr>
          <w:rFonts w:ascii="Arial" w:hAnsi="Arial" w:cs="Arial"/>
        </w:rPr>
        <w:t>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</w:t>
      </w:r>
      <w:r w:rsidR="00921179">
        <w:rPr>
          <w:rFonts w:ascii="Arial" w:hAnsi="Arial" w:cs="Arial"/>
        </w:rPr>
        <w:t>postoperative calcium after</w:t>
      </w:r>
      <w:r w:rsidR="00E74E49">
        <w:rPr>
          <w:rFonts w:ascii="Arial" w:hAnsi="Arial" w:cs="Arial"/>
        </w:rPr>
        <w:t xml:space="preserve"> </w:t>
      </w:r>
      <w:r w:rsidR="00646837">
        <w:rPr>
          <w:rFonts w:ascii="Arial" w:hAnsi="Arial" w:cs="Arial"/>
        </w:rPr>
        <w:t>24 hours)</w:t>
      </w:r>
      <w:r w:rsidR="00AA5951">
        <w:rPr>
          <w:rFonts w:ascii="Arial" w:hAnsi="Arial" w:cs="Arial"/>
        </w:rPr>
        <w:t xml:space="preserve"> </w:t>
      </w:r>
      <w:r w:rsidR="00646837">
        <w:rPr>
          <w:rFonts w:ascii="Arial" w:hAnsi="Arial" w:cs="Arial"/>
        </w:rPr>
        <w:t>/</w:t>
      </w:r>
      <w:r w:rsidR="00AA5951">
        <w:rPr>
          <w:rFonts w:ascii="Arial" w:hAnsi="Arial" w:cs="Arial"/>
        </w:rPr>
        <w:t xml:space="preserve"> </w:t>
      </w:r>
      <w:bookmarkStart w:id="0" w:name="_GoBack"/>
      <w:bookmarkEnd w:id="0"/>
      <w:r w:rsidR="00646837">
        <w:rPr>
          <w:rFonts w:ascii="Arial" w:hAnsi="Arial" w:cs="Arial"/>
        </w:rPr>
        <w:t xml:space="preserve">(calcium at baseline) </w:t>
      </w:r>
      <w:r w:rsidR="009307FD">
        <w:rPr>
          <w:rFonts w:ascii="Arial" w:hAnsi="Arial" w:cs="Arial"/>
        </w:rPr>
        <w:t>x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A665E3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1E2061">
        <w:rPr>
          <w:rFonts w:ascii="Arial" w:hAnsi="Arial" w:cs="Arial"/>
        </w:rPr>
        <w:t xml:space="preserve"> LND, lymph node dissection.</w:t>
      </w:r>
    </w:p>
    <w:p w14:paraId="29178635" w14:textId="1C61512D" w:rsidR="00921179" w:rsidRDefault="00921179" w:rsidP="00921179">
      <w:pPr>
        <w:tabs>
          <w:tab w:val="left" w:pos="25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193F20" w14:textId="1B97749C" w:rsidR="003A1AE4" w:rsidRPr="00921179" w:rsidRDefault="00921179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6FBCA62B" w14:textId="7C24ED69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D71524">
        <w:rPr>
          <w:rFonts w:ascii="Arial" w:hAnsi="Arial" w:cs="Arial"/>
          <w:b/>
        </w:rPr>
        <w:t>0.868</w:t>
      </w:r>
      <w:r>
        <w:rPr>
          <w:rFonts w:ascii="Arial" w:hAnsi="Arial" w:cs="Arial"/>
        </w:rPr>
        <w:t>.</w:t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  <w:r w:rsidR="00496A1B">
        <w:rPr>
          <w:rFonts w:ascii="Arial" w:hAnsi="Arial" w:cs="Arial"/>
        </w:rPr>
        <w:t xml:space="preserve"> The coefficients are averaged over the ten imputed data sets.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491"/>
        <w:gridCol w:w="1211"/>
        <w:gridCol w:w="491"/>
        <w:gridCol w:w="146"/>
        <w:gridCol w:w="491"/>
        <w:gridCol w:w="1041"/>
        <w:gridCol w:w="491"/>
        <w:gridCol w:w="146"/>
        <w:gridCol w:w="491"/>
        <w:gridCol w:w="1041"/>
        <w:gridCol w:w="491"/>
      </w:tblGrid>
      <w:tr w:rsidR="00B832CB" w:rsidRPr="00AC4B73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Simple model</w:t>
            </w:r>
          </w:p>
        </w:tc>
      </w:tr>
      <w:tr w:rsidR="008F5E18" w:rsidRPr="00AC4B73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95% </w:t>
            </w:r>
            <w:commentRangeStart w:id="1"/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CI</w:t>
            </w:r>
            <w:commentRangeEnd w:id="1"/>
            <w:r w:rsidR="009461AB" w:rsidRPr="00AC4B73">
              <w:rPr>
                <w:rStyle w:val="CommentReference"/>
                <w:rFonts w:ascii="Arial" w:hAnsi="Arial" w:cs="Arial"/>
                <w:sz w:val="18"/>
                <w:szCs w:val="18"/>
              </w:rPr>
              <w:commentReference w:id="1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</w:tr>
      <w:tr w:rsidR="00AC4B73" w:rsidRPr="00AC4B73" w14:paraId="3E0622C9" w14:textId="77777777" w:rsidTr="00B64430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3183B4E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77B3532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[1.80; 3.42]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39B28CE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2EE53614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[1.35; 2.51]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1B8E1EA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9453B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[0.00; 0.00]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</w:tr>
      <w:tr w:rsidR="00AC4B73" w:rsidRPr="00AC4B73" w14:paraId="7D8386D7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Theme="minorEastAsia" w:hAnsi="Arial" w:cs="Arial"/>
                <w:color w:val="000000"/>
                <w:sz w:val="18"/>
                <w:szCs w:val="18"/>
                <w:lang w:val="nl-NL" w:eastAsia="nl-NL"/>
              </w:rPr>
              <w:t>Δ</w:t>
            </w: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PTH</w:t>
            </w:r>
          </w:p>
          <w:p w14:paraId="0C715E1A" w14:textId="58E4E2B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6A3CF39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016303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[1.04;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0528E49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38D4B2D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4ED1239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39FD2DC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5E7603C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6228C03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7AFE64F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28.3</w:t>
            </w:r>
          </w:p>
        </w:tc>
      </w:tr>
      <w:tr w:rsidR="00AC4B73" w:rsidRPr="00AC4B73" w14:paraId="1B38FC15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09F932D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Corrected calcium at 24 hours</w:t>
            </w:r>
          </w:p>
          <w:p w14:paraId="55D7C852" w14:textId="014E465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(0.2 versus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5ACD82C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505E64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[1.13; 1.91]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0446870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7F21265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AAC60A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[1.11; 1.86]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7CAD5E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38D409F2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1597FBE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  <w:t>Parathyroid gland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DC240" w14:textId="24513DD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D789" w14:textId="4CDFABE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[1.46; 9.09]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64C9" w14:textId="7F9F45A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5277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621" w14:textId="570D946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EA2B" w14:textId="19C9516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[1.62; 9.37]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5DB8" w14:textId="5458B80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33D7B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3EC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EAE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951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45F49F68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Age in years</w:t>
            </w:r>
          </w:p>
          <w:p w14:paraId="742B63E7" w14:textId="6CBDBC2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6D1D89F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2D1A501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[0.62; 2.10]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3CF006B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E51957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0AE03F1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57E2148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3E809BB9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1FE0EB3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29584D2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[0.45; 2.01]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34B5685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6E99B2E3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387E6BC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3AB8F04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[0.44; 4.85]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1F36445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74ECC96A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66BA77C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Central LND 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25B41014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428FD59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[0.62; 2.85]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46AD431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3F4A0507" w14:textId="77777777" w:rsidTr="00AC4B73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perscript"/>
                <w:lang w:val="nl-NL" w:eastAsia="nl-NL"/>
              </w:rPr>
            </w:pPr>
            <w:r w:rsidRPr="00AC4B73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6A48A8D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257028B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[0.85;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AC4B73" w:rsidRPr="00AC4B73" w:rsidRDefault="00AC4B73" w:rsidP="00AC4B73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26BD646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059D266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[0.84;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AC4B73" w:rsidRPr="00AC4B73" w:rsidRDefault="00AC4B73" w:rsidP="00AC4B73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5EE3261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6CB9934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[0.81; 0.89]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</w:tbl>
    <w:p w14:paraId="15AFB74F" w14:textId="22EA95D3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>;</w:t>
      </w:r>
      <w:r w:rsidR="00F4651A">
        <w:rPr>
          <w:rFonts w:ascii="Arial" w:hAnsi="Arial" w:cs="Arial"/>
        </w:rPr>
        <w:t xml:space="preserve"> PTH, parathyroid hormone; </w:t>
      </w:r>
      <w:r w:rsidR="00F4651A" w:rsidRPr="002E0FA2">
        <w:rPr>
          <w:rFonts w:ascii="Arial" w:eastAsiaTheme="minorEastAsia" w:hAnsi="Arial" w:cs="Arial"/>
        </w:rPr>
        <w:t>Δ</w:t>
      </w:r>
      <w:r w:rsidR="00F4651A">
        <w:rPr>
          <w:rFonts w:ascii="Arial" w:hAnsi="Arial" w:cs="Arial"/>
        </w:rPr>
        <w:t xml:space="preserve">PTH, </w:t>
      </w:r>
      <w:r w:rsidR="00F4651A" w:rsidRPr="002E0FA2">
        <w:rPr>
          <w:rFonts w:ascii="Arial" w:hAnsi="Arial" w:cs="Arial"/>
        </w:rPr>
        <w:t xml:space="preserve">(PTH </w:t>
      </w:r>
      <w:r w:rsidR="00F4651A">
        <w:rPr>
          <w:rFonts w:ascii="Arial" w:hAnsi="Arial" w:cs="Arial"/>
        </w:rPr>
        <w:t xml:space="preserve">at baseline </w:t>
      </w:r>
      <w:r w:rsidR="00F4651A" w:rsidRPr="002E0FA2">
        <w:rPr>
          <w:rFonts w:ascii="Arial" w:hAnsi="Arial" w:cs="Arial"/>
        </w:rPr>
        <w:t>- postoperative PTH after 2</w:t>
      </w:r>
      <w:r w:rsidR="00F4651A">
        <w:rPr>
          <w:rFonts w:ascii="Arial" w:hAnsi="Arial" w:cs="Arial"/>
        </w:rPr>
        <w:t xml:space="preserve">4 hours) /(PTH at baseline) </w:t>
      </w:r>
      <w:r w:rsidR="009307FD">
        <w:rPr>
          <w:rFonts w:ascii="Arial" w:hAnsi="Arial" w:cs="Arial"/>
        </w:rPr>
        <w:t>x</w:t>
      </w:r>
      <w:r w:rsidR="00F4651A">
        <w:rPr>
          <w:rFonts w:ascii="Arial" w:hAnsi="Arial" w:cs="Arial"/>
        </w:rPr>
        <w:t xml:space="preserve"> 100%; Corrected calcium,</w:t>
      </w:r>
      <w:r w:rsidR="00F4651A" w:rsidRPr="00770E06">
        <w:t xml:space="preserve"> </w:t>
      </w:r>
      <w:r w:rsidR="00F4651A" w:rsidRPr="00770E06">
        <w:rPr>
          <w:rFonts w:ascii="Arial" w:hAnsi="Arial" w:cs="Arial"/>
        </w:rPr>
        <w:t>meas</w:t>
      </w:r>
      <w:r w:rsidR="00F4651A">
        <w:rPr>
          <w:rFonts w:ascii="Arial" w:hAnsi="Arial" w:cs="Arial"/>
        </w:rPr>
        <w:t xml:space="preserve">ured calcium (mmol/L) + 0.016 </w:t>
      </w:r>
      <w:r w:rsidR="00C74CB2">
        <w:rPr>
          <w:rFonts w:ascii="Arial" w:hAnsi="Arial" w:cs="Arial"/>
        </w:rPr>
        <w:t>x</w:t>
      </w:r>
      <w:r w:rsidR="00F4651A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albumin (g/L))</w:t>
      </w:r>
      <w:r w:rsidR="00F4651A">
        <w:rPr>
          <w:rFonts w:ascii="Arial" w:hAnsi="Arial" w:cs="Arial"/>
        </w:rPr>
        <w:t>; LND, lymph node dissection.</w:t>
      </w:r>
    </w:p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33CCC849" w14:textId="01C76A67" w:rsidR="002F1F9E" w:rsidRDefault="00D749C5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3</w:t>
      </w:r>
      <w:r w:rsidR="002F1F9E">
        <w:rPr>
          <w:rFonts w:ascii="Arial" w:hAnsi="Arial" w:cs="Arial"/>
          <w:b/>
        </w:rPr>
        <w:t>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2"/>
      <w:r w:rsidR="00FA1129">
        <w:rPr>
          <w:rFonts w:ascii="Arial" w:hAnsi="Arial" w:cs="Arial"/>
          <w:b/>
        </w:rPr>
        <w:t xml:space="preserve">all </w:t>
      </w:r>
      <w:commentRangeEnd w:id="2"/>
      <w:r w:rsidR="003D03AA">
        <w:rPr>
          <w:rStyle w:val="CommentReference"/>
        </w:rPr>
        <w:commentReference w:id="2"/>
      </w:r>
      <w:r w:rsidR="00FA1129">
        <w:rPr>
          <w:rFonts w:ascii="Arial" w:hAnsi="Arial" w:cs="Arial"/>
          <w:b/>
        </w:rPr>
        <w:t>patients</w:t>
      </w:r>
      <w:r w:rsidR="002F1F9E"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</w:t>
      </w:r>
      <w:r w:rsidR="004C07E5">
        <w:rPr>
          <w:rFonts w:ascii="Arial" w:hAnsi="Arial" w:cs="Arial"/>
        </w:rPr>
        <w:t>ten</w:t>
      </w:r>
      <w:r w:rsidR="006E78C1">
        <w:rPr>
          <w:rFonts w:ascii="Arial" w:hAnsi="Arial" w:cs="Arial"/>
        </w:rPr>
        <w:t xml:space="preserve">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3288607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  <w:r w:rsidR="00A5494B">
              <w:rPr>
                <w:rFonts w:ascii="Arial" w:hAnsi="Arial" w:cs="Arial"/>
              </w:rPr>
              <w:t xml:space="preserve"> (62.6%)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9F684DC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2ED89B9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A5494B">
              <w:rPr>
                <w:rFonts w:ascii="Arial" w:hAnsi="Arial" w:cs="Arial"/>
              </w:rPr>
              <w:t xml:space="preserve"> (20.2%)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55CE321B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A5494B">
              <w:rPr>
                <w:rFonts w:ascii="Arial" w:hAnsi="Arial" w:cs="Arial"/>
              </w:rPr>
              <w:t xml:space="preserve"> (17.2%)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4D7B34D3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</w:t>
            </w:r>
            <w:r w:rsidR="00691F4C">
              <w:rPr>
                <w:rFonts w:ascii="Arial" w:hAnsi="Arial" w:cs="Arial"/>
              </w:rPr>
              <w:t xml:space="preserve">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3A22959F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71DB2">
              <w:rPr>
                <w:rFonts w:ascii="Arial" w:hAnsi="Arial" w:cs="Arial"/>
              </w:rPr>
              <w:t>8 (90.7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20BDA6A7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71D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(7</w:t>
            </w:r>
            <w:r w:rsidR="00771DB2">
              <w:rPr>
                <w:rFonts w:ascii="Arial" w:hAnsi="Arial" w:cs="Arial"/>
              </w:rPr>
              <w:t>1.4</w:t>
            </w:r>
            <w:r>
              <w:rPr>
                <w:rFonts w:ascii="Arial" w:hAnsi="Arial" w:cs="Arial"/>
              </w:rPr>
              <w:t>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6C1C7BA4" w:rsidR="00691F4C" w:rsidRDefault="0071725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(9.3</w:t>
            </w:r>
            <w:r w:rsidR="00691F4C"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5B49FCFB" w:rsidR="00691F4C" w:rsidRDefault="0071725C" w:rsidP="007172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(28</w:t>
            </w:r>
            <w:r w:rsidR="00691F4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</w:t>
            </w:r>
            <w:r w:rsidR="00691F4C">
              <w:rPr>
                <w:rFonts w:ascii="Arial" w:hAnsi="Arial" w:cs="Arial"/>
              </w:rPr>
              <w:t>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938CED" w14:textId="77777777" w:rsidR="00AE021C" w:rsidRPr="003F5177" w:rsidRDefault="00AE021C" w:rsidP="00AE021C">
      <w:pPr>
        <w:rPr>
          <w:rFonts w:ascii="Arial" w:hAnsi="Arial" w:cs="Arial"/>
          <w:b/>
        </w:rPr>
      </w:pPr>
      <w:r w:rsidRPr="003F5177">
        <w:rPr>
          <w:rFonts w:ascii="Arial" w:hAnsi="Arial" w:cs="Arial"/>
          <w:b/>
        </w:rPr>
        <w:lastRenderedPageBreak/>
        <w:t>Figure 1. Patient enrollment process flowchart</w:t>
      </w:r>
    </w:p>
    <w:p w14:paraId="79922567" w14:textId="77777777" w:rsidR="00AE021C" w:rsidRDefault="00AE021C" w:rsidP="00AE021C">
      <w:pPr>
        <w:rPr>
          <w:rFonts w:ascii="Arial" w:hAnsi="Arial" w:cs="Arial"/>
          <w:b/>
        </w:rPr>
      </w:pPr>
      <w:commentRangeStart w:id="3"/>
      <w:r>
        <w:rPr>
          <w:noProof/>
          <w:lang w:val="nl-NL" w:eastAsia="nl-NL"/>
        </w:rPr>
        <w:drawing>
          <wp:inline distT="0" distB="0" distL="0" distR="0" wp14:anchorId="53E18866" wp14:editId="0E3AA5DF">
            <wp:extent cx="48768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76B1E14B" w14:textId="77777777" w:rsidR="00AE021C" w:rsidRDefault="00AE021C" w:rsidP="00AE02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7644A46F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Figure </w:t>
      </w:r>
      <w:r w:rsidR="0004429A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r w:rsidR="00F835ED">
        <w:rPr>
          <w:rFonts w:ascii="Arial" w:hAnsi="Arial" w:cs="Arial"/>
          <w:b/>
        </w:rPr>
        <w:t xml:space="preserve"> </w:t>
      </w:r>
      <w:commentRangeStart w:id="4"/>
      <w:r w:rsidR="00F835ED">
        <w:rPr>
          <w:rFonts w:ascii="Arial" w:hAnsi="Arial" w:cs="Arial"/>
          <w:b/>
        </w:rPr>
        <w:t xml:space="preserve">without </w:t>
      </w:r>
      <w:commentRangeEnd w:id="4"/>
      <w:r w:rsidR="00F835ED">
        <w:rPr>
          <w:rStyle w:val="CommentReference"/>
        </w:rPr>
        <w:commentReference w:id="4"/>
      </w:r>
      <w:r w:rsidR="00F835ED">
        <w:rPr>
          <w:rFonts w:ascii="Arial" w:hAnsi="Arial" w:cs="Arial"/>
          <w:b/>
        </w:rPr>
        <w:t>shrinkage on one single imputed data set</w:t>
      </w:r>
      <w:r>
        <w:rPr>
          <w:rFonts w:ascii="Arial" w:hAnsi="Arial" w:cs="Arial"/>
        </w:rPr>
        <w:t>.</w:t>
      </w:r>
    </w:p>
    <w:p w14:paraId="445A1050" w14:textId="73EEF352" w:rsidR="00B37F4B" w:rsidRDefault="00867622" w:rsidP="00C80640">
      <w:pPr>
        <w:spacing w:after="0"/>
        <w:rPr>
          <w:rFonts w:ascii="Arial" w:hAnsi="Arial" w:cs="Arial"/>
        </w:rPr>
      </w:pPr>
      <w:r w:rsidRPr="00867622">
        <w:rPr>
          <w:rFonts w:ascii="Arial" w:hAnsi="Arial" w:cs="Arial"/>
          <w:noProof/>
          <w:lang w:val="nl-NL" w:eastAsia="nl-NL"/>
        </w:rPr>
        <w:drawing>
          <wp:inline distT="0" distB="0" distL="0" distR="0" wp14:anchorId="1027C05F" wp14:editId="7380F0DD">
            <wp:extent cx="5762625" cy="5762625"/>
            <wp:effectExtent l="0" t="0" r="0" b="0"/>
            <wp:docPr id="2" name="Picture 2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520D83" w:rsidRDefault="0004429A" w:rsidP="000442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Figure 3</w:t>
      </w:r>
      <w:r w:rsidRPr="00520D83">
        <w:rPr>
          <w:rFonts w:ascii="Arial" w:hAnsi="Arial" w:cs="Arial"/>
          <w:b/>
        </w:rPr>
        <w:t>. 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1838DB" w14:paraId="149B3863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B0B9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1978B5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86E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1838DB" w14:paraId="0D234F4F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EEE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B0E672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56FEB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205.9</w:t>
            </w:r>
          </w:p>
        </w:tc>
      </w:tr>
      <w:tr w:rsidR="00877EFC" w:rsidRPr="001838DB" w14:paraId="100020EA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416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B26B1C6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EF815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200.7</w:t>
            </w:r>
          </w:p>
        </w:tc>
      </w:tr>
      <w:tr w:rsidR="00877EFC" w:rsidRPr="001838DB" w14:paraId="6805A007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B57F8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186AB052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AEA91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211.1</w:t>
            </w:r>
          </w:p>
        </w:tc>
      </w:tr>
      <w:tr w:rsidR="00877EFC" w:rsidRPr="001838DB" w14:paraId="08BE2454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92734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37C1B6A1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815EF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207.9</w:t>
            </w:r>
          </w:p>
        </w:tc>
      </w:tr>
      <w:tr w:rsidR="00877EFC" w:rsidRPr="001838DB" w14:paraId="7687D93A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46E54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50894EC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F0B78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186.7</w:t>
            </w:r>
          </w:p>
        </w:tc>
      </w:tr>
      <w:tr w:rsidR="00877EFC" w:rsidRPr="001838DB" w14:paraId="3DD411B7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56FB8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69BBC42D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1E67C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b/>
                <w:color w:val="000000"/>
                <w:lang w:val="nl-NL"/>
              </w:rPr>
              <w:t>182.7</w:t>
            </w:r>
          </w:p>
        </w:tc>
      </w:tr>
      <w:tr w:rsidR="00877EFC" w:rsidRPr="001838DB" w14:paraId="6DAEF99A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87E3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FCDAFB6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A9C67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190.4</w:t>
            </w:r>
          </w:p>
        </w:tc>
      </w:tr>
      <w:tr w:rsidR="00877EFC" w:rsidRPr="001838DB" w14:paraId="0A8BC2DB" w14:textId="77777777" w:rsidTr="00725017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F25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76D55A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E3C1BA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E248EF" w14:paraId="60642E4A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AEB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67063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53980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CA1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E248EF" w14:paraId="3D2983A7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29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628C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96E89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507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877EFC" w:rsidRPr="00E248EF" w14:paraId="50CCAFBB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C6DC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7DFBD8B5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41B5962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66D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877EFC" w:rsidRPr="00233FAA" w14:paraId="7E18783D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E808F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2B16CFCF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52EF438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EC7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33FAA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877EFC" w:rsidRPr="00E248EF" w14:paraId="6097873C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9B51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54353A2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904BB3E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018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877EFC" w:rsidRPr="00E248EF" w14:paraId="64A6D791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BF7E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1D2B42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2B564ECE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A5F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7A7B072B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8B355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5F4C60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0A5DE80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36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877EFC" w:rsidRPr="00E248EF" w14:paraId="63D071B4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F06A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D3E8B8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337BC4F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21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877EFC" w:rsidRPr="00E248EF" w14:paraId="65D45D72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6E3D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737F02E5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6A9F04F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E8F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877EFC" w:rsidRPr="00E248EF" w14:paraId="50D0F075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1D50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A2635A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6E40AEC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ABC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877EFC" w:rsidRPr="00E248EF" w14:paraId="2BB004DD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5A140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F2811E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F43BC4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F8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877EFC" w:rsidRPr="00E248EF" w14:paraId="2E8EA92D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7630F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086008F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6744053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FB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0C5D7AC8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CEEF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4F67C4AE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F1305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2702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877EFC" w:rsidRPr="00E248EF" w14:paraId="2B898A28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BF24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BCB047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676D4D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423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877EFC" w:rsidRPr="00E248EF" w14:paraId="749B683C" w14:textId="77777777" w:rsidTr="00725017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E74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5E12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9BCA5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73C0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877EFC" w14:paraId="3B7776FE" w14:textId="77777777" w:rsidTr="00725017">
        <w:tc>
          <w:tcPr>
            <w:tcW w:w="0" w:type="auto"/>
          </w:tcPr>
          <w:p w14:paraId="31AC5318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877EFC" w14:paraId="21448942" w14:textId="77777777" w:rsidTr="00725017">
        <w:tc>
          <w:tcPr>
            <w:tcW w:w="0" w:type="auto"/>
          </w:tcPr>
          <w:p w14:paraId="711CC124" w14:textId="77777777" w:rsidR="00877EFC" w:rsidRDefault="00877EFC" w:rsidP="00725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2A7E3B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399CE3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  <w:tr w:rsidR="00877EFC" w14:paraId="40E2D336" w14:textId="77777777" w:rsidTr="00725017">
        <w:tc>
          <w:tcPr>
            <w:tcW w:w="0" w:type="auto"/>
          </w:tcPr>
          <w:p w14:paraId="5D5265D1" w14:textId="77777777" w:rsidR="00877EFC" w:rsidRDefault="00877EFC" w:rsidP="00725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3D18EFA6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0AE7C4A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2023918A" w:rsidR="008F11BB" w:rsidRDefault="00CA1FFF" w:rsidP="00C80640">
      <w:pPr>
        <w:spacing w:after="0"/>
        <w:rPr>
          <w:rFonts w:ascii="Arial" w:eastAsiaTheme="minorEastAsia" w:hAnsi="Arial" w:cs="Arial"/>
          <w:b/>
        </w:rPr>
      </w:pPr>
      <w:r w:rsidRPr="00CA1FF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0605B8B" wp14:editId="4A75B167">
            <wp:extent cx="4572000" cy="4572000"/>
            <wp:effectExtent l="0" t="0" r="0" b="0"/>
            <wp:docPr id="3" name="Picture 3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1. Model performance of models uncorrected for optimism</w:t>
      </w:r>
      <w:r>
        <w:rPr>
          <w:rFonts w:ascii="Arial" w:hAnsi="Arial" w:cs="Arial"/>
        </w:rPr>
        <w:t>. The predicted probabilities were averaged over the ten imputed data sets. No shrinkage was applied to the models.</w:t>
      </w:r>
      <w:r w:rsidRPr="00085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782"/>
      </w:tblGrid>
      <w:tr w:rsidR="003D5BB5" w14:paraId="3FEDBB91" w14:textId="77777777" w:rsidTr="00725017">
        <w:tc>
          <w:tcPr>
            <w:tcW w:w="4811" w:type="dxa"/>
          </w:tcPr>
          <w:p w14:paraId="01A4F2D6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3D5BB5" w14:paraId="4A384FF2" w14:textId="77777777" w:rsidTr="00725017">
        <w:tc>
          <w:tcPr>
            <w:tcW w:w="4811" w:type="dxa"/>
          </w:tcPr>
          <w:p w14:paraId="1E4187FA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E7BE0FD" wp14:editId="11731478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6E4E8CF" wp14:editId="16C3FCEE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B5" w14:paraId="3B649EE7" w14:textId="77777777" w:rsidTr="00725017">
        <w:tc>
          <w:tcPr>
            <w:tcW w:w="4811" w:type="dxa"/>
          </w:tcPr>
          <w:p w14:paraId="6D5FC630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</w:p>
        </w:tc>
      </w:tr>
      <w:tr w:rsidR="003D5BB5" w14:paraId="03856A14" w14:textId="77777777" w:rsidTr="00725017">
        <w:tc>
          <w:tcPr>
            <w:tcW w:w="4811" w:type="dxa"/>
          </w:tcPr>
          <w:p w14:paraId="1E30CAA7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7CB04FC" wp14:editId="428B1F2C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6B57465B" w14:textId="77777777" w:rsidR="003D5BB5" w:rsidRDefault="003D5BB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6E37BCEA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commentRangeStart w:id="5"/>
      <w:r>
        <w:rPr>
          <w:rFonts w:ascii="Arial" w:eastAsiaTheme="minorEastAsia" w:hAnsi="Arial" w:cs="Arial"/>
          <w:b/>
        </w:rPr>
        <w:lastRenderedPageBreak/>
        <w:t>Functional form of full model</w:t>
      </w:r>
      <w:commentRangeEnd w:id="5"/>
      <w:r w:rsidR="001C0BDC">
        <w:rPr>
          <w:rStyle w:val="CommentReference"/>
        </w:rPr>
        <w:commentReference w:id="5"/>
      </w:r>
    </w:p>
    <w:p w14:paraId="35A9643B" w14:textId="6B6E83C4" w:rsidR="00875DFA" w:rsidRPr="00875DFA" w:rsidRDefault="00AA5951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⋅Cenral LND</m:t>
          </m:r>
        </m:oMath>
      </m:oMathPara>
    </w:p>
    <w:p w14:paraId="42A15238" w14:textId="56816BD6" w:rsidR="00D64740" w:rsidRDefault="00571790" w:rsidP="00D64740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D64740" w:rsidRPr="002E0FA2">
        <w:rPr>
          <w:rFonts w:ascii="Arial" w:eastAsiaTheme="minorEastAsia" w:hAnsi="Arial" w:cs="Arial"/>
        </w:rPr>
        <w:t>Δ</w:t>
      </w:r>
      <w:r w:rsidR="00D64740">
        <w:rPr>
          <w:rFonts w:ascii="Arial" w:hAnsi="Arial" w:cs="Arial"/>
        </w:rPr>
        <w:t xml:space="preserve">PTH, </w:t>
      </w:r>
      <w:r w:rsidR="00D64740" w:rsidRPr="002E0FA2">
        <w:rPr>
          <w:rFonts w:ascii="Arial" w:hAnsi="Arial" w:cs="Arial"/>
        </w:rPr>
        <w:t xml:space="preserve">(PTH </w:t>
      </w:r>
      <w:r w:rsidR="00D64740">
        <w:rPr>
          <w:rFonts w:ascii="Arial" w:hAnsi="Arial" w:cs="Arial"/>
        </w:rPr>
        <w:t xml:space="preserve">at baseline </w:t>
      </w:r>
      <w:r w:rsidR="00D64740" w:rsidRPr="002E0FA2">
        <w:rPr>
          <w:rFonts w:ascii="Arial" w:hAnsi="Arial" w:cs="Arial"/>
        </w:rPr>
        <w:t>- postoperative PTH after 2</w:t>
      </w:r>
      <w:r w:rsidR="00D64740">
        <w:rPr>
          <w:rFonts w:ascii="Arial" w:hAnsi="Arial" w:cs="Arial"/>
        </w:rPr>
        <w:t xml:space="preserve">4 hours) /(PTH at baseline) </w:t>
      </w:r>
      <w:r w:rsidR="009307FD">
        <w:rPr>
          <w:rFonts w:ascii="Arial" w:hAnsi="Arial" w:cs="Arial"/>
        </w:rPr>
        <w:t>x</w:t>
      </w:r>
      <w:r w:rsidR="00D64740">
        <w:rPr>
          <w:rFonts w:ascii="Arial" w:hAnsi="Arial" w:cs="Arial"/>
        </w:rPr>
        <w:t xml:space="preserve"> 100%; Corrected calcium,</w:t>
      </w:r>
      <w:r w:rsidR="00D64740" w:rsidRPr="00770E06">
        <w:t xml:space="preserve"> </w:t>
      </w:r>
      <w:r w:rsidR="00D64740" w:rsidRPr="00770E06">
        <w:rPr>
          <w:rFonts w:ascii="Arial" w:hAnsi="Arial" w:cs="Arial"/>
        </w:rPr>
        <w:t>meas</w:t>
      </w:r>
      <w:r w:rsidR="00D64740">
        <w:rPr>
          <w:rFonts w:ascii="Arial" w:hAnsi="Arial" w:cs="Arial"/>
        </w:rPr>
        <w:t xml:space="preserve">ured calcium (mmol/L) + 0.016 </w:t>
      </w:r>
      <w:r w:rsidR="00C74CB2">
        <w:rPr>
          <w:rFonts w:ascii="Arial" w:hAnsi="Arial" w:cs="Arial"/>
        </w:rPr>
        <w:t>x</w:t>
      </w:r>
      <w:r w:rsidR="00D64740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albumin (g/L))</w:t>
      </w:r>
      <w:r w:rsidR="00D64740">
        <w:rPr>
          <w:rFonts w:ascii="Arial" w:hAnsi="Arial" w:cs="Arial"/>
        </w:rPr>
        <w:t>; LND, lymph node dissection.</w:t>
      </w:r>
    </w:p>
    <w:p w14:paraId="44DBE307" w14:textId="77777777" w:rsidR="00D64740" w:rsidRDefault="00D64740" w:rsidP="000F23B7">
      <w:pPr>
        <w:spacing w:after="0"/>
        <w:rPr>
          <w:rFonts w:ascii="Arial" w:eastAsiaTheme="minorEastAsia" w:hAnsi="Arial" w:cs="Arial"/>
        </w:rPr>
      </w:pP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0F5994F" w:rsidR="00330BC2" w:rsidRPr="00330BC2" w:rsidRDefault="00AA5951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</m:oMath>
      </m:oMathPara>
    </w:p>
    <w:p w14:paraId="2BAF6BC6" w14:textId="0605490F" w:rsidR="00C453BC" w:rsidRDefault="00571790" w:rsidP="00C453BC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C453BC" w:rsidRPr="002E0FA2">
        <w:rPr>
          <w:rFonts w:ascii="Arial" w:eastAsiaTheme="minorEastAsia" w:hAnsi="Arial" w:cs="Arial"/>
        </w:rPr>
        <w:t>Δ</w:t>
      </w:r>
      <w:r w:rsidR="00C453BC">
        <w:rPr>
          <w:rFonts w:ascii="Arial" w:hAnsi="Arial" w:cs="Arial"/>
        </w:rPr>
        <w:t xml:space="preserve">PTH, </w:t>
      </w:r>
      <w:r w:rsidR="00C453BC" w:rsidRPr="002E0FA2">
        <w:rPr>
          <w:rFonts w:ascii="Arial" w:hAnsi="Arial" w:cs="Arial"/>
        </w:rPr>
        <w:t xml:space="preserve">(PTH </w:t>
      </w:r>
      <w:r w:rsidR="00C453BC">
        <w:rPr>
          <w:rFonts w:ascii="Arial" w:hAnsi="Arial" w:cs="Arial"/>
        </w:rPr>
        <w:t xml:space="preserve">at baseline </w:t>
      </w:r>
      <w:r w:rsidR="00C453BC" w:rsidRPr="002E0FA2">
        <w:rPr>
          <w:rFonts w:ascii="Arial" w:hAnsi="Arial" w:cs="Arial"/>
        </w:rPr>
        <w:t>- postoperative PTH after 2</w:t>
      </w:r>
      <w:r w:rsidR="00C453BC">
        <w:rPr>
          <w:rFonts w:ascii="Arial" w:hAnsi="Arial" w:cs="Arial"/>
        </w:rPr>
        <w:t xml:space="preserve">4 hours) /(PTH at baseline) </w:t>
      </w:r>
      <w:r w:rsidR="009307FD">
        <w:rPr>
          <w:rFonts w:ascii="Arial" w:hAnsi="Arial" w:cs="Arial"/>
        </w:rPr>
        <w:t>x</w:t>
      </w:r>
      <w:r w:rsidR="00C453BC">
        <w:rPr>
          <w:rFonts w:ascii="Arial" w:hAnsi="Arial" w:cs="Arial"/>
        </w:rPr>
        <w:t xml:space="preserve"> 100%; Corrected calcium,</w:t>
      </w:r>
      <w:r w:rsidR="00C453BC" w:rsidRPr="00770E06">
        <w:t xml:space="preserve"> </w:t>
      </w:r>
      <w:r w:rsidR="00C453BC" w:rsidRPr="00770E06">
        <w:rPr>
          <w:rFonts w:ascii="Arial" w:hAnsi="Arial" w:cs="Arial"/>
        </w:rPr>
        <w:t>meas</w:t>
      </w:r>
      <w:r w:rsidR="00C453BC">
        <w:rPr>
          <w:rFonts w:ascii="Arial" w:hAnsi="Arial" w:cs="Arial"/>
        </w:rPr>
        <w:t xml:space="preserve">ured calcium (mmol/L) + 0.016 </w:t>
      </w:r>
      <w:r w:rsidR="00C74CB2">
        <w:rPr>
          <w:rFonts w:ascii="Arial" w:hAnsi="Arial" w:cs="Arial"/>
        </w:rPr>
        <w:t>x</w:t>
      </w:r>
      <w:r w:rsidR="00C453BC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(34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-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albumin (g/L))</w:t>
      </w:r>
      <w:r w:rsidR="00C453BC">
        <w:rPr>
          <w:rFonts w:ascii="Arial" w:hAnsi="Arial" w:cs="Arial"/>
        </w:rPr>
        <w:t>; LND, lymph node dissection.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.H.M. Maas" w:date="2023-07-12T15:33:00Z" w:initials="CM">
    <w:p w14:paraId="1A8EFA12" w14:textId="1C3E95D2" w:rsidR="009461AB" w:rsidRDefault="009461AB">
      <w:pPr>
        <w:pStyle w:val="CommentText"/>
      </w:pPr>
      <w:r w:rsidRPr="006C5CA4">
        <w:rPr>
          <w:rStyle w:val="CommentReference"/>
          <w:highlight w:val="magenta"/>
        </w:rPr>
        <w:annotationRef/>
      </w:r>
      <w:r w:rsidR="0008541E">
        <w:rPr>
          <w:highlight w:val="magenta"/>
        </w:rPr>
        <w:t xml:space="preserve">@Caro: </w:t>
      </w:r>
      <w:r w:rsidRPr="006C5CA4">
        <w:rPr>
          <w:highlight w:val="magenta"/>
        </w:rPr>
        <w:t>CHECK CI</w:t>
      </w:r>
      <w:r w:rsidR="006C5CA4" w:rsidRPr="006C5CA4">
        <w:rPr>
          <w:highlight w:val="magenta"/>
        </w:rPr>
        <w:t xml:space="preserve"> of intercept</w:t>
      </w:r>
    </w:p>
  </w:comment>
  <w:comment w:id="2" w:author="C.H.M. Maas" w:date="2023-07-12T15:52:00Z" w:initials="CM">
    <w:p w14:paraId="47E3A6D2" w14:textId="3C74C572" w:rsidR="003D03AA" w:rsidRPr="00A46603" w:rsidRDefault="003D03AA">
      <w:pPr>
        <w:pStyle w:val="CommentText"/>
        <w:rPr>
          <w:lang w:val="nl-NL"/>
        </w:rPr>
      </w:pPr>
      <w:r w:rsidRPr="00076990">
        <w:rPr>
          <w:rStyle w:val="CommentReference"/>
          <w:highlight w:val="green"/>
        </w:rPr>
        <w:annotationRef/>
      </w:r>
      <w:r w:rsidR="00076990">
        <w:rPr>
          <w:highlight w:val="green"/>
          <w:lang w:val="nl-NL"/>
        </w:rPr>
        <w:t xml:space="preserve">@Sam: </w:t>
      </w:r>
      <w:r w:rsidRPr="00076990">
        <w:rPr>
          <w:highlight w:val="green"/>
          <w:lang w:val="nl-NL"/>
        </w:rPr>
        <w:t>Lijkt me geen goed idee om deze table alleen voor high risk te maken, de aantallen zijn al zo klein</w:t>
      </w:r>
    </w:p>
  </w:comment>
  <w:comment w:id="3" w:author="C.H.M. Maas [5]" w:date="2023-07-13T16:51:00Z" w:initials="CM">
    <w:p w14:paraId="33E4A325" w14:textId="77777777" w:rsidR="00AE021C" w:rsidRPr="003F5177" w:rsidRDefault="00AE021C" w:rsidP="00AE021C">
      <w:pPr>
        <w:pStyle w:val="CommentText"/>
        <w:rPr>
          <w:lang w:val="nl-NL"/>
        </w:rPr>
      </w:pPr>
      <w:r w:rsidRPr="003F5177">
        <w:rPr>
          <w:rStyle w:val="CommentReference"/>
          <w:highlight w:val="green"/>
        </w:rPr>
        <w:annotationRef/>
      </w:r>
      <w:r>
        <w:rPr>
          <w:highlight w:val="green"/>
          <w:lang w:val="nl-NL"/>
        </w:rPr>
        <w:t xml:space="preserve">@Sam: </w:t>
      </w:r>
      <w:r w:rsidRPr="003F5177">
        <w:rPr>
          <w:highlight w:val="green"/>
          <w:lang w:val="nl-NL"/>
        </w:rPr>
        <w:t>Hoezo 268 patiënten? Ik heb er 366?</w:t>
      </w:r>
    </w:p>
  </w:comment>
  <w:comment w:id="4" w:author="C.H.M. Maas [5]" w:date="2023-07-13T13:29:00Z" w:initials="CM">
    <w:p w14:paraId="43459B83" w14:textId="1E0EFF48" w:rsidR="00F835ED" w:rsidRPr="00C154D0" w:rsidRDefault="00F835ED">
      <w:pPr>
        <w:pStyle w:val="CommentText"/>
        <w:rPr>
          <w:lang w:val="nl-NL"/>
        </w:rPr>
      </w:pPr>
      <w:r w:rsidRPr="00F835ED">
        <w:rPr>
          <w:rStyle w:val="CommentReference"/>
          <w:highlight w:val="magenta"/>
        </w:rPr>
        <w:annotationRef/>
      </w:r>
      <w:r w:rsidR="009B248F" w:rsidRPr="00C154D0">
        <w:rPr>
          <w:highlight w:val="magenta"/>
          <w:lang w:val="nl-NL"/>
        </w:rPr>
        <w:t>@Caro: d</w:t>
      </w:r>
      <w:r w:rsidRPr="00C154D0">
        <w:rPr>
          <w:highlight w:val="magenta"/>
          <w:lang w:val="nl-NL"/>
        </w:rPr>
        <w:t>iscuss with David</w:t>
      </w:r>
    </w:p>
  </w:comment>
  <w:comment w:id="5" w:author="C.H.M. Maas [5]" w:date="2023-07-14T14:45:00Z" w:initials="CM">
    <w:p w14:paraId="1E07A466" w14:textId="5E080E89" w:rsidR="001C0BDC" w:rsidRPr="001C0BDC" w:rsidRDefault="001C0BDC">
      <w:pPr>
        <w:pStyle w:val="CommentText"/>
        <w:rPr>
          <w:lang w:val="nl-NL"/>
        </w:rPr>
      </w:pPr>
      <w:r w:rsidRPr="001C0BDC">
        <w:rPr>
          <w:rStyle w:val="CommentReference"/>
          <w:highlight w:val="green"/>
        </w:rPr>
        <w:annotationRef/>
      </w:r>
      <w:r w:rsidRPr="001C0BDC">
        <w:rPr>
          <w:highlight w:val="green"/>
          <w:lang w:val="nl-NL"/>
        </w:rPr>
        <w:t>@Sam: Hoe wil je dit gebruiken? In de tekst van het manuscript?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47E3A6D2" w15:done="0"/>
  <w15:commentEx w15:paraId="33E4A325" w15:done="0"/>
  <w15:commentEx w15:paraId="43459B83" w15:done="0"/>
  <w15:commentEx w15:paraId="1E07A4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5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7A8C"/>
    <w:rsid w:val="0029579C"/>
    <w:rsid w:val="002B3F86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70C87"/>
    <w:rsid w:val="004817F1"/>
    <w:rsid w:val="0049274F"/>
    <w:rsid w:val="00496A1B"/>
    <w:rsid w:val="004A1BDF"/>
    <w:rsid w:val="004A4FDD"/>
    <w:rsid w:val="004B2134"/>
    <w:rsid w:val="004C07E5"/>
    <w:rsid w:val="004E669E"/>
    <w:rsid w:val="004F2A66"/>
    <w:rsid w:val="004F410D"/>
    <w:rsid w:val="004F43D4"/>
    <w:rsid w:val="004F7EBB"/>
    <w:rsid w:val="00500AEE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70E69"/>
    <w:rsid w:val="00571790"/>
    <w:rsid w:val="0059060A"/>
    <w:rsid w:val="00591A0B"/>
    <w:rsid w:val="00597E89"/>
    <w:rsid w:val="005A22D0"/>
    <w:rsid w:val="005A5DB0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F5CC7"/>
    <w:rsid w:val="008178AD"/>
    <w:rsid w:val="00841645"/>
    <w:rsid w:val="008441D0"/>
    <w:rsid w:val="0085197D"/>
    <w:rsid w:val="00856B7B"/>
    <w:rsid w:val="00856BB6"/>
    <w:rsid w:val="00867622"/>
    <w:rsid w:val="00871F0E"/>
    <w:rsid w:val="00875DFA"/>
    <w:rsid w:val="00877E41"/>
    <w:rsid w:val="00877EFC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7F57"/>
    <w:rsid w:val="009B0EEA"/>
    <w:rsid w:val="009B248F"/>
    <w:rsid w:val="009D2949"/>
    <w:rsid w:val="009D4541"/>
    <w:rsid w:val="009E3B7E"/>
    <w:rsid w:val="009F02A0"/>
    <w:rsid w:val="009F3C31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833"/>
    <w:rsid w:val="00BA678E"/>
    <w:rsid w:val="00BA6CC6"/>
    <w:rsid w:val="00BC10D6"/>
    <w:rsid w:val="00BD19E0"/>
    <w:rsid w:val="00BD1F91"/>
    <w:rsid w:val="00BE2AD4"/>
    <w:rsid w:val="00BF11E9"/>
    <w:rsid w:val="00BF49A4"/>
    <w:rsid w:val="00C11893"/>
    <w:rsid w:val="00C154D0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67A8"/>
    <w:rsid w:val="00D23260"/>
    <w:rsid w:val="00D332A7"/>
    <w:rsid w:val="00D347D7"/>
    <w:rsid w:val="00D359F4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526D"/>
    <w:rsid w:val="00D908BC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22830"/>
    <w:rsid w:val="00E248EF"/>
    <w:rsid w:val="00E2576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2146B"/>
    <w:rsid w:val="00F31622"/>
    <w:rsid w:val="00F4099A"/>
    <w:rsid w:val="00F431FB"/>
    <w:rsid w:val="00F4651A"/>
    <w:rsid w:val="00F473FF"/>
    <w:rsid w:val="00F543AC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11</Pages>
  <Words>1542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Carolien Maas</cp:lastModifiedBy>
  <cp:revision>522</cp:revision>
  <dcterms:created xsi:type="dcterms:W3CDTF">2023-07-03T20:03:00Z</dcterms:created>
  <dcterms:modified xsi:type="dcterms:W3CDTF">2023-07-17T13:25:00Z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