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5d37ac28f6c42bd" /><Relationship Type="http://schemas.openxmlformats.org/package/2006/relationships/metadata/core-properties" Target="/docProps/core.xml" Id="R7b6f3f9c6f1643af" /><Relationship Type="http://schemas.openxmlformats.org/officeDocument/2006/relationships/extended-properties" Target="/docProps/app.xml" Id="Raaea991f70944ba0" /><Relationship Type="http://schemas.openxmlformats.org/officeDocument/2006/relationships/custom-properties" Target="/docProps/custom.xml" Id="Rd24ec5d7972f49f0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</w:pPr>
      <w:r>
        <w:rPr>
          <w:b/>
          <w:sz w:val="40"/>
        </w:rPr>
        <w:t xml:space="preserve">Q4 2026 Quarterly Review</w:t>
      </w:r>
    </w:p>
    <w:p w14:paraId="00100002" w14:textId="00100003">
      <w:pPr/>
      <w:r>
        <w:rPr>
          <w:sz w:val="22"/>
        </w:rPr>
        <w:t xml:space="preserve">Revenue grew 18% year-over-year, ahead of plan. Enterprise renewals and a new EMEA region drove the upside.</w:t>
      </w:r>
    </w:p>
    <w:p w14:paraId="00100004" w14:textId="00100005">
      <w:pPr>
        <w:pStyle w:val="Heading2"/>
      </w:pPr>
      <w:r>
        <w:rPr>
          <w:b/>
          <w:sz w:val="28"/>
        </w:rPr>
        <w:t xml:space="preserve">Key Drivers</w:t>
      </w:r>
    </w:p>
    <w:p w14:paraId="00100006" w14:textId="00100007">
      <w:pPr/>
      <w:r>
        <w:rPr>
          <w:sz w:val="22"/>
        </w:rPr>
        <w:t xml:space="preserve">• Enterprise renewals up 22%</w:t>
      </w:r>
    </w:p>
    <w:p w14:paraId="00100008" w14:textId="00100009">
      <w:pPr/>
      <w:r>
        <w:rPr>
          <w:sz w:val="22"/>
        </w:rPr>
        <w:t xml:space="preserve">• New EMEA region launched</w:t>
      </w:r>
    </w:p>
    <w:p w14:paraId="0010000A" w14:textId="0010000B">
      <w:pPr/>
      <w:r>
        <w:rPr>
          <w:sz w:val="22"/>
        </w:rPr>
        <w:t xml:space="preserve">• Upsell rate improved to 34%</w:t>
      </w:r>
    </w:p>
    <w:p w14:paraId="0010000C" w14:textId="0010000D">
      <w:pPr>
        <w:pStyle w:val="Heading2"/>
      </w:pPr>
      <w:r>
        <w:rPr>
          <w:b/>
          <w:sz w:val="28"/>
        </w:rPr>
        <w:t xml:space="preserve">Challenges</w:t>
      </w:r>
    </w:p>
    <w:p w14:paraId="0010000E" w14:textId="0010000F">
      <w:pPr/>
      <w:r>
        <w:rPr>
          <w:sz w:val="22"/>
        </w:rPr>
        <w:t xml:space="preserve">SMB churn ticked up to 4.2%, driven by price sensitivity. Mitigation plan in progress.</w:t>
      </w:r>
    </w:p>
    <w:sectPr>
      <w:footerReference w:type="default" r:id="R87f7f9c2f4aa43df"/>
      <w:pgSz w:w="11906" w:h="16838"/>
      <w:pgMar w:top="1440" w:right="1800" w:bottom="1440" w:left="1800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10" w14:textId="00100014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rPr/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c478ccab37f24ce3" /><Relationship Type="http://schemas.openxmlformats.org/officeDocument/2006/relationships/styles" Target="/word/styles.xml" Id="R0c5ba2f0edc34171" /><Relationship Type="http://schemas.openxmlformats.org/officeDocument/2006/relationships/theme" Target="/word/theme/theme1.xml" Id="Rd8aa1ab0694a4ce4" /><Relationship Type="http://schemas.openxmlformats.org/officeDocument/2006/relationships/numbering" Target="/word/numbering.xml" Id="Rb2448dc4c9e94736" /><Relationship Type="http://schemas.openxmlformats.org/officeDocument/2006/relationships/footer" Target="/word/footer1.xml" Id="R87f7f9c2f4aa43d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OfficeCLI/1.0.143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2026-07-29T08:55:59Z</dcterms:created>
  <cp:lastModifiedBy>OfficeCLI</cp:lastModifiedBy>
  <dcterms:modified xsi:type="dcterms:W3CDTF">2026-07-29T08:55:59Z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1.0.143</vt:lpwstr>
  </op:property>
  <op:property fmtid="{D5CDD505-2E9C-101B-9397-08002B2CF9AE}" pid="3" name="OfficeCLI.LastModified">
    <vt:lpwstr xmlns:vt="http://schemas.openxmlformats.org/officeDocument/2006/docPropsVTypes">2026-07-29T08:57:57Z</vt:lpwstr>
  </op:property>
</op:Properties>
</file>