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长泵能碳管理系统 (WorkAlong-NTPT) · 架构设计文档</w:t>
      </w:r>
    </w:p>
    <w:p>
      <w:r>
        <w:rPr>
          <w:b/>
          <w:sz w:val="18"/>
        </w:rPr>
        <w:t>企业能源与碳排放一体化管理平台 | 版本 v0.1.9 Beta | 联系：work200607@163.com</w:t>
      </w:r>
    </w:p>
    <w:p>
      <w:r>
        <w:rPr>
          <w:b w:val="0"/>
          <w:sz w:val="21"/>
        </w:rPr>
        <w:t>长沙水泵厂有限公司 内部部署使用。本文档描述系统总体架构、技术栈、数据模型与模块间数据关联设计。</w:t>
      </w:r>
    </w:p>
    <w:p>
      <w:pPr>
        <w:pStyle w:val="Heading1"/>
      </w:pPr>
      <w:r>
        <w:t>1. 引言</w:t>
      </w:r>
    </w:p>
    <w:p>
      <w:r>
        <w:rPr>
          <w:b w:val="0"/>
          <w:sz w:val="21"/>
        </w:rPr>
        <w:t>长泵能碳管理系统面向制造企业的能源与碳排放数字化管理，覆盖能源消费、能效测评、能流平衡、范围1/2/3碳核算、产品碳足迹、供应链碳管理、碳资产与配额、碳核算存证等全流程，并支持一键生成能流桑基图、按产量分摊产品碳足迹、预算实际值自动取数等联动能力，实现各业务模块数据与功能的闭环关联。</w:t>
      </w:r>
    </w:p>
    <w:p>
      <w:pPr>
        <w:pStyle w:val="ListBullet"/>
      </w:pPr>
      <w:r>
        <w:t>技术目标：一套平台打通能耗—碳排—产品—供应链—资产全链路数据</w:t>
      </w:r>
    </w:p>
    <w:p>
      <w:pPr>
        <w:pStyle w:val="ListBullet"/>
      </w:pPr>
      <w:r>
        <w:t>部署目标：Docker Compose 一行部署，支持 Linux / Windows / macOS</w:t>
      </w:r>
    </w:p>
    <w:p>
      <w:pPr>
        <w:pStyle w:val="ListBullet"/>
      </w:pPr>
      <w:r>
        <w:t>标准依据：GB/T 2589-2020 综合能耗计算、GB/T 32150 温室气体排放核算、ISO 14064/14067</w:t>
      </w:r>
    </w:p>
    <w:p>
      <w:pPr>
        <w:pStyle w:val="Heading1"/>
      </w:pPr>
      <w:r>
        <w:t>2. 总体架构（五横两纵）</w:t>
      </w:r>
    </w:p>
    <w:p>
      <w:r>
        <w:rPr>
          <w:b w:val="0"/>
          <w:sz w:val="21"/>
        </w:rPr>
        <w:t>系统采用「五横两纵」分层架构：</w:t>
      </w:r>
    </w:p>
    <w:p>
      <w:pPr>
        <w:pStyle w:val="ListBullet"/>
      </w:pPr>
      <w:r>
        <w:t>数据采集层：表计读数（电/天然气/水）、手工录入、生产数据</w:t>
      </w:r>
    </w:p>
    <w:p>
      <w:pPr>
        <w:pStyle w:val="ListBullet"/>
      </w:pPr>
      <w:r>
        <w:t>数据层：PostgreSQL 关系库，27 张核心表（能源/碳/日志）</w:t>
      </w:r>
    </w:p>
    <w:p>
      <w:pPr>
        <w:pStyle w:val="ListBullet"/>
      </w:pPr>
      <w:r>
        <w:t>平台层（后端）：FastAPI 提供 RESTful API，统一鉴权与响应封装</w:t>
      </w:r>
    </w:p>
    <w:p>
      <w:pPr>
        <w:pStyle w:val="ListBullet"/>
      </w:pPr>
      <w:r>
        <w:t>应用层（前端）：Vue3 + Element Plus + ECharts 业务页面</w:t>
      </w:r>
    </w:p>
    <w:p>
      <w:pPr>
        <w:pStyle w:val="ListBullet"/>
      </w:pPr>
      <w:r>
        <w:t>展示层：看板、数据大屏、报表导出</w:t>
      </w:r>
    </w:p>
    <w:p>
      <w:pPr>
        <w:pStyle w:val="ListBullet"/>
      </w:pPr>
      <w:r>
        <w:t>两纵：标准规范体系（折标煤/排放因子库）、信息安全与权限体系</w:t>
      </w:r>
    </w:p>
    <w:p>
      <w:pPr>
        <w:pStyle w:val="Heading1"/>
      </w:pPr>
      <w:r>
        <w:t>3.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技术选型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Vue 3 + Vite + Element Plus + Pinia + Vue Router + ECharts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FastAPI + SQLAlchemy + Pydantic + Uvicorn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PostgreSQL 15</w:t>
            </w:r>
          </w:p>
        </w:tc>
      </w:tr>
      <w:tr>
        <w:tc>
          <w:tcPr>
            <w:tcW w:type="dxa" w:w="4320"/>
          </w:tcPr>
          <w:p>
            <w:r>
              <w:t>部署</w:t>
            </w:r>
          </w:p>
        </w:tc>
        <w:tc>
          <w:tcPr>
            <w:tcW w:type="dxa" w:w="4320"/>
          </w:tcPr>
          <w:p>
            <w:r>
              <w:t>Docker / Docker Compose / Nginx 反向代理</w:t>
            </w:r>
          </w:p>
        </w:tc>
      </w:tr>
      <w:tr>
        <w:tc>
          <w:tcPr>
            <w:tcW w:type="dxa" w:w="4320"/>
          </w:tcPr>
          <w:p>
            <w:r>
              <w:t>标准库</w:t>
            </w:r>
          </w:p>
        </w:tc>
        <w:tc>
          <w:tcPr>
            <w:tcW w:type="dxa" w:w="4320"/>
          </w:tcPr>
          <w:p>
            <w:r>
              <w:t>energy_types / carbon_factors (折标煤系数、排放因子)</w:t>
            </w:r>
          </w:p>
        </w:tc>
      </w:tr>
    </w:tbl>
    <w:p>
      <w:pPr>
        <w:pStyle w:val="Heading1"/>
      </w:pPr>
      <w:r>
        <w:t>4. 数据模型（核心表）</w:t>
      </w:r>
    </w:p>
    <w:p>
      <w:r>
        <w:rPr>
          <w:b w:val="0"/>
          <w:sz w:val="21"/>
        </w:rPr>
        <w:t>能源：energy_types / energy_units / meters / meter_readings / manual_entries / production_data</w:t>
      </w:r>
    </w:p>
    <w:p>
      <w:r>
        <w:rPr>
          <w:b w:val="0"/>
          <w:sz w:val="21"/>
        </w:rPr>
        <w:t>能效：efficiency_indicators / efficiency_assessments</w:t>
      </w:r>
    </w:p>
    <w:p>
      <w:r>
        <w:rPr>
          <w:b w:val="0"/>
          <w:sz w:val="21"/>
        </w:rPr>
        <w:t>能流：energy_flow_nodes / energy_flow_links / energy_budgets / carbon_budgets</w:t>
      </w:r>
    </w:p>
    <w:p>
      <w:r>
        <w:rPr>
          <w:b w:val="0"/>
          <w:sz w:val="21"/>
        </w:rPr>
        <w:t>碳：carbon_factors / emission_sources / carbon_accounting / carbon_reports / product_footprints / suppliers / supplier_carbon_data / carbon_verifications / carbon_evidences / carbon_assets / quota_records</w:t>
      </w:r>
    </w:p>
    <w:p>
      <w:r>
        <w:rPr>
          <w:b w:val="0"/>
          <w:sz w:val="21"/>
        </w:rPr>
        <w:t>基础：users / organizations / products / system_configs / operation_logs</w:t>
      </w:r>
    </w:p>
    <w:p>
      <w:pPr>
        <w:pStyle w:val="Heading1"/>
      </w:pPr>
      <w:r>
        <w:t>5. 功能模块</w:t>
      </w:r>
    </w:p>
    <w:p>
      <w:pPr>
        <w:pStyle w:val="ListBullet"/>
      </w:pPr>
      <w:r>
        <w:t>能源消费：综合能耗、单元统计、计量查询、单元查询、能效统计、生产数据、录接数据</w:t>
      </w:r>
    </w:p>
    <w:p>
      <w:pPr>
        <w:pStyle w:val="ListBullet"/>
      </w:pPr>
      <w:r>
        <w:t>能源分析：计量对标、计量环比、单元对标、单元环比</w:t>
      </w:r>
    </w:p>
    <w:p>
      <w:pPr>
        <w:pStyle w:val="ListBullet"/>
      </w:pPr>
      <w:r>
        <w:t>能效测评：能效指标与单位能耗/偏差/等级测评</w:t>
      </w:r>
    </w:p>
    <w:p>
      <w:pPr>
        <w:pStyle w:val="ListBullet"/>
      </w:pPr>
      <w:r>
        <w:t>能流分析：能流桑基图（支持一键从能耗数据生成）、能效平衡</w:t>
      </w:r>
    </w:p>
    <w:p>
      <w:pPr>
        <w:pStyle w:val="ListBullet"/>
      </w:pPr>
      <w:r>
        <w:t>预算管理：用能预算、碳排放预算（支持一键从实际能耗/碳排同步）</w:t>
      </w:r>
    </w:p>
    <w:p>
      <w:pPr>
        <w:pStyle w:val="ListBullet"/>
      </w:pPr>
      <w:r>
        <w:t>碳排放：碳排放核算、碳排统计、碳排报告、产品碳足迹、供应链碳管理、碳核查支撑、碳核算存证、碳资产管理、配额管理</w:t>
      </w:r>
    </w:p>
    <w:p>
      <w:pPr>
        <w:pStyle w:val="ListBullet"/>
      </w:pPr>
      <w:r>
        <w:t>系统管理：企业信息、能源类型、用能单元、表计、产品、排放源、碳因子、操作日志</w:t>
      </w:r>
    </w:p>
    <w:p>
      <w:pPr>
        <w:pStyle w:val="ListBullet"/>
      </w:pPr>
      <w:r>
        <w:t>看板与大屏：首页看板（卡片可跳转模块）、数据大屏</w:t>
      </w:r>
    </w:p>
    <w:p>
      <w:pPr>
        <w:pStyle w:val="Heading1"/>
      </w:pPr>
      <w:r>
        <w:t>6. 模块间数据关联（核心设计）</w:t>
      </w:r>
    </w:p>
    <w:p>
      <w:r>
        <w:rPr>
          <w:b w:val="0"/>
          <w:sz w:val="21"/>
        </w:rPr>
        <w:t>系统各模块并非孤立 CRUD，而是通过统一数据底座形成闭环：</w:t>
      </w:r>
    </w:p>
    <w:p>
      <w:pPr>
        <w:pStyle w:val="ListBullet"/>
      </w:pPr>
      <w:r>
        <w:t>表计读数 / 手工录入 → 自动折算 费用 / 标准煤 / 碳排放，并驱动 综合能耗、单元统计、能源分析、看板</w:t>
      </w:r>
    </w:p>
    <w:p>
      <w:pPr>
        <w:pStyle w:val="ListBullet"/>
      </w:pPr>
      <w:r>
        <w:t>碳排放核算（范围1/2） + 供应链碳数据（范围3） → 统一并入 碳排统计、碳排报告、看板范围占比</w:t>
      </w:r>
    </w:p>
    <w:p>
      <w:pPr>
        <w:pStyle w:val="ListBullet"/>
      </w:pPr>
      <w:r>
        <w:t>碳核算总排放 × 生产数据(各产品产量) → 一键分摊生成 产品碳足迹(生产碳排)</w:t>
      </w:r>
    </w:p>
    <w:p>
      <w:pPr>
        <w:pStyle w:val="ListBullet"/>
      </w:pPr>
      <w:r>
        <w:t>表计读数 + 手工录入 → 用能预算「同步实际」自动取数；碳核算 + 供应链 → 碳排放预算「同步实际」取数</w:t>
      </w:r>
    </w:p>
    <w:p>
      <w:pPr>
        <w:pStyle w:val="ListBullet"/>
      </w:pPr>
      <w:r>
        <w:t>碳核算记录 → 碳核算存证（一键生成存证编号并标记「已存证」，防止重复存证）</w:t>
      </w:r>
    </w:p>
    <w:p>
      <w:pPr>
        <w:pStyle w:val="ListBullet"/>
      </w:pPr>
      <w:r>
        <w:t>碳核算/供应链实际排放 vs 碳资产(配额+CCER) → 碳排报告展示 盈余/缺口，支撑碳交易决策</w:t>
      </w:r>
    </w:p>
    <w:p>
      <w:pPr>
        <w:pStyle w:val="ListBullet"/>
      </w:pPr>
      <w:r>
        <w:t>看板核心指标卡片 → 点击跳转对应业务模块（碳排统计/综合能耗/生产数据等）</w:t>
      </w:r>
    </w:p>
    <w:p>
      <w:pPr>
        <w:pStyle w:val="Heading1"/>
      </w:pPr>
      <w:r>
        <w:t>7. 接口设计</w:t>
      </w:r>
    </w:p>
    <w:p>
      <w:r>
        <w:rPr>
          <w:b w:val="0"/>
          <w:sz w:val="21"/>
        </w:rPr>
        <w:t>后端统一前缀 /api，主要分组：/auth /system /energy /carbon /dashboard。鉴权采用 Bearer Token；响应统一 { code, message, data }；分页接口返回 { items, total }。</w:t>
      </w:r>
    </w:p>
    <w:p>
      <w:pPr>
        <w:pStyle w:val="ListBullet"/>
      </w:pPr>
      <w:r>
        <w:t>能源联动：GET /energy/budgets/actual 取真实能耗；POST /energy/flow-auto-build 一键生成能流</w:t>
      </w:r>
    </w:p>
    <w:p>
      <w:pPr>
        <w:pStyle w:val="ListBullet"/>
      </w:pPr>
      <w:r>
        <w:t>碳联动：GET /carbon/statistics(含范围3)、POST /carbon/footprints/auto-allocate(按产量分摊)、GET /carbon/supply-chain/summary、GET /carbon/budgets/actual、GET /carbon/assets/balance</w:t>
      </w:r>
    </w:p>
    <w:p>
      <w:pPr>
        <w:pStyle w:val="Heading1"/>
      </w:pPr>
      <w:r>
        <w:t>8. 非功能设计</w:t>
      </w:r>
    </w:p>
    <w:p>
      <w:pPr>
        <w:pStyle w:val="ListBullet"/>
      </w:pPr>
      <w:r>
        <w:t>性能：统计接口基于数据库聚合，年度数据秒级返回</w:t>
      </w:r>
    </w:p>
    <w:p>
      <w:pPr>
        <w:pStyle w:val="ListBullet"/>
      </w:pPr>
      <w:r>
        <w:t>安全：Token 鉴权、操作日志审计、生产环境需替换 SECRET_KEY 与数据库密码</w:t>
      </w:r>
    </w:p>
    <w:p>
      <w:pPr>
        <w:pStyle w:val="ListBullet"/>
      </w:pPr>
      <w:r>
        <w:t>可部署：Docker 镜像化，与宿主机端口解耦（容器间内部网络通信）</w:t>
      </w:r>
    </w:p>
    <w:p>
      <w:pPr>
        <w:pStyle w:val="Heading1"/>
      </w:pPr>
      <w:r>
        <w:t>9. 部署</w:t>
      </w:r>
    </w:p>
    <w:p>
      <w:r>
        <w:rPr>
          <w:b w:val="0"/>
          <w:sz w:val="21"/>
        </w:rPr>
        <w:t>git clone https://github.com/CHNMRLiu/WorkAlong-NTPT.git &amp;&amp; cd WorkAlong-NTPT &amp;&amp; docker compose up -d --build</w:t>
      </w:r>
    </w:p>
    <w:p>
      <w:r>
        <w:rPr>
          <w:b w:val="0"/>
          <w:sz w:val="21"/>
        </w:rPr>
        <w:t>Web: http://localhost  API: http://localhost:8000/docs  默认账号 admin / admin123</w:t>
      </w:r>
    </w:p>
    <w:p>
      <w:pPr>
        <w:pStyle w:val="Heading1"/>
      </w:pPr>
      <w:r>
        <w:t>10. 版本与联系</w:t>
      </w:r>
    </w:p>
    <w:p>
      <w:r>
        <w:rPr>
          <w:b w:val="0"/>
          <w:sz w:val="21"/>
        </w:rPr>
        <w:t>当前版本 v0.1.9 Beta，所有规划模块均已实现并打通数据关联。</w:t>
      </w:r>
    </w:p>
    <w:p>
      <w:r>
        <w:rPr>
          <w:b w:val="0"/>
          <w:sz w:val="21"/>
        </w:rPr>
        <w:t>定制与联系：📫 work200607@163.com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