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1F2D5C"/>
          <w:sz w:val="56"/>
        </w:rPr>
        <w:t>ELSA Depression Prediction</w:t>
      </w:r>
    </w:p>
    <w:p>
      <w:pPr>
        <w:spacing w:after="40"/>
      </w:pPr>
      <w:r>
        <w:rPr>
          <w:rFonts w:ascii="Calibri" w:hAnsi="Calibri"/>
          <w:i/>
          <w:color w:val="186F82"/>
          <w:sz w:val="26"/>
        </w:rPr>
        <w:t>Early prediction from 4 years out using ELSA longitudinal data</w:t>
      </w:r>
    </w:p>
    <w:p>
      <w:pPr>
        <w:spacing w:after="40"/>
      </w:pPr>
      <w:r>
        <w:rPr>
          <w:color w:val="555C66"/>
          <w:sz w:val="22"/>
        </w:rPr>
        <w:t>AI and Healthcare — University of Surrey, MSc Artificial Intelligence (2025/26)</w:t>
      </w:r>
    </w:p>
    <w:p>
      <w:pPr>
        <w:spacing w:after="40"/>
      </w:pPr>
      <w:r>
        <w:rPr>
          <w:color w:val="555C66"/>
          <w:sz w:val="21"/>
        </w:rPr>
        <w:t>Akeeb Lawel  •  Fiyin Akano  •  Zannat Chowdhury Sagar  •  Giridhar Nampally  •  Pushkar Jadav  •  Poorna Golla</w:t>
      </w:r>
    </w:p>
    <w:p>
      <w:pPr>
        <w:spacing w:before="120" w:after="120"/>
        <w:pBdr>
          <w:bottom w:val="single" w:sz="6" w:space="1" w:color="AAAAAA"/>
        </w:pBdr>
      </w:pPr>
    </w:p>
    <w:p>
      <w:pPr>
        <w:spacing w:after="120" w:line="300" w:lineRule="auto"/>
      </w:pPr>
      <w:r>
        <w:rPr>
          <w:rFonts w:ascii="Calibri" w:hAnsi="Calibri"/>
          <w:b/>
          <w:color w:val="222632"/>
          <w:sz w:val="22"/>
        </w:rPr>
        <w:t>Module:</w:t>
      </w:r>
      <w:r>
        <w:rPr>
          <w:rFonts w:ascii="Calibri" w:hAnsi="Calibri"/>
          <w:color w:val="222632"/>
          <w:sz w:val="22"/>
        </w:rPr>
        <w:t xml:space="preserve"> AI and Healthcare — University of Surrey, MSc Artificial Intelligence (2025/26) </w:t>
      </w:r>
      <w:r>
        <w:rPr>
          <w:rFonts w:ascii="Calibri" w:hAnsi="Calibri"/>
          <w:b/>
          <w:color w:val="222632"/>
          <w:sz w:val="22"/>
        </w:rPr>
        <w:t>Team:</w:t>
      </w:r>
      <w:r>
        <w:rPr>
          <w:rFonts w:ascii="Calibri" w:hAnsi="Calibri"/>
          <w:color w:val="222632"/>
          <w:sz w:val="22"/>
        </w:rPr>
        <w:t xml:space="preserve"> Akeeb Lawel, Fiyin Akano, Zannat Chowdhury Sagar, Giridhar Nampally, Pushkar Jadav, Poorna Golla </w:t>
      </w:r>
      <w:r>
        <w:rPr>
          <w:rFonts w:ascii="Calibri" w:hAnsi="Calibri"/>
          <w:b/>
          <w:color w:val="222632"/>
          <w:sz w:val="22"/>
        </w:rPr>
        <w:t>Dataset:</w:t>
      </w:r>
      <w:r>
        <w:rPr>
          <w:rFonts w:ascii="Calibri" w:hAnsi="Calibri"/>
          <w:color w:val="222632"/>
          <w:sz w:val="22"/>
        </w:rPr>
        <w:t xml:space="preserve"> English Longitudinal Study of Ageing (ELSA), UK Data Service Study 5050 </w:t>
      </w:r>
      <w:r>
        <w:rPr>
          <w:rFonts w:ascii="Calibri" w:hAnsi="Calibri"/>
          <w:b/>
          <w:color w:val="222632"/>
          <w:sz w:val="22"/>
        </w:rPr>
        <w:t>Date:</w:t>
      </w:r>
      <w:r>
        <w:rPr>
          <w:rFonts w:ascii="Calibri" w:hAnsi="Calibri"/>
          <w:color w:val="222632"/>
          <w:sz w:val="22"/>
        </w:rPr>
        <w:t xml:space="preserve"> May 2026</w:t>
      </w:r>
    </w:p>
    <w:p>
      <w:pPr>
        <w:spacing w:before="120" w:after="120"/>
        <w:pBdr>
          <w:bottom w:val="single" w:sz="6" w:space="1" w:color="AAAAAA"/>
        </w:pBdr>
      </w:pPr>
    </w:p>
    <w:p>
      <w:pPr>
        <w:keepNext/>
        <w:spacing w:before="240" w:after="120"/>
      </w:pPr>
      <w:r>
        <w:rPr>
          <w:rFonts w:ascii="Calibri" w:hAnsi="Calibri"/>
          <w:b/>
          <w:color w:val="1F2D5C"/>
          <w:sz w:val="32"/>
        </w:rPr>
        <w:t>Executive Summary</w:t>
      </w:r>
    </w:p>
    <w:p>
      <w:pPr>
        <w:spacing w:after="120" w:line="300" w:lineRule="auto"/>
      </w:pPr>
      <w:r>
        <w:rPr>
          <w:rFonts w:ascii="Calibri" w:hAnsi="Calibri"/>
          <w:color w:val="222632"/>
          <w:sz w:val="22"/>
        </w:rPr>
        <w:t xml:space="preserve">We built machine learning models that predict whether an English adult aged 50 or over will show clinically significant depressive symptoms 2 to 4 years from now, using only their answers to a routine social and health survey today. The best model — a tuned Random Forest combining Wave 6 and Wave 7 ELSA data — achieves an ROC-AUC of </w:t>
      </w:r>
      <w:r>
        <w:rPr>
          <w:rFonts w:ascii="Calibri" w:hAnsi="Calibri"/>
          <w:b/>
          <w:color w:val="222632"/>
          <w:sz w:val="22"/>
        </w:rPr>
        <w:t>0.848</w:t>
      </w:r>
      <w:r>
        <w:rPr>
          <w:rFonts w:ascii="Calibri" w:hAnsi="Calibri"/>
          <w:color w:val="222632"/>
          <w:sz w:val="22"/>
        </w:rPr>
        <w:t xml:space="preserve">, an F1 score of </w:t>
      </w:r>
      <w:r>
        <w:rPr>
          <w:rFonts w:ascii="Calibri" w:hAnsi="Calibri"/>
          <w:b/>
          <w:color w:val="222632"/>
          <w:sz w:val="22"/>
        </w:rPr>
        <w:t>0.582</w:t>
      </w:r>
      <w:r>
        <w:rPr>
          <w:rFonts w:ascii="Calibri" w:hAnsi="Calibri"/>
          <w:color w:val="222632"/>
          <w:sz w:val="22"/>
        </w:rPr>
        <w:t xml:space="preserve"> for the depressed class, and correctly identifies </w:t>
      </w:r>
      <w:r>
        <w:rPr>
          <w:rFonts w:ascii="Calibri" w:hAnsi="Calibri"/>
          <w:b/>
          <w:color w:val="222632"/>
          <w:sz w:val="22"/>
        </w:rPr>
        <w:t>71%</w:t>
      </w:r>
      <w:r>
        <w:rPr>
          <w:rFonts w:ascii="Calibri" w:hAnsi="Calibri"/>
          <w:color w:val="222632"/>
          <w:sz w:val="22"/>
        </w:rPr>
        <w:t xml:space="preserve"> of all future depression cases on data it has never seen. Even when prior depression history is removed, the model still achieves an AUC of </w:t>
      </w:r>
      <w:r>
        <w:rPr>
          <w:rFonts w:ascii="Calibri" w:hAnsi="Calibri"/>
          <w:b/>
          <w:color w:val="222632"/>
          <w:sz w:val="22"/>
        </w:rPr>
        <w:t>0.773</w:t>
      </w:r>
      <w:r>
        <w:rPr>
          <w:rFonts w:ascii="Calibri" w:hAnsi="Calibri"/>
          <w:color w:val="222632"/>
          <w:sz w:val="22"/>
        </w:rPr>
        <w:t xml:space="preserve"> using only physical health, mobility, social, and economic features — confirming that depression risk is detectable from non-mental-health indicators alone. The pipeline is reproducible end-to-end in a single Colab notebook.</w:t>
      </w:r>
    </w:p>
    <w:p>
      <w:pPr>
        <w:spacing w:before="120" w:after="120"/>
        <w:pBdr>
          <w:bottom w:val="single" w:sz="6" w:space="1" w:color="AAAAAA"/>
        </w:pBdr>
      </w:pPr>
    </w:p>
    <w:p>
      <w:pPr>
        <w:keepNext/>
        <w:spacing w:before="240" w:after="120"/>
      </w:pPr>
      <w:r>
        <w:rPr>
          <w:rFonts w:ascii="Calibri" w:hAnsi="Calibri"/>
          <w:b/>
          <w:color w:val="1F2D5C"/>
          <w:sz w:val="32"/>
        </w:rPr>
        <w:t>1. The Coursework Brief</w:t>
      </w:r>
    </w:p>
    <w:p>
      <w:pPr>
        <w:spacing w:after="120" w:line="300" w:lineRule="auto"/>
      </w:pPr>
      <w:r>
        <w:rPr>
          <w:rFonts w:ascii="Calibri" w:hAnsi="Calibri"/>
          <w:color w:val="222632"/>
          <w:sz w:val="22"/>
        </w:rPr>
        <w:t>The module assignment asked us to:</w:t>
      </w:r>
    </w:p>
    <w:p>
      <w:pPr>
        <w:pStyle w:val="ListBullet"/>
        <w:spacing w:after="40" w:line="288" w:lineRule="auto"/>
      </w:pPr>
      <w:r>
        <w:rPr>
          <w:rFonts w:ascii="Calibri" w:hAnsi="Calibri"/>
          <w:color w:val="222632"/>
          <w:sz w:val="22"/>
        </w:rPr>
        <w:t xml:space="preserve">Build a machine learning algorithm that uses ELSA data to predict mental health outcomes (depression, anxiety) </w:t>
      </w:r>
      <w:r>
        <w:rPr>
          <w:rFonts w:ascii="Calibri" w:hAnsi="Calibri"/>
          <w:b/>
          <w:color w:val="222632"/>
          <w:sz w:val="22"/>
        </w:rPr>
        <w:t>or</w:t>
      </w:r>
      <w:r>
        <w:rPr>
          <w:rFonts w:ascii="Calibri" w:hAnsi="Calibri"/>
          <w:color w:val="222632"/>
          <w:sz w:val="22"/>
        </w:rPr>
        <w:t xml:space="preserve"> to represent the temporal changes that lead to mental health issues.</w:t>
      </w:r>
    </w:p>
    <w:p>
      <w:pPr>
        <w:pStyle w:val="ListBullet"/>
        <w:spacing w:after="40" w:line="288" w:lineRule="auto"/>
      </w:pPr>
      <w:r>
        <w:rPr>
          <w:rFonts w:ascii="Calibri" w:hAnsi="Calibri"/>
          <w:color w:val="222632"/>
          <w:sz w:val="22"/>
        </w:rPr>
        <w:t>Present the work as a 10-minute PowerPoint in Week 11.</w:t>
      </w:r>
    </w:p>
    <w:p>
      <w:pPr>
        <w:pStyle w:val="ListBullet"/>
        <w:spacing w:after="40" w:line="288" w:lineRule="auto"/>
      </w:pPr>
      <w:r>
        <w:rPr>
          <w:rFonts w:ascii="Calibri" w:hAnsi="Calibri"/>
          <w:color w:val="222632"/>
          <w:sz w:val="22"/>
        </w:rPr>
        <w:t>Submit code with a runnable README, presentation slides, meeting minutes, and a team contributions document.</w:t>
      </w:r>
    </w:p>
    <w:p>
      <w:pPr>
        <w:spacing w:after="120" w:line="300" w:lineRule="auto"/>
      </w:pPr>
      <w:r>
        <w:rPr>
          <w:rFonts w:ascii="Calibri" w:hAnsi="Calibri"/>
          <w:color w:val="222632"/>
          <w:sz w:val="22"/>
        </w:rPr>
        <w:t>The marking criteria emphasise clarity of presentation, background description, the data analysis pipeline, results representation, limitations, and slides.</w:t>
      </w:r>
    </w:p>
    <w:p>
      <w:pPr>
        <w:spacing w:after="120" w:line="300" w:lineRule="auto"/>
      </w:pPr>
      <w:r>
        <w:rPr>
          <w:rFonts w:ascii="Calibri" w:hAnsi="Calibri"/>
          <w:color w:val="222632"/>
          <w:sz w:val="22"/>
        </w:rPr>
        <w:t xml:space="preserve">We chose </w:t>
      </w:r>
      <w:r>
        <w:rPr>
          <w:rFonts w:ascii="Calibri" w:hAnsi="Calibri"/>
          <w:b/>
          <w:color w:val="222632"/>
          <w:sz w:val="22"/>
        </w:rPr>
        <w:t>early prediction of depression</w:t>
      </w:r>
      <w:r>
        <w:rPr>
          <w:rFonts w:ascii="Calibri" w:hAnsi="Calibri"/>
          <w:color w:val="222632"/>
          <w:sz w:val="22"/>
        </w:rPr>
        <w:t xml:space="preserve"> as our framing because it has the clearest clinical utility (you can intervene if you can predict), the strongest measurement basis in ELSA (the 8-item CES-D scale is collected every wave with &gt;93% completeness), and the most established literature for comparison.</w:t>
      </w:r>
    </w:p>
    <w:p>
      <w:pPr>
        <w:spacing w:before="120" w:after="120"/>
        <w:pBdr>
          <w:bottom w:val="single" w:sz="6" w:space="1" w:color="AAAAAA"/>
        </w:pBdr>
      </w:pPr>
    </w:p>
    <w:p>
      <w:pPr>
        <w:keepNext/>
        <w:spacing w:before="240" w:after="120"/>
      </w:pPr>
      <w:r>
        <w:rPr>
          <w:rFonts w:ascii="Calibri" w:hAnsi="Calibri"/>
          <w:b/>
          <w:color w:val="1F2D5C"/>
          <w:sz w:val="32"/>
        </w:rPr>
        <w:t>2. Background</w:t>
      </w:r>
    </w:p>
    <w:p>
      <w:pPr>
        <w:keepNext/>
        <w:spacing w:before="240" w:after="120"/>
      </w:pPr>
      <w:r>
        <w:rPr>
          <w:rFonts w:ascii="Calibri" w:hAnsi="Calibri"/>
          <w:b/>
          <w:color w:val="186F82"/>
          <w:sz w:val="26"/>
        </w:rPr>
        <w:t>2.1 The clinical problem</w:t>
      </w:r>
    </w:p>
    <w:p>
      <w:pPr>
        <w:spacing w:after="120" w:line="300" w:lineRule="auto"/>
      </w:pPr>
      <w:r>
        <w:rPr>
          <w:rFonts w:ascii="Calibri" w:hAnsi="Calibri"/>
          <w:color w:val="222632"/>
          <w:sz w:val="22"/>
        </w:rPr>
        <w:t>Depression is one of the most prevalent mental health conditions affecting older adults globally, with an estimated 10 to 15 percent of community-dwelling adults aged 50 and over experiencing clinically significant depressive symptoms at any given time (Banks et al., 2006). Depression in older adults is underdiagnosed and undertreated. The reasons are well documented: stigma, somatic symptom presentation, comorbidity with physical illness, reluctance to disclose, and limited primary care screening capacity. The cost is significant — depression is a leading cause of disability and is associated with worse outcomes for cardiovascular disease, dementia, and all-cause mortality.</w:t>
      </w:r>
    </w:p>
    <w:p>
      <w:pPr>
        <w:spacing w:after="120" w:line="300" w:lineRule="auto"/>
      </w:pPr>
      <w:r>
        <w:rPr>
          <w:rFonts w:ascii="Calibri" w:hAnsi="Calibri"/>
          <w:color w:val="222632"/>
          <w:sz w:val="22"/>
        </w:rPr>
        <w:t>Early identification of at-risk individuals is a recognised clinical priority, yet traditional diagnostic pathways typically engage patients only after symptoms have become severe. A predictive model trained on routinely collected survey data could enable proactive, population-level screening without requiring clinical referral or specialist assessment. If routine over-50 data already collected for other purposes can flag people at high future risk, those individuals can be prioritised for clinical assessment without screening everyone in detail. This is exactly the use case ELSA enables.</w:t>
      </w:r>
    </w:p>
    <w:p>
      <w:pPr>
        <w:keepNext/>
        <w:spacing w:before="240" w:after="120"/>
      </w:pPr>
      <w:r>
        <w:rPr>
          <w:rFonts w:ascii="Calibri" w:hAnsi="Calibri"/>
          <w:b/>
          <w:color w:val="186F82"/>
          <w:sz w:val="26"/>
        </w:rPr>
        <w:t>2.2 The English Longitudinal Study of Ageing (ELSA)</w:t>
      </w:r>
    </w:p>
    <w:p>
      <w:pPr>
        <w:spacing w:after="120" w:line="300" w:lineRule="auto"/>
      </w:pPr>
      <w:r>
        <w:rPr>
          <w:rFonts w:ascii="Calibri" w:hAnsi="Calibri"/>
          <w:color w:val="222632"/>
          <w:sz w:val="22"/>
        </w:rPr>
        <w:t>ELSA is a representative panel study of the English population aged 50 and over. The study began in 2002 (Wave 1) and follows the same individuals every two years, with periodic refreshment to maintain age-50 inflows. By Wave 11 (2023), the dataset covers more than two decades of biennial measurements on health, cognition, social engagement, economic circumstances, and well-being.</w:t>
      </w:r>
    </w:p>
    <w:p>
      <w:pPr>
        <w:spacing w:after="120" w:line="300" w:lineRule="auto"/>
      </w:pPr>
      <w:r>
        <w:rPr>
          <w:rFonts w:ascii="Calibri" w:hAnsi="Calibri"/>
          <w:color w:val="222632"/>
          <w:sz w:val="22"/>
        </w:rPr>
        <w:t xml:space="preserve">Crucially for our purposes, ELSA includes the </w:t>
      </w:r>
      <w:r>
        <w:rPr>
          <w:rFonts w:ascii="Calibri" w:hAnsi="Calibri"/>
          <w:b/>
          <w:color w:val="222632"/>
          <w:sz w:val="22"/>
        </w:rPr>
        <w:t>Center for Epidemiologic Studies Depression Scale (CES-D)</w:t>
      </w:r>
      <w:r>
        <w:rPr>
          <w:rFonts w:ascii="Calibri" w:hAnsi="Calibri"/>
          <w:color w:val="222632"/>
          <w:sz w:val="22"/>
        </w:rPr>
        <w:t xml:space="preserve"> at every wave. The ELSA version is an 8-item binary instrument (yes/no per item), giving a total score from 0 to 8. A threshold of CES-D ≥ 3 is the standard cutoff for clinically significant depressive symptoms (Steffick, 2000) and yields a prevalence of roughly 15–25% in older adult populations — consistent with epidemiological estimates.</w:t>
      </w:r>
    </w:p>
    <w:p>
      <w:pPr>
        <w:spacing w:after="120" w:line="300" w:lineRule="auto"/>
      </w:pPr>
      <w:r>
        <w:rPr>
          <w:rFonts w:ascii="Calibri" w:hAnsi="Calibri"/>
          <w:color w:val="222632"/>
          <w:sz w:val="22"/>
        </w:rPr>
        <w:t>Our access route was UK Data Service deposit 5050. The team accessed the Stata-format core wave files, IFS-derived variable files, financial derived variable files, and supporting documentation (data dictionaries, technical reports, questionnaires).</w:t>
      </w:r>
    </w:p>
    <w:p>
      <w:pPr>
        <w:spacing w:before="120" w:after="120"/>
        <w:pBdr>
          <w:bottom w:val="single" w:sz="6" w:space="1" w:color="AAAAAA"/>
        </w:pBdr>
      </w:pPr>
    </w:p>
    <w:p>
      <w:pPr>
        <w:keepNext/>
        <w:spacing w:before="240" w:after="120"/>
      </w:pPr>
      <w:r>
        <w:rPr>
          <w:rFonts w:ascii="Calibri" w:hAnsi="Calibri"/>
          <w:b/>
          <w:color w:val="1F2D5C"/>
          <w:sz w:val="32"/>
        </w:rPr>
        <w:t>3. Research Questions</w:t>
      </w:r>
    </w:p>
    <w:p>
      <w:pPr>
        <w:spacing w:after="120" w:line="300" w:lineRule="auto"/>
      </w:pPr>
      <w:r>
        <w:rPr>
          <w:rFonts w:ascii="Calibri" w:hAnsi="Calibri"/>
          <w:color w:val="222632"/>
          <w:sz w:val="22"/>
        </w:rPr>
        <w:t>The project was framed around three research questions, locked before any modelling began:</w:t>
      </w:r>
    </w:p>
    <w:tbl>
      <w:tblPr>
        <w:tblStyle w:val="LightGrid-Accent1"/>
        <w:tblW w:type="auto" w:w="0"/>
        <w:jc w:val="left"/>
        <w:tblLayout w:type="autofit"/>
        <w:tblLook w:firstColumn="1" w:firstRow="1" w:lastColumn="0" w:lastRow="0" w:noHBand="0" w:noVBand="1" w:val="04A0"/>
      </w:tblPr>
      <w:tblGrid>
        <w:gridCol w:w="4873"/>
        <w:gridCol w:w="4873"/>
      </w:tblGrid>
      <w:tr>
        <w:tc>
          <w:tcPr>
            <w:tcW w:type="dxa" w:w="4873"/>
            <w:vAlign w:val="center"/>
            <w:shd w:val="clear" w:color="auto" w:fill="1F2D5C"/>
          </w:tcPr>
          <w:p>
            <w:r/>
            <w:r>
              <w:rPr>
                <w:rFonts w:ascii="Calibri" w:hAnsi="Calibri"/>
                <w:b/>
                <w:color w:val="FFFFFF"/>
                <w:sz w:val="21"/>
              </w:rPr>
              <w:t>RQ</w:t>
            </w:r>
          </w:p>
        </w:tc>
        <w:tc>
          <w:tcPr>
            <w:tcW w:type="dxa" w:w="4873"/>
            <w:vAlign w:val="center"/>
            <w:shd w:val="clear" w:color="auto" w:fill="1F2D5C"/>
          </w:tcPr>
          <w:p>
            <w:r/>
            <w:r>
              <w:rPr>
                <w:rFonts w:ascii="Calibri" w:hAnsi="Calibri"/>
                <w:b/>
                <w:color w:val="FFFFFF"/>
                <w:sz w:val="21"/>
              </w:rPr>
              <w:t>Question</w:t>
            </w:r>
          </w:p>
        </w:tc>
      </w:tr>
      <w:tr>
        <w:tc>
          <w:tcPr>
            <w:tcW w:type="dxa" w:w="4873"/>
            <w:vAlign w:val="center"/>
          </w:tcPr>
          <w:p>
            <w:r/>
            <w:r>
              <w:rPr>
                <w:rFonts w:ascii="Calibri" w:hAnsi="Calibri"/>
                <w:b/>
                <w:color w:val="222632"/>
                <w:sz w:val="20"/>
              </w:rPr>
              <w:t>RQ1</w:t>
            </w:r>
          </w:p>
        </w:tc>
        <w:tc>
          <w:tcPr>
            <w:tcW w:type="dxa" w:w="4873"/>
            <w:vAlign w:val="center"/>
          </w:tcPr>
          <w:p>
            <w:r/>
            <w:r>
              <w:rPr>
                <w:rFonts w:ascii="Calibri" w:hAnsi="Calibri"/>
                <w:color w:val="222632"/>
                <w:sz w:val="20"/>
              </w:rPr>
              <w:t>To what extent can ML models trained on ELSA survey data predict depression onset 2 to 4 years in advance in adults aged 50+?</w:t>
            </w:r>
          </w:p>
        </w:tc>
      </w:tr>
      <w:tr>
        <w:tc>
          <w:tcPr>
            <w:tcW w:type="dxa" w:w="4873"/>
            <w:vAlign w:val="center"/>
          </w:tcPr>
          <w:p>
            <w:r/>
            <w:r>
              <w:rPr>
                <w:rFonts w:ascii="Calibri" w:hAnsi="Calibri"/>
                <w:b/>
                <w:color w:val="222632"/>
                <w:sz w:val="20"/>
              </w:rPr>
              <w:t>RQ2</w:t>
            </w:r>
          </w:p>
        </w:tc>
        <w:tc>
          <w:tcPr>
            <w:tcW w:type="dxa" w:w="4873"/>
            <w:vAlign w:val="center"/>
          </w:tcPr>
          <w:p>
            <w:r/>
            <w:r>
              <w:rPr>
                <w:rFonts w:ascii="Calibri" w:hAnsi="Calibri"/>
                <w:color w:val="222632"/>
                <w:sz w:val="20"/>
              </w:rPr>
              <w:t>Does incorporating longitudinal change across two waves improve predictive performance compared to single-wave models, and does prediction horizon length affect accuracy?</w:t>
            </w:r>
          </w:p>
        </w:tc>
      </w:tr>
      <w:tr>
        <w:tc>
          <w:tcPr>
            <w:tcW w:type="dxa" w:w="4873"/>
            <w:vAlign w:val="center"/>
          </w:tcPr>
          <w:p>
            <w:r/>
            <w:r>
              <w:rPr>
                <w:rFonts w:ascii="Calibri" w:hAnsi="Calibri"/>
                <w:b/>
                <w:color w:val="222632"/>
                <w:sz w:val="20"/>
              </w:rPr>
              <w:t>RQ3</w:t>
            </w:r>
          </w:p>
        </w:tc>
        <w:tc>
          <w:tcPr>
            <w:tcW w:type="dxa" w:w="4873"/>
            <w:vAlign w:val="center"/>
          </w:tcPr>
          <w:p>
            <w:r/>
            <w:r>
              <w:rPr>
                <w:rFonts w:ascii="Calibri" w:hAnsi="Calibri"/>
                <w:color w:val="222632"/>
                <w:sz w:val="20"/>
              </w:rPr>
              <w:t>Which feature domains carry independent predictive signal beyond prior depression history, and does the model retain clinically meaningful accuracy when prior depression scores are excluded?</w:t>
            </w:r>
          </w:p>
        </w:tc>
      </w:tr>
    </w:tbl>
    <w:p>
      <w:pPr>
        <w:spacing w:after="120" w:line="300" w:lineRule="auto"/>
      </w:pPr>
      <w:r>
        <w:rPr>
          <w:rFonts w:ascii="Calibri" w:hAnsi="Calibri"/>
          <w:color w:val="222632"/>
          <w:sz w:val="22"/>
        </w:rPr>
        <w:t>These questions map directly onto the experimental design (RQ2 → three prediction arms; RQ3 → leakage sensitivity + domain ablation + SHAP two-act analysis).</w:t>
      </w:r>
    </w:p>
    <w:p>
      <w:pPr>
        <w:spacing w:before="120" w:after="120"/>
        <w:pBdr>
          <w:bottom w:val="single" w:sz="6" w:space="1" w:color="AAAAAA"/>
        </w:pBdr>
      </w:pPr>
    </w:p>
    <w:p>
      <w:pPr>
        <w:keepNext/>
        <w:spacing w:before="240" w:after="120"/>
      </w:pPr>
      <w:r>
        <w:rPr>
          <w:rFonts w:ascii="Calibri" w:hAnsi="Calibri"/>
          <w:b/>
          <w:color w:val="1F2D5C"/>
          <w:sz w:val="32"/>
        </w:rPr>
        <w:t>4. Data</w:t>
      </w:r>
    </w:p>
    <w:p>
      <w:pPr>
        <w:keepNext/>
        <w:spacing w:before="240" w:after="120"/>
      </w:pPr>
      <w:r>
        <w:rPr>
          <w:rFonts w:ascii="Calibri" w:hAnsi="Calibri"/>
          <w:b/>
          <w:color w:val="186F82"/>
          <w:sz w:val="26"/>
        </w:rPr>
        <w:t>4.1 What is in the UKDA-5050-stata bundle</w:t>
      </w:r>
    </w:p>
    <w:p>
      <w:pPr>
        <w:spacing w:after="120" w:line="300" w:lineRule="auto"/>
      </w:pPr>
      <w:r>
        <w:rPr>
          <w:rFonts w:ascii="Calibri" w:hAnsi="Calibri"/>
          <w:color w:val="222632"/>
          <w:sz w:val="22"/>
        </w:rPr>
        <w:t>The complete ELSA deposit contains 82 Stata files (~1.6 GB). For our analysis we focused on three file types per wave:</w:t>
      </w:r>
    </w:p>
    <w:tbl>
      <w:tblPr>
        <w:tblStyle w:val="LightGrid-Accent1"/>
        <w:tblW w:type="auto" w:w="0"/>
        <w:jc w:val="left"/>
        <w:tblLayout w:type="autofit"/>
        <w:tblLook w:firstColumn="1" w:firstRow="1" w:lastColumn="0" w:lastRow="0" w:noHBand="0" w:noVBand="1" w:val="04A0"/>
      </w:tblPr>
      <w:tblGrid>
        <w:gridCol w:w="2436"/>
        <w:gridCol w:w="2436"/>
        <w:gridCol w:w="2436"/>
        <w:gridCol w:w="2436"/>
      </w:tblGrid>
      <w:tr>
        <w:tc>
          <w:tcPr>
            <w:tcW w:type="dxa" w:w="2436"/>
            <w:vAlign w:val="center"/>
            <w:shd w:val="clear" w:color="auto" w:fill="1F2D5C"/>
          </w:tcPr>
          <w:p>
            <w:r/>
            <w:r>
              <w:rPr>
                <w:rFonts w:ascii="Calibri" w:hAnsi="Calibri"/>
                <w:b/>
                <w:color w:val="FFFFFF"/>
                <w:sz w:val="21"/>
              </w:rPr>
              <w:t>File type</w:t>
            </w:r>
          </w:p>
        </w:tc>
        <w:tc>
          <w:tcPr>
            <w:tcW w:type="dxa" w:w="2436"/>
            <w:vAlign w:val="center"/>
            <w:shd w:val="clear" w:color="auto" w:fill="1F2D5C"/>
          </w:tcPr>
          <w:p>
            <w:r/>
            <w:r>
              <w:rPr>
                <w:rFonts w:ascii="Calibri" w:hAnsi="Calibri"/>
                <w:b/>
                <w:color w:val="FFFFFF"/>
                <w:sz w:val="21"/>
              </w:rPr>
              <w:t>Example</w:t>
            </w:r>
          </w:p>
        </w:tc>
        <w:tc>
          <w:tcPr>
            <w:tcW w:type="dxa" w:w="2436"/>
            <w:vAlign w:val="center"/>
            <w:shd w:val="clear" w:color="auto" w:fill="1F2D5C"/>
          </w:tcPr>
          <w:p>
            <w:r/>
            <w:r>
              <w:rPr>
                <w:rFonts w:ascii="Calibri" w:hAnsi="Calibri"/>
                <w:b/>
                <w:color w:val="FFFFFF"/>
                <w:sz w:val="21"/>
              </w:rPr>
              <w:t>Rows × cols</w:t>
            </w:r>
          </w:p>
        </w:tc>
        <w:tc>
          <w:tcPr>
            <w:tcW w:type="dxa" w:w="2436"/>
            <w:vAlign w:val="center"/>
            <w:shd w:val="clear" w:color="auto" w:fill="1F2D5C"/>
          </w:tcPr>
          <w:p>
            <w:r/>
            <w:r>
              <w:rPr>
                <w:rFonts w:ascii="Calibri" w:hAnsi="Calibri"/>
                <w:b/>
                <w:color w:val="FFFFFF"/>
                <w:sz w:val="21"/>
              </w:rPr>
              <w:t>Content</w:t>
            </w:r>
          </w:p>
        </w:tc>
      </w:tr>
      <w:tr>
        <w:tc>
          <w:tcPr>
            <w:tcW w:type="dxa" w:w="2436"/>
            <w:vAlign w:val="center"/>
          </w:tcPr>
          <w:p>
            <w:r/>
            <w:r>
              <w:rPr>
                <w:rFonts w:ascii="Calibri" w:hAnsi="Calibri"/>
                <w:b/>
                <w:color w:val="222632"/>
                <w:sz w:val="20"/>
              </w:rPr>
              <w:t>Core interview</w:t>
            </w:r>
          </w:p>
        </w:tc>
        <w:tc>
          <w:tcPr>
            <w:tcW w:type="dxa" w:w="2436"/>
            <w:vAlign w:val="center"/>
          </w:tcPr>
          <w:p>
            <w:r/>
            <w:r>
              <w:rPr>
                <w:rFonts w:ascii="Consolas" w:hAnsi="Consolas"/>
                <w:color w:val="1F2D5C"/>
                <w:sz w:val="18"/>
              </w:rPr>
              <w:t>wave_6_elsa_data_v2.dta</w:t>
            </w:r>
          </w:p>
        </w:tc>
        <w:tc>
          <w:tcPr>
            <w:tcW w:type="dxa" w:w="2436"/>
            <w:vAlign w:val="center"/>
          </w:tcPr>
          <w:p>
            <w:r/>
            <w:r>
              <w:rPr>
                <w:rFonts w:ascii="Calibri" w:hAnsi="Calibri"/>
                <w:color w:val="222632"/>
                <w:sz w:val="20"/>
              </w:rPr>
              <w:t>10,601 × 6,189</w:t>
            </w:r>
          </w:p>
        </w:tc>
        <w:tc>
          <w:tcPr>
            <w:tcW w:type="dxa" w:w="2436"/>
            <w:vAlign w:val="center"/>
          </w:tcPr>
          <w:p>
            <w:r/>
            <w:r>
              <w:rPr>
                <w:rFonts w:ascii="Calibri" w:hAnsi="Calibri"/>
                <w:color w:val="222632"/>
                <w:sz w:val="20"/>
              </w:rPr>
              <w:t>Raw questionnaire responses including the 8 PSced depression items, self-rated health, chronic conditions, mobility, physical activity, social contact</w:t>
            </w:r>
          </w:p>
        </w:tc>
      </w:tr>
      <w:tr>
        <w:tc>
          <w:tcPr>
            <w:tcW w:type="dxa" w:w="2436"/>
            <w:vAlign w:val="center"/>
          </w:tcPr>
          <w:p>
            <w:r/>
            <w:r>
              <w:rPr>
                <w:rFonts w:ascii="Calibri" w:hAnsi="Calibri"/>
                <w:b/>
                <w:color w:val="222632"/>
                <w:sz w:val="20"/>
              </w:rPr>
              <w:t>IFS derived</w:t>
            </w:r>
          </w:p>
        </w:tc>
        <w:tc>
          <w:tcPr>
            <w:tcW w:type="dxa" w:w="2436"/>
            <w:vAlign w:val="center"/>
          </w:tcPr>
          <w:p>
            <w:r/>
            <w:r>
              <w:rPr>
                <w:rFonts w:ascii="Consolas" w:hAnsi="Consolas"/>
                <w:color w:val="1F2D5C"/>
                <w:sz w:val="18"/>
              </w:rPr>
              <w:t>wave_6_ifs_derived_variables.dta</w:t>
            </w:r>
          </w:p>
        </w:tc>
        <w:tc>
          <w:tcPr>
            <w:tcW w:type="dxa" w:w="2436"/>
            <w:vAlign w:val="center"/>
          </w:tcPr>
          <w:p>
            <w:r/>
            <w:r>
              <w:rPr>
                <w:rFonts w:ascii="Calibri" w:hAnsi="Calibri"/>
                <w:color w:val="222632"/>
                <w:sz w:val="20"/>
              </w:rPr>
              <w:t>10,601 × 404</w:t>
            </w:r>
          </w:p>
        </w:tc>
        <w:tc>
          <w:tcPr>
            <w:tcW w:type="dxa" w:w="2436"/>
            <w:vAlign w:val="center"/>
          </w:tcPr>
          <w:p>
            <w:r/>
            <w:r>
              <w:rPr>
                <w:rFonts w:ascii="Calibri" w:hAnsi="Calibri"/>
                <w:color w:val="222632"/>
                <w:sz w:val="20"/>
              </w:rPr>
              <w:t xml:space="preserve">Pre-computed summary variables maintained by the Institute for Fiscal Studies: age, sex, marital status, validated CES-D total </w:t>
            </w:r>
            <w:r>
              <w:rPr>
                <w:rFonts w:ascii="Consolas" w:hAnsi="Consolas"/>
                <w:color w:val="1F2D5C"/>
                <w:sz w:val="18"/>
              </w:rPr>
              <w:t>cesd_sc</w:t>
            </w:r>
            <w:r>
              <w:rPr>
                <w:rFonts w:ascii="Calibri" w:hAnsi="Calibri"/>
                <w:color w:val="222632"/>
                <w:sz w:val="20"/>
              </w:rPr>
              <w:t>, memory, executive function, employment, education, smoking</w:t>
            </w:r>
          </w:p>
        </w:tc>
      </w:tr>
      <w:tr>
        <w:tc>
          <w:tcPr>
            <w:tcW w:type="dxa" w:w="2436"/>
            <w:vAlign w:val="center"/>
          </w:tcPr>
          <w:p>
            <w:r/>
            <w:r>
              <w:rPr>
                <w:rFonts w:ascii="Calibri" w:hAnsi="Calibri"/>
                <w:b/>
                <w:color w:val="222632"/>
                <w:sz w:val="20"/>
              </w:rPr>
              <w:t>Financial derived</w:t>
            </w:r>
          </w:p>
        </w:tc>
        <w:tc>
          <w:tcPr>
            <w:tcW w:type="dxa" w:w="2436"/>
            <w:vAlign w:val="center"/>
          </w:tcPr>
          <w:p>
            <w:r/>
            <w:r>
              <w:rPr>
                <w:rFonts w:ascii="Consolas" w:hAnsi="Consolas"/>
                <w:color w:val="1F2D5C"/>
                <w:sz w:val="18"/>
              </w:rPr>
              <w:t>wave_6_financial_derived_variables.dta</w:t>
            </w:r>
          </w:p>
        </w:tc>
        <w:tc>
          <w:tcPr>
            <w:tcW w:type="dxa" w:w="2436"/>
            <w:vAlign w:val="center"/>
          </w:tcPr>
          <w:p>
            <w:r/>
            <w:r>
              <w:rPr>
                <w:rFonts w:ascii="Calibri" w:hAnsi="Calibri"/>
                <w:color w:val="222632"/>
                <w:sz w:val="20"/>
              </w:rPr>
              <w:t>10,601 × 667</w:t>
            </w:r>
          </w:p>
        </w:tc>
        <w:tc>
          <w:tcPr>
            <w:tcW w:type="dxa" w:w="2436"/>
            <w:vAlign w:val="center"/>
          </w:tcPr>
          <w:p>
            <w:r/>
            <w:r>
              <w:rPr>
                <w:rFonts w:ascii="Calibri" w:hAnsi="Calibri"/>
                <w:color w:val="222632"/>
                <w:sz w:val="20"/>
              </w:rPr>
              <w:t xml:space="preserve">Income and wealth variables including the benefit-unit wealth quintile </w:t>
            </w:r>
            <w:r>
              <w:rPr>
                <w:rFonts w:ascii="Consolas" w:hAnsi="Consolas"/>
                <w:color w:val="1F2D5C"/>
                <w:sz w:val="18"/>
              </w:rPr>
              <w:t>totwq5_bu_s</w:t>
            </w:r>
          </w:p>
        </w:tc>
      </w:tr>
    </w:tbl>
    <w:p>
      <w:pPr>
        <w:spacing w:after="120" w:line="300" w:lineRule="auto"/>
      </w:pPr>
      <w:r>
        <w:rPr>
          <w:rFonts w:ascii="Calibri" w:hAnsi="Calibri"/>
          <w:color w:val="222632"/>
          <w:sz w:val="22"/>
        </w:rPr>
        <w:t xml:space="preserve">Each respondent has a unique identifier </w:t>
      </w:r>
      <w:r>
        <w:rPr>
          <w:rFonts w:ascii="Consolas" w:hAnsi="Consolas"/>
          <w:color w:val="1F2D5C"/>
          <w:sz w:val="20"/>
        </w:rPr>
        <w:t>idauniq</w:t>
      </w:r>
      <w:r>
        <w:rPr>
          <w:rFonts w:ascii="Calibri" w:hAnsi="Calibri"/>
          <w:color w:val="222632"/>
          <w:sz w:val="22"/>
        </w:rPr>
        <w:t xml:space="preserve"> that persists across waves, allowing person-level joins.</w:t>
      </w:r>
    </w:p>
    <w:p>
      <w:pPr>
        <w:keepNext/>
        <w:spacing w:before="240" w:after="120"/>
      </w:pPr>
      <w:r>
        <w:rPr>
          <w:rFonts w:ascii="Calibri" w:hAnsi="Calibri"/>
          <w:b/>
          <w:color w:val="186F82"/>
          <w:sz w:val="26"/>
        </w:rPr>
        <w:t>4.2 Why Waves 6, 7, and 8</w:t>
      </w:r>
    </w:p>
    <w:p>
      <w:pPr>
        <w:spacing w:after="120" w:line="300" w:lineRule="auto"/>
      </w:pPr>
      <w:r>
        <w:rPr>
          <w:rFonts w:ascii="Calibri" w:hAnsi="Calibri"/>
          <w:color w:val="222632"/>
          <w:sz w:val="22"/>
        </w:rPr>
        <w:t>Waves 6 (2012/13), 7 (2014/15), and 8 (2016/17) were selected based on three criteria established in Akeeb's audit notebook (</w:t>
      </w:r>
      <w:r>
        <w:rPr>
          <w:rFonts w:ascii="Consolas" w:hAnsi="Consolas"/>
          <w:color w:val="1F2D5C"/>
          <w:sz w:val="20"/>
        </w:rPr>
        <w:t>notebooks/01_data_audit/</w:t>
      </w:r>
      <w:r>
        <w:rPr>
          <w:rFonts w:ascii="Calibri" w:hAnsi="Calibri"/>
          <w:color w:val="222632"/>
          <w:sz w:val="22"/>
        </w:rPr>
        <w:t>), which examined every available wave (3–11) on three dimensions:</w:t>
      </w:r>
    </w:p>
    <w:p>
      <w:pPr>
        <w:pStyle w:val="ListBullet"/>
        <w:spacing w:after="40" w:line="288" w:lineRule="auto"/>
      </w:pPr>
      <w:r>
        <w:rPr>
          <w:rFonts w:ascii="Calibri" w:hAnsi="Calibri"/>
          <w:b/>
          <w:color w:val="222632"/>
          <w:sz w:val="22"/>
        </w:rPr>
        <w:t>CES-D quality.</w:t>
      </w:r>
      <w:r>
        <w:rPr>
          <w:rFonts w:ascii="Calibri" w:hAnsi="Calibri"/>
          <w:color w:val="222632"/>
          <w:sz w:val="22"/>
        </w:rPr>
        <w:t xml:space="preserve"> All waves contain the 8-item CES-D with 93–97% valid response rates after recoding survey missing codes (-1 = inapplicable, -8 = don't know, -9 = refused). The CES-D measure is therefore stable across waves.</w:t>
      </w:r>
    </w:p>
    <w:p>
      <w:pPr>
        <w:pStyle w:val="ListBullet"/>
        <w:spacing w:after="40" w:line="288" w:lineRule="auto"/>
      </w:pPr>
      <w:r>
        <w:rPr>
          <w:rFonts w:ascii="Calibri" w:hAnsi="Calibri"/>
          <w:b/>
          <w:color w:val="222632"/>
          <w:sz w:val="22"/>
        </w:rPr>
        <w:t>Participant overlap.</w:t>
      </w:r>
      <w:r>
        <w:rPr>
          <w:rFonts w:ascii="Calibri" w:hAnsi="Calibri"/>
          <w:color w:val="222632"/>
          <w:sz w:val="22"/>
        </w:rPr>
        <w:t xml:space="preserve"> The audit produced an overlap matrix showing the percentage of participants in any pair of waves. Consecutive waves retain &gt;90% of participants (e.g. W6 → W7 = 90%), while large gaps lose more (W3 → W11 retains only 34%). For longitudinal modelling, consecutive waves are strongly preferable.</w:t>
      </w:r>
    </w:p>
    <w:p>
      <w:pPr>
        <w:pStyle w:val="ListBullet"/>
        <w:spacing w:after="40" w:line="288" w:lineRule="auto"/>
      </w:pPr>
      <w:r>
        <w:rPr>
          <w:rFonts w:ascii="Calibri" w:hAnsi="Calibri"/>
          <w:b/>
          <w:color w:val="222632"/>
          <w:sz w:val="22"/>
        </w:rPr>
        <w:t>Feature drift.</w:t>
      </w:r>
      <w:r>
        <w:rPr>
          <w:rFonts w:ascii="Calibri" w:hAnsi="Calibri"/>
          <w:color w:val="222632"/>
          <w:sz w:val="22"/>
        </w:rPr>
        <w:t xml:space="preserve"> Across the 9 audited waves there are 13,920 unique variable names, but only 2,656 are common to every wave. Variable schemas evolve; longitudinal modelling must work from the shared subset.</w:t>
      </w:r>
    </w:p>
    <w:p>
      <w:pPr>
        <w:spacing w:after="120" w:line="300" w:lineRule="auto"/>
      </w:pPr>
      <w:r>
        <w:rPr>
          <w:rFonts w:ascii="Calibri" w:hAnsi="Calibri"/>
          <w:color w:val="222632"/>
          <w:sz w:val="22"/>
        </w:rPr>
        <w:t>Waves 6, 7, and 8 emerged as the strongest consecutive block: high overlap, complete CES-D, and stable feature schemas. The two-year separation between consecutive waves provides a prediction horizon of two to four years.</w:t>
      </w:r>
    </w:p>
    <w:p>
      <w:pPr>
        <w:spacing w:after="120" w:line="300" w:lineRule="auto"/>
      </w:pPr>
      <w:r>
        <w:rPr>
          <w:rFonts w:ascii="Calibri" w:hAnsi="Calibri"/>
          <w:color w:val="222632"/>
          <w:sz w:val="22"/>
        </w:rPr>
        <w:t xml:space="preserve">The inner join across all three waves produces an analytic sample of 7,211 participants. </w:t>
      </w:r>
      <w:r>
        <w:rPr>
          <w:rFonts w:ascii="Calibri" w:hAnsi="Calibri"/>
          <w:b/>
          <w:color w:val="222632"/>
          <w:sz w:val="22"/>
        </w:rPr>
        <w:t>Survivorship bias is acknowledged</w:t>
      </w:r>
      <w:r>
        <w:rPr>
          <w:rFonts w:ascii="Calibri" w:hAnsi="Calibri"/>
          <w:color w:val="222632"/>
          <w:sz w:val="22"/>
        </w:rPr>
        <w:t>: inner-join participants are somewhat healthier and more socioeconomically stable than the full ELSA population. We discuss this further in Section 10.</w:t>
      </w:r>
    </w:p>
    <w:p>
      <w:pPr>
        <w:keepNext/>
        <w:spacing w:before="240" w:after="120"/>
      </w:pPr>
      <w:r>
        <w:rPr>
          <w:rFonts w:ascii="Calibri" w:hAnsi="Calibri"/>
          <w:b/>
          <w:color w:val="186F82"/>
          <w:sz w:val="26"/>
        </w:rPr>
        <w:t>4.3 Outcome variable: CES-D depression scale</w:t>
      </w:r>
    </w:p>
    <w:p>
      <w:pPr>
        <w:spacing w:after="120" w:line="300" w:lineRule="auto"/>
      </w:pPr>
      <w:r>
        <w:rPr>
          <w:rFonts w:ascii="Calibri" w:hAnsi="Calibri"/>
          <w:color w:val="222632"/>
          <w:sz w:val="22"/>
        </w:rPr>
        <w:t>The outcome is binary depression status at Wave 8, defined as a CES-D score of 3 or above on the validated 0 to 8 scale (Radloff, 1977). The threshold of 3 or above was established by Steffick (2000) through comparison with clinical diagnostic interviews. This produces a prevalence of 19.0 percent in the analytic sample (1,372 depressed, 5,839 not depressed), giving a class ratio of approximately 1:4.3.</w:t>
      </w:r>
    </w:p>
    <w:p>
      <w:pPr>
        <w:spacing w:after="120" w:line="300" w:lineRule="auto"/>
      </w:pPr>
      <w:r>
        <w:rPr>
          <w:rFonts w:ascii="Calibri" w:hAnsi="Calibri"/>
          <w:color w:val="222632"/>
          <w:sz w:val="22"/>
        </w:rPr>
        <w:t xml:space="preserve">&gt; </w:t>
      </w:r>
      <w:r>
        <w:rPr>
          <w:rFonts w:ascii="Calibri" w:hAnsi="Calibri"/>
          <w:b/>
          <w:color w:val="222632"/>
          <w:sz w:val="22"/>
        </w:rPr>
        <w:t>CES-D scoring note.</w:t>
      </w:r>
      <w:r>
        <w:rPr>
          <w:rFonts w:ascii="Calibri" w:hAnsi="Calibri"/>
          <w:color w:val="222632"/>
          <w:sz w:val="22"/>
        </w:rPr>
        <w:t xml:space="preserve"> An earlier exploratory pipeline reconstructed CES-D scores from raw PSced items using a 0–3 per-item scale (designed for the longer HRS version), producing scores in the range 8–16 and 74 percent apparent prevalence. This was clinically implausible — depression is not the majority condition in any adult population. The artefact came from treating ELSA's binary items as Likert-scale items. &gt; &gt; The fix was to use the IFS-validated </w:t>
      </w:r>
      <w:r>
        <w:rPr>
          <w:rFonts w:ascii="Consolas" w:hAnsi="Consolas"/>
          <w:color w:val="1F2D5C"/>
          <w:sz w:val="20"/>
        </w:rPr>
        <w:t>cesd_sc</w:t>
      </w:r>
      <w:r>
        <w:rPr>
          <w:rFonts w:ascii="Calibri" w:hAnsi="Calibri"/>
          <w:color w:val="222632"/>
          <w:sz w:val="22"/>
        </w:rPr>
        <w:t xml:space="preserve"> variable directly. ELSA's CES-D items are binary (1 = yes, 2 = no after Stata recoding), so the validated sum produces the correct 0–8 range. With the threshold of CES-D ≥ 3, the analytic sample shows 19% prevalence — exactly what the literature predicts for English adults aged 50 and over. &gt; &gt; The methodological lesson: </w:t>
      </w:r>
      <w:r>
        <w:rPr>
          <w:rFonts w:ascii="Calibri" w:hAnsi="Calibri"/>
          <w:b/>
          <w:color w:val="222632"/>
          <w:sz w:val="22"/>
        </w:rPr>
        <w:t>always start from validated derived variables, and verify your outcome distribution against published prevalence before training any model</w:t>
      </w:r>
      <w:r>
        <w:rPr>
          <w:rFonts w:ascii="Calibri" w:hAnsi="Calibri"/>
          <w:color w:val="222632"/>
          <w:sz w:val="22"/>
        </w:rPr>
        <w:t>.</w:t>
      </w:r>
    </w:p>
    <w:p>
      <w:pPr>
        <w:keepNext/>
        <w:spacing w:before="240" w:after="120"/>
      </w:pPr>
      <w:r>
        <w:rPr>
          <w:rFonts w:ascii="Calibri" w:hAnsi="Calibri"/>
          <w:b/>
          <w:color w:val="186F82"/>
          <w:sz w:val="26"/>
        </w:rPr>
        <w:t>4.4 Class imbalance handling</w:t>
      </w:r>
    </w:p>
    <w:p>
      <w:pPr>
        <w:spacing w:after="120" w:line="300" w:lineRule="auto"/>
      </w:pPr>
      <w:r>
        <w:rPr>
          <w:rFonts w:ascii="Calibri" w:hAnsi="Calibri"/>
          <w:color w:val="222632"/>
          <w:sz w:val="22"/>
        </w:rPr>
        <w:t xml:space="preserve">The 1:4.3 class ratio is handled explicitly per model. Logistic Regression and Random Forest receive </w:t>
      </w:r>
      <w:r>
        <w:rPr>
          <w:rFonts w:ascii="Consolas" w:hAnsi="Consolas"/>
          <w:color w:val="1F2D5C"/>
          <w:sz w:val="20"/>
        </w:rPr>
        <w:t>class_weight='balanced'</w:t>
      </w:r>
      <w:r>
        <w:rPr>
          <w:rFonts w:ascii="Calibri" w:hAnsi="Calibri"/>
          <w:color w:val="222632"/>
          <w:sz w:val="22"/>
        </w:rPr>
        <w:t xml:space="preserve">, which multiplies each minority class sample's loss contribution by 4.3 during training. XGBoost receives </w:t>
      </w:r>
      <w:r>
        <w:rPr>
          <w:rFonts w:ascii="Consolas" w:hAnsi="Consolas"/>
          <w:color w:val="1F2D5C"/>
          <w:sz w:val="20"/>
        </w:rPr>
        <w:t>scale_pos_weight=4</w:t>
      </w:r>
      <w:r>
        <w:rPr>
          <w:rFonts w:ascii="Calibri" w:hAnsi="Calibri"/>
          <w:color w:val="222632"/>
          <w:sz w:val="22"/>
        </w:rPr>
        <w:t xml:space="preserve">, the equivalent gradient-boosting implementation. LightGBM also uses </w:t>
      </w:r>
      <w:r>
        <w:rPr>
          <w:rFonts w:ascii="Consolas" w:hAnsi="Consolas"/>
          <w:color w:val="1F2D5C"/>
          <w:sz w:val="20"/>
        </w:rPr>
        <w:t>class_weight='balanced'</w:t>
      </w:r>
      <w:r>
        <w:rPr>
          <w:rFonts w:ascii="Calibri" w:hAnsi="Calibri"/>
          <w:color w:val="222632"/>
          <w:sz w:val="22"/>
        </w:rPr>
        <w:t>.</w:t>
      </w:r>
    </w:p>
    <w:p>
      <w:pPr>
        <w:spacing w:after="120" w:line="300" w:lineRule="auto"/>
      </w:pPr>
      <w:r>
        <w:rPr>
          <w:rFonts w:ascii="Calibri" w:hAnsi="Calibri"/>
          <w:color w:val="222632"/>
          <w:sz w:val="22"/>
        </w:rPr>
        <w:t>Without these corrections, models would achieve apparent accuracy above 80 percent by predicting everyone as non-depressed while entirely missing the depressed class. The correction is confirmed effective: recall values of 0.67 to 0.76 are achieved across models (Section 8.3).</w:t>
      </w:r>
    </w:p>
    <w:p>
      <w:pPr>
        <w:keepNext/>
        <w:spacing w:before="240" w:after="120"/>
      </w:pPr>
      <w:r>
        <w:rPr>
          <w:rFonts w:ascii="Calibri" w:hAnsi="Calibri"/>
          <w:b/>
          <w:color w:val="186F82"/>
          <w:sz w:val="26"/>
        </w:rPr>
        <w:t>4.5 Predictors and feature engineering</w:t>
      </w:r>
    </w:p>
    <w:p>
      <w:pPr>
        <w:spacing w:after="120" w:line="300" w:lineRule="auto"/>
      </w:pPr>
      <w:r>
        <w:rPr>
          <w:rFonts w:ascii="Calibri" w:hAnsi="Calibri"/>
          <w:color w:val="222632"/>
          <w:sz w:val="22"/>
        </w:rPr>
        <w:t>Predictor variables are drawn from IFS derived files, core interview files, and financial derived files for Waves 6 and 7. Variables are organised into nine feature domains.</w:t>
      </w:r>
    </w:p>
    <w:p>
      <w:pPr>
        <w:spacing w:after="120" w:line="300" w:lineRule="auto"/>
      </w:pPr>
      <w:r>
        <w:rPr>
          <w:rFonts w:ascii="Calibri" w:hAnsi="Calibri"/>
          <w:b/>
          <w:color w:val="222632"/>
          <w:sz w:val="22"/>
        </w:rPr>
        <w:t>Table 1. Feature domains, representative variables, and wave coverage.</w:t>
      </w:r>
    </w:p>
    <w:tbl>
      <w:tblPr>
        <w:tblStyle w:val="LightGrid-Accent1"/>
        <w:tblW w:type="auto" w:w="0"/>
        <w:jc w:val="left"/>
        <w:tblLayout w:type="autofit"/>
        <w:tblLook w:firstColumn="1" w:firstRow="1" w:lastColumn="0" w:lastRow="0" w:noHBand="0" w:noVBand="1" w:val="04A0"/>
      </w:tblPr>
      <w:tblGrid>
        <w:gridCol w:w="3249"/>
        <w:gridCol w:w="3249"/>
        <w:gridCol w:w="3249"/>
      </w:tblGrid>
      <w:tr>
        <w:tc>
          <w:tcPr>
            <w:tcW w:type="dxa" w:w="3249"/>
            <w:vAlign w:val="center"/>
            <w:shd w:val="clear" w:color="auto" w:fill="1F2D5C"/>
          </w:tcPr>
          <w:p>
            <w:r/>
            <w:r>
              <w:rPr>
                <w:rFonts w:ascii="Calibri" w:hAnsi="Calibri"/>
                <w:b/>
                <w:color w:val="FFFFFF"/>
                <w:sz w:val="21"/>
              </w:rPr>
              <w:t>Domain</w:t>
            </w:r>
          </w:p>
        </w:tc>
        <w:tc>
          <w:tcPr>
            <w:tcW w:type="dxa" w:w="3249"/>
            <w:vAlign w:val="center"/>
            <w:shd w:val="clear" w:color="auto" w:fill="1F2D5C"/>
          </w:tcPr>
          <w:p>
            <w:r/>
            <w:r>
              <w:rPr>
                <w:rFonts w:ascii="Calibri" w:hAnsi="Calibri"/>
                <w:b/>
                <w:color w:val="FFFFFF"/>
                <w:sz w:val="21"/>
              </w:rPr>
              <w:t>Representative variables</w:t>
            </w:r>
          </w:p>
        </w:tc>
        <w:tc>
          <w:tcPr>
            <w:tcW w:type="dxa" w:w="3249"/>
            <w:vAlign w:val="center"/>
            <w:shd w:val="clear" w:color="auto" w:fill="1F2D5C"/>
          </w:tcPr>
          <w:p>
            <w:r/>
            <w:r>
              <w:rPr>
                <w:rFonts w:ascii="Calibri" w:hAnsi="Calibri"/>
                <w:b/>
                <w:color w:val="FFFFFF"/>
                <w:sz w:val="21"/>
              </w:rPr>
              <w:t>Wave coverage</w:t>
            </w:r>
          </w:p>
        </w:tc>
      </w:tr>
      <w:tr>
        <w:tc>
          <w:tcPr>
            <w:tcW w:type="dxa" w:w="3249"/>
            <w:vAlign w:val="center"/>
          </w:tcPr>
          <w:p>
            <w:r/>
            <w:r>
              <w:rPr>
                <w:rFonts w:ascii="Calibri" w:hAnsi="Calibri"/>
                <w:color w:val="222632"/>
                <w:sz w:val="20"/>
              </w:rPr>
              <w:t>Prior depression</w:t>
            </w:r>
          </w:p>
        </w:tc>
        <w:tc>
          <w:tcPr>
            <w:tcW w:type="dxa" w:w="3249"/>
            <w:vAlign w:val="center"/>
          </w:tcPr>
          <w:p>
            <w:r/>
            <w:r>
              <w:rPr>
                <w:rFonts w:ascii="Consolas" w:hAnsi="Consolas"/>
                <w:color w:val="1F2D5C"/>
                <w:sz w:val="18"/>
              </w:rPr>
              <w:t>cesd_sc</w:t>
            </w:r>
            <w:r>
              <w:rPr>
                <w:rFonts w:ascii="Calibri" w:hAnsi="Calibri"/>
                <w:color w:val="222632"/>
                <w:sz w:val="20"/>
              </w:rPr>
              <w:t xml:space="preserve">, </w:t>
            </w:r>
            <w:r>
              <w:rPr>
                <w:rFonts w:ascii="Consolas" w:hAnsi="Consolas"/>
                <w:color w:val="1F2D5C"/>
                <w:sz w:val="18"/>
              </w:rPr>
              <w:t>cesd_change</w:t>
            </w:r>
            <w:r>
              <w:rPr>
                <w:rFonts w:ascii="Calibri" w:hAnsi="Calibri"/>
                <w:color w:val="222632"/>
                <w:sz w:val="20"/>
              </w:rPr>
              <w:t xml:space="preserve"> (W6+W7 only)</w:t>
            </w:r>
          </w:p>
        </w:tc>
        <w:tc>
          <w:tcPr>
            <w:tcW w:type="dxa" w:w="3249"/>
            <w:vAlign w:val="center"/>
          </w:tcPr>
          <w:p>
            <w:r/>
            <w:r>
              <w:rPr>
                <w:rFonts w:ascii="Calibri" w:hAnsi="Calibri"/>
                <w:color w:val="222632"/>
                <w:sz w:val="20"/>
              </w:rPr>
              <w:t>W6, W7</w:t>
            </w:r>
          </w:p>
        </w:tc>
      </w:tr>
      <w:tr>
        <w:tc>
          <w:tcPr>
            <w:tcW w:type="dxa" w:w="3249"/>
            <w:vAlign w:val="center"/>
          </w:tcPr>
          <w:p>
            <w:r/>
            <w:r>
              <w:rPr>
                <w:rFonts w:ascii="Calibri" w:hAnsi="Calibri"/>
                <w:color w:val="222632"/>
                <w:sz w:val="20"/>
              </w:rPr>
              <w:t>Self-rated health</w:t>
            </w:r>
          </w:p>
        </w:tc>
        <w:tc>
          <w:tcPr>
            <w:tcW w:type="dxa" w:w="3249"/>
            <w:vAlign w:val="center"/>
          </w:tcPr>
          <w:p>
            <w:r/>
            <w:r>
              <w:rPr>
                <w:rFonts w:ascii="Consolas" w:hAnsi="Consolas"/>
                <w:color w:val="1F2D5C"/>
                <w:sz w:val="18"/>
              </w:rPr>
              <w:t>srh_hrs</w:t>
            </w:r>
            <w:r>
              <w:rPr>
                <w:rFonts w:ascii="Calibri" w:hAnsi="Calibri"/>
                <w:color w:val="222632"/>
                <w:sz w:val="20"/>
              </w:rPr>
              <w:t xml:space="preserve">, </w:t>
            </w:r>
            <w:r>
              <w:rPr>
                <w:rFonts w:ascii="Consolas" w:hAnsi="Consolas"/>
                <w:color w:val="1F2D5C"/>
                <w:sz w:val="18"/>
              </w:rPr>
              <w:t>hehelf</w:t>
            </w:r>
            <w:r>
              <w:rPr>
                <w:rFonts w:ascii="Calibri" w:hAnsi="Calibri"/>
                <w:color w:val="222632"/>
                <w:sz w:val="20"/>
              </w:rPr>
              <w:t xml:space="preserve">, </w:t>
            </w:r>
            <w:r>
              <w:rPr>
                <w:rFonts w:ascii="Consolas" w:hAnsi="Consolas"/>
                <w:color w:val="1F2D5C"/>
                <w:sz w:val="18"/>
              </w:rPr>
              <w:t>llsill</w:t>
            </w:r>
            <w:r>
              <w:rPr>
                <w:rFonts w:ascii="Calibri" w:hAnsi="Calibri"/>
                <w:color w:val="222632"/>
                <w:sz w:val="20"/>
              </w:rPr>
              <w:t xml:space="preserve">, </w:t>
            </w:r>
            <w:r>
              <w:rPr>
                <w:rFonts w:ascii="Consolas" w:hAnsi="Consolas"/>
                <w:color w:val="1F2D5C"/>
                <w:sz w:val="18"/>
              </w:rPr>
              <w:t>hlimwrk</w:t>
            </w:r>
          </w:p>
        </w:tc>
        <w:tc>
          <w:tcPr>
            <w:tcW w:type="dxa" w:w="3249"/>
            <w:vAlign w:val="center"/>
          </w:tcPr>
          <w:p>
            <w:r/>
            <w:r>
              <w:rPr>
                <w:rFonts w:ascii="Calibri" w:hAnsi="Calibri"/>
                <w:color w:val="222632"/>
                <w:sz w:val="20"/>
              </w:rPr>
              <w:t>W6, W7</w:t>
            </w:r>
          </w:p>
        </w:tc>
      </w:tr>
      <w:tr>
        <w:tc>
          <w:tcPr>
            <w:tcW w:type="dxa" w:w="3249"/>
            <w:vAlign w:val="center"/>
          </w:tcPr>
          <w:p>
            <w:r/>
            <w:r>
              <w:rPr>
                <w:rFonts w:ascii="Calibri" w:hAnsi="Calibri"/>
                <w:color w:val="222632"/>
                <w:sz w:val="20"/>
              </w:rPr>
              <w:t>Chronic conditions</w:t>
            </w:r>
          </w:p>
        </w:tc>
        <w:tc>
          <w:tcPr>
            <w:tcW w:type="dxa" w:w="3249"/>
            <w:vAlign w:val="center"/>
          </w:tcPr>
          <w:p>
            <w:r/>
            <w:r>
              <w:rPr>
                <w:rFonts w:ascii="Consolas" w:hAnsi="Consolas"/>
                <w:color w:val="1F2D5C"/>
                <w:sz w:val="18"/>
              </w:rPr>
              <w:t>hediabp</w:t>
            </w:r>
            <w:r>
              <w:rPr>
                <w:rFonts w:ascii="Calibri" w:hAnsi="Calibri"/>
                <w:color w:val="222632"/>
                <w:sz w:val="20"/>
              </w:rPr>
              <w:t xml:space="preserve">, </w:t>
            </w:r>
            <w:r>
              <w:rPr>
                <w:rFonts w:ascii="Consolas" w:hAnsi="Consolas"/>
                <w:color w:val="1F2D5C"/>
                <w:sz w:val="18"/>
              </w:rPr>
              <w:t>hediast</w:t>
            </w:r>
            <w:r>
              <w:rPr>
                <w:rFonts w:ascii="Calibri" w:hAnsi="Calibri"/>
                <w:color w:val="222632"/>
                <w:sz w:val="20"/>
              </w:rPr>
              <w:t xml:space="preserve">, </w:t>
            </w:r>
            <w:r>
              <w:rPr>
                <w:rFonts w:ascii="Consolas" w:hAnsi="Consolas"/>
                <w:color w:val="1F2D5C"/>
                <w:sz w:val="18"/>
              </w:rPr>
              <w:t>hediami</w:t>
            </w:r>
            <w:r>
              <w:rPr>
                <w:rFonts w:ascii="Calibri" w:hAnsi="Calibri"/>
                <w:color w:val="222632"/>
                <w:sz w:val="20"/>
              </w:rPr>
              <w:t xml:space="preserve">, </w:t>
            </w:r>
            <w:r>
              <w:rPr>
                <w:rFonts w:ascii="Consolas" w:hAnsi="Consolas"/>
                <w:color w:val="1F2D5C"/>
                <w:sz w:val="18"/>
              </w:rPr>
              <w:t>hediahf</w:t>
            </w:r>
            <w:r>
              <w:rPr>
                <w:rFonts w:ascii="Calibri" w:hAnsi="Calibri"/>
                <w:color w:val="222632"/>
                <w:sz w:val="20"/>
              </w:rPr>
              <w:t xml:space="preserve">, </w:t>
            </w:r>
            <w:r>
              <w:rPr>
                <w:rFonts w:ascii="Consolas" w:hAnsi="Consolas"/>
                <w:color w:val="1F2D5C"/>
                <w:sz w:val="18"/>
              </w:rPr>
              <w:t>hediaar</w:t>
            </w:r>
          </w:p>
        </w:tc>
        <w:tc>
          <w:tcPr>
            <w:tcW w:type="dxa" w:w="3249"/>
            <w:vAlign w:val="center"/>
          </w:tcPr>
          <w:p>
            <w:r/>
            <w:r>
              <w:rPr>
                <w:rFonts w:ascii="Calibri" w:hAnsi="Calibri"/>
                <w:color w:val="222632"/>
                <w:sz w:val="20"/>
              </w:rPr>
              <w:t>W6, W7</w:t>
            </w:r>
          </w:p>
        </w:tc>
      </w:tr>
      <w:tr>
        <w:tc>
          <w:tcPr>
            <w:tcW w:type="dxa" w:w="3249"/>
            <w:vAlign w:val="center"/>
          </w:tcPr>
          <w:p>
            <w:r/>
            <w:r>
              <w:rPr>
                <w:rFonts w:ascii="Calibri" w:hAnsi="Calibri"/>
                <w:color w:val="222632"/>
                <w:sz w:val="20"/>
              </w:rPr>
              <w:t>Mobility/function</w:t>
            </w:r>
          </w:p>
        </w:tc>
        <w:tc>
          <w:tcPr>
            <w:tcW w:type="dxa" w:w="3249"/>
            <w:vAlign w:val="center"/>
          </w:tcPr>
          <w:p>
            <w:r/>
            <w:r>
              <w:rPr>
                <w:rFonts w:ascii="Consolas" w:hAnsi="Consolas"/>
                <w:color w:val="1F2D5C"/>
                <w:sz w:val="18"/>
              </w:rPr>
              <w:t>mobility_count</w:t>
            </w:r>
            <w:r>
              <w:rPr>
                <w:rFonts w:ascii="Calibri" w:hAnsi="Calibri"/>
                <w:color w:val="222632"/>
                <w:sz w:val="20"/>
              </w:rPr>
              <w:t xml:space="preserve">, </w:t>
            </w:r>
            <w:r>
              <w:rPr>
                <w:rFonts w:ascii="Consolas" w:hAnsi="Consolas"/>
                <w:color w:val="1F2D5C"/>
                <w:sz w:val="18"/>
              </w:rPr>
              <w:t>adl_count</w:t>
            </w:r>
            <w:r>
              <w:rPr>
                <w:rFonts w:ascii="Calibri" w:hAnsi="Calibri"/>
                <w:color w:val="222632"/>
                <w:sz w:val="20"/>
              </w:rPr>
              <w:t xml:space="preserve">, </w:t>
            </w:r>
            <w:r>
              <w:rPr>
                <w:rFonts w:ascii="Consolas" w:hAnsi="Consolas"/>
                <w:color w:val="1F2D5C"/>
                <w:sz w:val="18"/>
              </w:rPr>
              <w:t>iadl_count</w:t>
            </w:r>
            <w:r>
              <w:rPr>
                <w:rFonts w:ascii="Calibri" w:hAnsi="Calibri"/>
                <w:color w:val="222632"/>
                <w:sz w:val="20"/>
              </w:rPr>
              <w:t xml:space="preserve">, </w:t>
            </w:r>
            <w:r>
              <w:rPr>
                <w:rFonts w:ascii="Consolas" w:hAnsi="Consolas"/>
                <w:color w:val="1F2D5C"/>
                <w:sz w:val="18"/>
              </w:rPr>
              <w:t>functional_burden</w:t>
            </w:r>
          </w:p>
        </w:tc>
        <w:tc>
          <w:tcPr>
            <w:tcW w:type="dxa" w:w="3249"/>
            <w:vAlign w:val="center"/>
          </w:tcPr>
          <w:p>
            <w:r/>
            <w:r>
              <w:rPr>
                <w:rFonts w:ascii="Calibri" w:hAnsi="Calibri"/>
                <w:color w:val="222632"/>
                <w:sz w:val="20"/>
              </w:rPr>
              <w:t>W6, W7</w:t>
            </w:r>
          </w:p>
        </w:tc>
      </w:tr>
      <w:tr>
        <w:tc>
          <w:tcPr>
            <w:tcW w:type="dxa" w:w="3249"/>
            <w:vAlign w:val="center"/>
          </w:tcPr>
          <w:p>
            <w:r/>
            <w:r>
              <w:rPr>
                <w:rFonts w:ascii="Calibri" w:hAnsi="Calibri"/>
                <w:color w:val="222632"/>
                <w:sz w:val="20"/>
              </w:rPr>
              <w:t>Cognition</w:t>
            </w:r>
          </w:p>
        </w:tc>
        <w:tc>
          <w:tcPr>
            <w:tcW w:type="dxa" w:w="3249"/>
            <w:vAlign w:val="center"/>
          </w:tcPr>
          <w:p>
            <w:r/>
            <w:r>
              <w:rPr>
                <w:rFonts w:ascii="Consolas" w:hAnsi="Consolas"/>
                <w:color w:val="1F2D5C"/>
                <w:sz w:val="18"/>
              </w:rPr>
              <w:t>memtotb</w:t>
            </w:r>
            <w:r>
              <w:rPr>
                <w:rFonts w:ascii="Calibri" w:hAnsi="Calibri"/>
                <w:color w:val="222632"/>
                <w:sz w:val="20"/>
              </w:rPr>
              <w:t xml:space="preserve"> (memory), </w:t>
            </w:r>
            <w:r>
              <w:rPr>
                <w:rFonts w:ascii="Consolas" w:hAnsi="Consolas"/>
                <w:color w:val="1F2D5C"/>
                <w:sz w:val="18"/>
              </w:rPr>
              <w:t>execnn</w:t>
            </w:r>
            <w:r>
              <w:rPr>
                <w:rFonts w:ascii="Calibri" w:hAnsi="Calibri"/>
                <w:color w:val="222632"/>
                <w:sz w:val="20"/>
              </w:rPr>
              <w:t xml:space="preserve"> (executive function)</w:t>
            </w:r>
          </w:p>
        </w:tc>
        <w:tc>
          <w:tcPr>
            <w:tcW w:type="dxa" w:w="3249"/>
            <w:vAlign w:val="center"/>
          </w:tcPr>
          <w:p>
            <w:r/>
            <w:r>
              <w:rPr>
                <w:rFonts w:ascii="Calibri" w:hAnsi="Calibri"/>
                <w:color w:val="222632"/>
                <w:sz w:val="20"/>
              </w:rPr>
              <w:t>W6, W7</w:t>
            </w:r>
          </w:p>
        </w:tc>
      </w:tr>
      <w:tr>
        <w:tc>
          <w:tcPr>
            <w:tcW w:type="dxa" w:w="3249"/>
            <w:vAlign w:val="center"/>
          </w:tcPr>
          <w:p>
            <w:r/>
            <w:r>
              <w:rPr>
                <w:rFonts w:ascii="Calibri" w:hAnsi="Calibri"/>
                <w:color w:val="222632"/>
                <w:sz w:val="20"/>
              </w:rPr>
              <w:t>Socioeconomic</w:t>
            </w:r>
          </w:p>
        </w:tc>
        <w:tc>
          <w:tcPr>
            <w:tcW w:type="dxa" w:w="3249"/>
            <w:vAlign w:val="center"/>
          </w:tcPr>
          <w:p>
            <w:r/>
            <w:r>
              <w:rPr>
                <w:rFonts w:ascii="Consolas" w:hAnsi="Consolas"/>
                <w:color w:val="1F2D5C"/>
                <w:sz w:val="18"/>
              </w:rPr>
              <w:t>findiff</w:t>
            </w:r>
            <w:r>
              <w:rPr>
                <w:rFonts w:ascii="Calibri" w:hAnsi="Calibri"/>
                <w:color w:val="222632"/>
                <w:sz w:val="20"/>
              </w:rPr>
              <w:t xml:space="preserve">, </w:t>
            </w:r>
            <w:r>
              <w:rPr>
                <w:rFonts w:ascii="Consolas" w:hAnsi="Consolas"/>
                <w:color w:val="1F2D5C"/>
                <w:sz w:val="18"/>
              </w:rPr>
              <w:t>totwq5_bu_s</w:t>
            </w:r>
            <w:r>
              <w:rPr>
                <w:rFonts w:ascii="Calibri" w:hAnsi="Calibri"/>
                <w:color w:val="222632"/>
                <w:sz w:val="20"/>
              </w:rPr>
              <w:t xml:space="preserve">, </w:t>
            </w:r>
            <w:r>
              <w:rPr>
                <w:rFonts w:ascii="Consolas" w:hAnsi="Consolas"/>
                <w:color w:val="1F2D5C"/>
                <w:sz w:val="18"/>
              </w:rPr>
              <w:t>ecpos</w:t>
            </w:r>
            <w:r>
              <w:rPr>
                <w:rFonts w:ascii="Calibri" w:hAnsi="Calibri"/>
                <w:color w:val="222632"/>
                <w:sz w:val="20"/>
              </w:rPr>
              <w:t xml:space="preserve">, </w:t>
            </w:r>
            <w:r>
              <w:rPr>
                <w:rFonts w:ascii="Consolas" w:hAnsi="Consolas"/>
                <w:color w:val="1F2D5C"/>
                <w:sz w:val="18"/>
              </w:rPr>
              <w:t>qual3</w:t>
            </w:r>
            <w:r>
              <w:rPr>
                <w:rFonts w:ascii="Calibri" w:hAnsi="Calibri"/>
                <w:color w:val="222632"/>
                <w:sz w:val="20"/>
              </w:rPr>
              <w:t xml:space="preserve">, </w:t>
            </w:r>
            <w:r>
              <w:rPr>
                <w:rFonts w:ascii="Consolas" w:hAnsi="Consolas"/>
                <w:color w:val="1F2D5C"/>
                <w:sz w:val="18"/>
              </w:rPr>
              <w:t>lackresb</w:t>
            </w:r>
          </w:p>
        </w:tc>
        <w:tc>
          <w:tcPr>
            <w:tcW w:type="dxa" w:w="3249"/>
            <w:vAlign w:val="center"/>
          </w:tcPr>
          <w:p>
            <w:r/>
            <w:r>
              <w:rPr>
                <w:rFonts w:ascii="Calibri" w:hAnsi="Calibri"/>
                <w:color w:val="222632"/>
                <w:sz w:val="20"/>
              </w:rPr>
              <w:t>W6, W7</w:t>
            </w:r>
          </w:p>
        </w:tc>
      </w:tr>
      <w:tr>
        <w:tc>
          <w:tcPr>
            <w:tcW w:type="dxa" w:w="3249"/>
            <w:vAlign w:val="center"/>
          </w:tcPr>
          <w:p>
            <w:r/>
            <w:r>
              <w:rPr>
                <w:rFonts w:ascii="Calibri" w:hAnsi="Calibri"/>
                <w:color w:val="222632"/>
                <w:sz w:val="20"/>
              </w:rPr>
              <w:t>Social/housing</w:t>
            </w:r>
          </w:p>
        </w:tc>
        <w:tc>
          <w:tcPr>
            <w:tcW w:type="dxa" w:w="3249"/>
            <w:vAlign w:val="center"/>
          </w:tcPr>
          <w:p>
            <w:r/>
            <w:r>
              <w:rPr>
                <w:rFonts w:ascii="Consolas" w:hAnsi="Consolas"/>
                <w:color w:val="1F2D5C"/>
                <w:sz w:val="18"/>
              </w:rPr>
              <w:t>famtype</w:t>
            </w:r>
            <w:r>
              <w:rPr>
                <w:rFonts w:ascii="Calibri" w:hAnsi="Calibri"/>
                <w:color w:val="222632"/>
                <w:sz w:val="20"/>
              </w:rPr>
              <w:t xml:space="preserve">, </w:t>
            </w:r>
            <w:r>
              <w:rPr>
                <w:rFonts w:ascii="Consolas" w:hAnsi="Consolas"/>
                <w:color w:val="1F2D5C"/>
                <w:sz w:val="18"/>
              </w:rPr>
              <w:t>tenure</w:t>
            </w:r>
            <w:r>
              <w:rPr>
                <w:rFonts w:ascii="Calibri" w:hAnsi="Calibri"/>
                <w:color w:val="222632"/>
                <w:sz w:val="20"/>
              </w:rPr>
              <w:t xml:space="preserve">, </w:t>
            </w:r>
            <w:r>
              <w:rPr>
                <w:rFonts w:ascii="Consolas" w:hAnsi="Consolas"/>
                <w:color w:val="1F2D5C"/>
                <w:sz w:val="18"/>
              </w:rPr>
              <w:t>chinhh</w:t>
            </w:r>
            <w:r>
              <w:rPr>
                <w:rFonts w:ascii="Calibri" w:hAnsi="Calibri"/>
                <w:color w:val="222632"/>
                <w:sz w:val="20"/>
              </w:rPr>
              <w:t xml:space="preserve">, </w:t>
            </w:r>
            <w:r>
              <w:rPr>
                <w:rFonts w:ascii="Consolas" w:hAnsi="Consolas"/>
                <w:color w:val="1F2D5C"/>
                <w:sz w:val="18"/>
              </w:rPr>
              <w:t>chouthh</w:t>
            </w:r>
            <w:r>
              <w:rPr>
                <w:rFonts w:ascii="Calibri" w:hAnsi="Calibri"/>
                <w:color w:val="222632"/>
                <w:sz w:val="20"/>
              </w:rPr>
              <w:t xml:space="preserve">, </w:t>
            </w:r>
            <w:r>
              <w:rPr>
                <w:rFonts w:ascii="Consolas" w:hAnsi="Consolas"/>
                <w:color w:val="1F2D5C"/>
                <w:sz w:val="18"/>
              </w:rPr>
              <w:t>smokerstat</w:t>
            </w:r>
          </w:p>
        </w:tc>
        <w:tc>
          <w:tcPr>
            <w:tcW w:type="dxa" w:w="3249"/>
            <w:vAlign w:val="center"/>
          </w:tcPr>
          <w:p>
            <w:r/>
            <w:r>
              <w:rPr>
                <w:rFonts w:ascii="Calibri" w:hAnsi="Calibri"/>
                <w:color w:val="222632"/>
                <w:sz w:val="20"/>
              </w:rPr>
              <w:t>W6, W7</w:t>
            </w:r>
          </w:p>
        </w:tc>
      </w:tr>
      <w:tr>
        <w:tc>
          <w:tcPr>
            <w:tcW w:type="dxa" w:w="3249"/>
            <w:vAlign w:val="center"/>
          </w:tcPr>
          <w:p>
            <w:r/>
            <w:r>
              <w:rPr>
                <w:rFonts w:ascii="Calibri" w:hAnsi="Calibri"/>
                <w:color w:val="222632"/>
                <w:sz w:val="20"/>
              </w:rPr>
              <w:t>Lifestyle/digital</w:t>
            </w:r>
          </w:p>
        </w:tc>
        <w:tc>
          <w:tcPr>
            <w:tcW w:type="dxa" w:w="3249"/>
            <w:vAlign w:val="center"/>
          </w:tcPr>
          <w:p>
            <w:r/>
            <w:r>
              <w:rPr>
                <w:rFonts w:ascii="Consolas" w:hAnsi="Consolas"/>
                <w:color w:val="1F2D5C"/>
                <w:sz w:val="18"/>
              </w:rPr>
              <w:t>heacta/b/c</w:t>
            </w:r>
            <w:r>
              <w:rPr>
                <w:rFonts w:ascii="Calibri" w:hAnsi="Calibri"/>
                <w:color w:val="222632"/>
                <w:sz w:val="20"/>
              </w:rPr>
              <w:t xml:space="preserve"> (physical activity), </w:t>
            </w:r>
            <w:r>
              <w:rPr>
                <w:rFonts w:ascii="Consolas" w:hAnsi="Consolas"/>
                <w:color w:val="1F2D5C"/>
                <w:sz w:val="18"/>
              </w:rPr>
              <w:t>scint</w:t>
            </w:r>
            <w:r>
              <w:rPr>
                <w:rFonts w:ascii="Calibri" w:hAnsi="Calibri"/>
                <w:color w:val="222632"/>
                <w:sz w:val="20"/>
              </w:rPr>
              <w:t xml:space="preserve"> (internet)</w:t>
            </w:r>
          </w:p>
        </w:tc>
        <w:tc>
          <w:tcPr>
            <w:tcW w:type="dxa" w:w="3249"/>
            <w:vAlign w:val="center"/>
          </w:tcPr>
          <w:p>
            <w:r/>
            <w:r>
              <w:rPr>
                <w:rFonts w:ascii="Calibri" w:hAnsi="Calibri"/>
                <w:color w:val="222632"/>
                <w:sz w:val="20"/>
              </w:rPr>
              <w:t>W6, W7</w:t>
            </w:r>
          </w:p>
        </w:tc>
      </w:tr>
      <w:tr>
        <w:tc>
          <w:tcPr>
            <w:tcW w:type="dxa" w:w="3249"/>
            <w:vAlign w:val="center"/>
          </w:tcPr>
          <w:p>
            <w:r/>
            <w:r>
              <w:rPr>
                <w:rFonts w:ascii="Calibri" w:hAnsi="Calibri"/>
                <w:color w:val="222632"/>
                <w:sz w:val="20"/>
              </w:rPr>
              <w:t>Demographics</w:t>
            </w:r>
          </w:p>
        </w:tc>
        <w:tc>
          <w:tcPr>
            <w:tcW w:type="dxa" w:w="3249"/>
            <w:vAlign w:val="center"/>
          </w:tcPr>
          <w:p>
            <w:r/>
            <w:r>
              <w:rPr>
                <w:rFonts w:ascii="Consolas" w:hAnsi="Consolas"/>
                <w:color w:val="1F2D5C"/>
                <w:sz w:val="18"/>
              </w:rPr>
              <w:t>age</w:t>
            </w:r>
            <w:r>
              <w:rPr>
                <w:rFonts w:ascii="Calibri" w:hAnsi="Calibri"/>
                <w:color w:val="222632"/>
                <w:sz w:val="20"/>
              </w:rPr>
              <w:t xml:space="preserve">, </w:t>
            </w:r>
            <w:r>
              <w:rPr>
                <w:rFonts w:ascii="Consolas" w:hAnsi="Consolas"/>
                <w:color w:val="1F2D5C"/>
                <w:sz w:val="18"/>
              </w:rPr>
              <w:t>sex</w:t>
            </w:r>
            <w:r>
              <w:rPr>
                <w:rFonts w:ascii="Calibri" w:hAnsi="Calibri"/>
                <w:color w:val="222632"/>
                <w:sz w:val="20"/>
              </w:rPr>
              <w:t xml:space="preserve">, </w:t>
            </w:r>
            <w:r>
              <w:rPr>
                <w:rFonts w:ascii="Consolas" w:hAnsi="Consolas"/>
                <w:color w:val="1F2D5C"/>
                <w:sz w:val="18"/>
              </w:rPr>
              <w:t>nonwhite</w:t>
            </w:r>
            <w:r>
              <w:rPr>
                <w:rFonts w:ascii="Calibri" w:hAnsi="Calibri"/>
                <w:color w:val="222632"/>
                <w:sz w:val="20"/>
              </w:rPr>
              <w:t xml:space="preserve">, </w:t>
            </w:r>
            <w:r>
              <w:rPr>
                <w:rFonts w:ascii="Consolas" w:hAnsi="Consolas"/>
                <w:color w:val="1F2D5C"/>
                <w:sz w:val="18"/>
              </w:rPr>
              <w:t>marstat</w:t>
            </w:r>
            <w:r>
              <w:rPr>
                <w:rFonts w:ascii="Calibri" w:hAnsi="Calibri"/>
                <w:color w:val="222632"/>
                <w:sz w:val="20"/>
              </w:rPr>
              <w:t xml:space="preserve">, </w:t>
            </w:r>
            <w:r>
              <w:rPr>
                <w:rFonts w:ascii="Consolas" w:hAnsi="Consolas"/>
                <w:color w:val="1F2D5C"/>
                <w:sz w:val="18"/>
              </w:rPr>
              <w:t>couple</w:t>
            </w:r>
          </w:p>
        </w:tc>
        <w:tc>
          <w:tcPr>
            <w:tcW w:type="dxa" w:w="3249"/>
            <w:vAlign w:val="center"/>
          </w:tcPr>
          <w:p>
            <w:r/>
            <w:r>
              <w:rPr>
                <w:rFonts w:ascii="Calibri" w:hAnsi="Calibri"/>
                <w:color w:val="222632"/>
                <w:sz w:val="20"/>
              </w:rPr>
              <w:t>W6, W7</w:t>
            </w:r>
          </w:p>
        </w:tc>
      </w:tr>
    </w:tbl>
    <w:p>
      <w:pPr>
        <w:spacing w:after="120" w:line="300" w:lineRule="auto"/>
      </w:pPr>
      <w:r>
        <w:rPr>
          <w:rFonts w:ascii="Calibri" w:hAnsi="Calibri"/>
          <w:color w:val="222632"/>
          <w:sz w:val="22"/>
        </w:rPr>
        <w:t xml:space="preserve">Survey missing codes (−1, −2, −8, −9) are recoded to NaN. Columns with more than 40 percent missing are dropped using a </w:t>
      </w:r>
      <w:r>
        <w:rPr>
          <w:rFonts w:ascii="Calibri" w:hAnsi="Calibri"/>
          <w:b/>
          <w:color w:val="222632"/>
          <w:sz w:val="22"/>
        </w:rPr>
        <w:t>training-only estimate</w:t>
      </w:r>
      <w:r>
        <w:rPr>
          <w:rFonts w:ascii="Calibri" w:hAnsi="Calibri"/>
          <w:color w:val="222632"/>
          <w:sz w:val="22"/>
        </w:rPr>
        <w:t xml:space="preserve"> to avoid leakage. Wave symmetry is enforced: if a variable stem fails the missingness threshold at one wave, both wave versions are removed. This affected the neighbourhood deprivation index (</w:t>
      </w:r>
      <w:r>
        <w:rPr>
          <w:rFonts w:ascii="Consolas" w:hAnsi="Consolas"/>
          <w:color w:val="1F2D5C"/>
          <w:sz w:val="20"/>
        </w:rPr>
        <w:t>ndepriv</w:t>
      </w:r>
      <w:r>
        <w:rPr>
          <w:rFonts w:ascii="Calibri" w:hAnsi="Calibri"/>
          <w:color w:val="222632"/>
          <w:sz w:val="22"/>
        </w:rPr>
        <w:t>), which was dropped from both waves because the Wave 7 version had 56 percent missing in the training partition.</w:t>
      </w:r>
    </w:p>
    <w:p>
      <w:pPr>
        <w:spacing w:after="120" w:line="300" w:lineRule="auto"/>
      </w:pPr>
      <w:r>
        <w:rPr>
          <w:rFonts w:ascii="Calibri" w:hAnsi="Calibri"/>
          <w:b/>
          <w:color w:val="222632"/>
          <w:sz w:val="22"/>
        </w:rPr>
        <w:t>Composite scores were engineered to reduce correlated item batteries:</w:t>
      </w:r>
    </w:p>
    <w:tbl>
      <w:tblPr>
        <w:tblStyle w:val="LightGrid-Accent1"/>
        <w:tblW w:type="auto" w:w="0"/>
        <w:jc w:val="left"/>
        <w:tblLayout w:type="autofit"/>
        <w:tblLook w:firstColumn="1" w:firstRow="1" w:lastColumn="0" w:lastRow="0" w:noHBand="0" w:noVBand="1" w:val="04A0"/>
      </w:tblPr>
      <w:tblGrid>
        <w:gridCol w:w="3249"/>
        <w:gridCol w:w="3249"/>
        <w:gridCol w:w="3249"/>
      </w:tblGrid>
      <w:tr>
        <w:tc>
          <w:tcPr>
            <w:tcW w:type="dxa" w:w="3249"/>
            <w:vAlign w:val="center"/>
            <w:shd w:val="clear" w:color="auto" w:fill="1F2D5C"/>
          </w:tcPr>
          <w:p>
            <w:r/>
            <w:r>
              <w:rPr>
                <w:rFonts w:ascii="Calibri" w:hAnsi="Calibri"/>
                <w:b/>
                <w:color w:val="FFFFFF"/>
                <w:sz w:val="21"/>
              </w:rPr>
              <w:t>Feature</w:t>
            </w:r>
          </w:p>
        </w:tc>
        <w:tc>
          <w:tcPr>
            <w:tcW w:type="dxa" w:w="3249"/>
            <w:vAlign w:val="center"/>
            <w:shd w:val="clear" w:color="auto" w:fill="1F2D5C"/>
          </w:tcPr>
          <w:p>
            <w:r/>
            <w:r>
              <w:rPr>
                <w:rFonts w:ascii="Calibri" w:hAnsi="Calibri"/>
                <w:b/>
                <w:color w:val="FFFFFF"/>
                <w:sz w:val="21"/>
              </w:rPr>
              <w:t>Definition</w:t>
            </w:r>
          </w:p>
        </w:tc>
        <w:tc>
          <w:tcPr>
            <w:tcW w:type="dxa" w:w="3249"/>
            <w:vAlign w:val="center"/>
            <w:shd w:val="clear" w:color="auto" w:fill="1F2D5C"/>
          </w:tcPr>
          <w:p>
            <w:r/>
            <w:r>
              <w:rPr>
                <w:rFonts w:ascii="Calibri" w:hAnsi="Calibri"/>
                <w:b/>
                <w:color w:val="FFFFFF"/>
                <w:sz w:val="21"/>
              </w:rPr>
              <w:t>Clinical meaning</w:t>
            </w:r>
          </w:p>
        </w:tc>
      </w:tr>
      <w:tr>
        <w:tc>
          <w:tcPr>
            <w:tcW w:type="dxa" w:w="3249"/>
            <w:vAlign w:val="center"/>
          </w:tcPr>
          <w:p>
            <w:r/>
            <w:r>
              <w:rPr>
                <w:rFonts w:ascii="Consolas" w:hAnsi="Consolas"/>
                <w:color w:val="1F2D5C"/>
                <w:sz w:val="18"/>
              </w:rPr>
              <w:t>cesd_change</w:t>
            </w:r>
          </w:p>
        </w:tc>
        <w:tc>
          <w:tcPr>
            <w:tcW w:type="dxa" w:w="3249"/>
            <w:vAlign w:val="center"/>
          </w:tcPr>
          <w:p>
            <w:r/>
            <w:r>
              <w:rPr>
                <w:rFonts w:ascii="Calibri" w:hAnsi="Calibri"/>
                <w:color w:val="222632"/>
                <w:sz w:val="20"/>
              </w:rPr>
              <w:t>CES-D(W7) − CES-D(W6)</w:t>
            </w:r>
          </w:p>
        </w:tc>
        <w:tc>
          <w:tcPr>
            <w:tcW w:type="dxa" w:w="3249"/>
            <w:vAlign w:val="center"/>
          </w:tcPr>
          <w:p>
            <w:r/>
            <w:r>
              <w:rPr>
                <w:rFonts w:ascii="Calibri" w:hAnsi="Calibri"/>
                <w:color w:val="222632"/>
                <w:sz w:val="20"/>
              </w:rPr>
              <w:t>Trajectory of depressive symptoms</w:t>
            </w:r>
          </w:p>
        </w:tc>
      </w:tr>
      <w:tr>
        <w:tc>
          <w:tcPr>
            <w:tcW w:type="dxa" w:w="3249"/>
            <w:vAlign w:val="center"/>
          </w:tcPr>
          <w:p>
            <w:r/>
            <w:r>
              <w:rPr>
                <w:rFonts w:ascii="Consolas" w:hAnsi="Consolas"/>
                <w:color w:val="1F2D5C"/>
                <w:sz w:val="18"/>
              </w:rPr>
              <w:t>mobility_count_w6/7</w:t>
            </w:r>
          </w:p>
        </w:tc>
        <w:tc>
          <w:tcPr>
            <w:tcW w:type="dxa" w:w="3249"/>
            <w:vAlign w:val="center"/>
          </w:tcPr>
          <w:p>
            <w:r/>
            <w:r>
              <w:rPr>
                <w:rFonts w:ascii="Calibri" w:hAnsi="Calibri"/>
                <w:color w:val="222632"/>
                <w:sz w:val="20"/>
              </w:rPr>
              <w:t>Sum of 10 mobility difficulty items</w:t>
            </w:r>
          </w:p>
        </w:tc>
        <w:tc>
          <w:tcPr>
            <w:tcW w:type="dxa" w:w="3249"/>
            <w:vAlign w:val="center"/>
          </w:tcPr>
          <w:p>
            <w:r/>
            <w:r>
              <w:rPr>
                <w:rFonts w:ascii="Calibri" w:hAnsi="Calibri"/>
                <w:color w:val="222632"/>
                <w:sz w:val="20"/>
              </w:rPr>
              <w:t>Composite physical function score</w:t>
            </w:r>
          </w:p>
        </w:tc>
      </w:tr>
      <w:tr>
        <w:tc>
          <w:tcPr>
            <w:tcW w:type="dxa" w:w="3249"/>
            <w:vAlign w:val="center"/>
          </w:tcPr>
          <w:p>
            <w:r/>
            <w:r>
              <w:rPr>
                <w:rFonts w:ascii="Consolas" w:hAnsi="Consolas"/>
                <w:color w:val="1F2D5C"/>
                <w:sz w:val="18"/>
              </w:rPr>
              <w:t>adl_count_w6/7</w:t>
            </w:r>
          </w:p>
        </w:tc>
        <w:tc>
          <w:tcPr>
            <w:tcW w:type="dxa" w:w="3249"/>
            <w:vAlign w:val="center"/>
          </w:tcPr>
          <w:p>
            <w:r/>
            <w:r>
              <w:rPr>
                <w:rFonts w:ascii="Calibri" w:hAnsi="Calibri"/>
                <w:color w:val="222632"/>
                <w:sz w:val="20"/>
              </w:rPr>
              <w:t>Sum of 6 ADL items</w:t>
            </w:r>
          </w:p>
        </w:tc>
        <w:tc>
          <w:tcPr>
            <w:tcW w:type="dxa" w:w="3249"/>
            <w:vAlign w:val="center"/>
          </w:tcPr>
          <w:p>
            <w:r/>
            <w:r>
              <w:rPr>
                <w:rFonts w:ascii="Calibri" w:hAnsi="Calibri"/>
                <w:color w:val="222632"/>
                <w:sz w:val="20"/>
              </w:rPr>
              <w:t>Basic self-care difficulty (bathing, dressing, eating)</w:t>
            </w:r>
          </w:p>
        </w:tc>
      </w:tr>
      <w:tr>
        <w:tc>
          <w:tcPr>
            <w:tcW w:type="dxa" w:w="3249"/>
            <w:vAlign w:val="center"/>
          </w:tcPr>
          <w:p>
            <w:r/>
            <w:r>
              <w:rPr>
                <w:rFonts w:ascii="Consolas" w:hAnsi="Consolas"/>
                <w:color w:val="1F2D5C"/>
                <w:sz w:val="18"/>
              </w:rPr>
              <w:t>iadl_count_w6/7</w:t>
            </w:r>
          </w:p>
        </w:tc>
        <w:tc>
          <w:tcPr>
            <w:tcW w:type="dxa" w:w="3249"/>
            <w:vAlign w:val="center"/>
          </w:tcPr>
          <w:p>
            <w:r/>
            <w:r>
              <w:rPr>
                <w:rFonts w:ascii="Calibri" w:hAnsi="Calibri"/>
                <w:color w:val="222632"/>
                <w:sz w:val="20"/>
              </w:rPr>
              <w:t>Sum of 9 IADL items</w:t>
            </w:r>
          </w:p>
        </w:tc>
        <w:tc>
          <w:tcPr>
            <w:tcW w:type="dxa" w:w="3249"/>
            <w:vAlign w:val="center"/>
          </w:tcPr>
          <w:p>
            <w:r/>
            <w:r>
              <w:rPr>
                <w:rFonts w:ascii="Calibri" w:hAnsi="Calibri"/>
                <w:color w:val="222632"/>
                <w:sz w:val="20"/>
              </w:rPr>
              <w:t>Complex daily task difficulty (managing money, taking medication)</w:t>
            </w:r>
          </w:p>
        </w:tc>
      </w:tr>
      <w:tr>
        <w:tc>
          <w:tcPr>
            <w:tcW w:type="dxa" w:w="3249"/>
            <w:vAlign w:val="center"/>
          </w:tcPr>
          <w:p>
            <w:r/>
            <w:r>
              <w:rPr>
                <w:rFonts w:ascii="Consolas" w:hAnsi="Consolas"/>
                <w:color w:val="1F2D5C"/>
                <w:sz w:val="18"/>
              </w:rPr>
              <w:t>functional_burden_w6/7</w:t>
            </w:r>
          </w:p>
        </w:tc>
        <w:tc>
          <w:tcPr>
            <w:tcW w:type="dxa" w:w="3249"/>
            <w:vAlign w:val="center"/>
          </w:tcPr>
          <w:p>
            <w:r/>
            <w:r>
              <w:rPr>
                <w:rFonts w:ascii="Calibri" w:hAnsi="Calibri"/>
                <w:color w:val="222632"/>
                <w:sz w:val="20"/>
              </w:rPr>
              <w:t>ADL + IADL count</w:t>
            </w:r>
          </w:p>
        </w:tc>
        <w:tc>
          <w:tcPr>
            <w:tcW w:type="dxa" w:w="3249"/>
            <w:vAlign w:val="center"/>
          </w:tcPr>
          <w:p>
            <w:r/>
            <w:r>
              <w:rPr>
                <w:rFonts w:ascii="Calibri" w:hAnsi="Calibri"/>
                <w:color w:val="222632"/>
                <w:sz w:val="20"/>
              </w:rPr>
              <w:t>Total functional impairment</w:t>
            </w:r>
          </w:p>
        </w:tc>
      </w:tr>
      <w:tr>
        <w:tc>
          <w:tcPr>
            <w:tcW w:type="dxa" w:w="3249"/>
            <w:vAlign w:val="center"/>
          </w:tcPr>
          <w:p>
            <w:r/>
            <w:r>
              <w:rPr>
                <w:rFonts w:ascii="Consolas" w:hAnsi="Consolas"/>
                <w:color w:val="1F2D5C"/>
                <w:sz w:val="18"/>
              </w:rPr>
              <w:t>mobility_change</w:t>
            </w:r>
          </w:p>
        </w:tc>
        <w:tc>
          <w:tcPr>
            <w:tcW w:type="dxa" w:w="3249"/>
            <w:vAlign w:val="center"/>
          </w:tcPr>
          <w:p>
            <w:r/>
            <w:r>
              <w:rPr>
                <w:rFonts w:ascii="Calibri" w:hAnsi="Calibri"/>
                <w:color w:val="222632"/>
                <w:sz w:val="20"/>
              </w:rPr>
              <w:t>Mobility(W7) − Mobility(W6)</w:t>
            </w:r>
          </w:p>
        </w:tc>
        <w:tc>
          <w:tcPr>
            <w:tcW w:type="dxa" w:w="3249"/>
            <w:vAlign w:val="center"/>
          </w:tcPr>
          <w:p>
            <w:r/>
            <w:r>
              <w:rPr>
                <w:rFonts w:ascii="Calibri" w:hAnsi="Calibri"/>
                <w:color w:val="222632"/>
                <w:sz w:val="20"/>
              </w:rPr>
              <w:t>Decline in physical function</w:t>
            </w:r>
          </w:p>
        </w:tc>
      </w:tr>
    </w:tbl>
    <w:p>
      <w:pPr>
        <w:spacing w:after="120" w:line="300" w:lineRule="auto"/>
      </w:pPr>
      <w:r>
        <w:rPr>
          <w:rFonts w:ascii="Calibri" w:hAnsi="Calibri"/>
          <w:color w:val="222632"/>
          <w:sz w:val="22"/>
        </w:rPr>
        <w:t xml:space="preserve">The </w:t>
      </w:r>
      <w:r>
        <w:rPr>
          <w:rFonts w:ascii="Consolas" w:hAnsi="Consolas"/>
          <w:color w:val="1F2D5C"/>
          <w:sz w:val="20"/>
        </w:rPr>
        <w:t>cesd_change</w:t>
      </w:r>
      <w:r>
        <w:rPr>
          <w:rFonts w:ascii="Calibri" w:hAnsi="Calibri"/>
          <w:color w:val="222632"/>
          <w:sz w:val="22"/>
        </w:rPr>
        <w:t xml:space="preserve"> and </w:t>
      </w:r>
      <w:r>
        <w:rPr>
          <w:rFonts w:ascii="Consolas" w:hAnsi="Consolas"/>
          <w:color w:val="1F2D5C"/>
          <w:sz w:val="20"/>
        </w:rPr>
        <w:t>mobility_change</w:t>
      </w:r>
      <w:r>
        <w:rPr>
          <w:rFonts w:ascii="Calibri" w:hAnsi="Calibri"/>
          <w:color w:val="222632"/>
          <w:sz w:val="22"/>
        </w:rPr>
        <w:t xml:space="preserve"> features explicitly capture </w:t>
      </w:r>
      <w:r>
        <w:rPr>
          <w:rFonts w:ascii="Calibri" w:hAnsi="Calibri"/>
          <w:b/>
          <w:color w:val="222632"/>
          <w:sz w:val="22"/>
        </w:rPr>
        <w:t>temporal change</w:t>
      </w:r>
      <w:r>
        <w:rPr>
          <w:rFonts w:ascii="Calibri" w:hAnsi="Calibri"/>
          <w:color w:val="222632"/>
          <w:sz w:val="22"/>
        </w:rPr>
        <w:t>, satisfying the assignment brief's requirement to "represent the temporal changes that lead to mental health issues."</w:t>
      </w:r>
    </w:p>
    <w:p>
      <w:pPr>
        <w:spacing w:before="120" w:after="120"/>
        <w:pBdr>
          <w:bottom w:val="single" w:sz="6" w:space="1" w:color="AAAAAA"/>
        </w:pBdr>
      </w:pPr>
    </w:p>
    <w:p>
      <w:pPr>
        <w:keepNext/>
        <w:spacing w:before="240" w:after="120"/>
      </w:pPr>
      <w:r>
        <w:rPr>
          <w:rFonts w:ascii="Calibri" w:hAnsi="Calibri"/>
          <w:b/>
          <w:color w:val="1F2D5C"/>
          <w:sz w:val="32"/>
        </w:rPr>
        <w:t>5. Methodology</w:t>
      </w:r>
    </w:p>
    <w:p>
      <w:pPr>
        <w:keepNext/>
        <w:spacing w:before="240" w:after="120"/>
      </w:pPr>
      <w:r>
        <w:rPr>
          <w:rFonts w:ascii="Calibri" w:hAnsi="Calibri"/>
          <w:b/>
          <w:color w:val="186F82"/>
          <w:sz w:val="26"/>
        </w:rPr>
        <w:t>5.1 Analytic sample construction</w:t>
      </w:r>
    </w:p>
    <w:p>
      <w:pPr>
        <w:spacing w:after="120" w:line="300" w:lineRule="auto"/>
      </w:pPr>
      <w:r>
        <w:rPr>
          <w:rFonts w:ascii="Calibri" w:hAnsi="Calibri"/>
          <w:color w:val="222632"/>
          <w:sz w:val="22"/>
        </w:rPr>
        <w:t xml:space="preserve">We loaded IFS, core, and financial files for each of W6, W7, W8 and merged them on </w:t>
      </w:r>
      <w:r>
        <w:rPr>
          <w:rFonts w:ascii="Consolas" w:hAnsi="Consolas"/>
          <w:color w:val="1F2D5C"/>
          <w:sz w:val="20"/>
        </w:rPr>
        <w:t>idauniq</w:t>
      </w:r>
      <w:r>
        <w:rPr>
          <w:rFonts w:ascii="Calibri" w:hAnsi="Calibri"/>
          <w:color w:val="222632"/>
          <w:sz w:val="22"/>
        </w:rPr>
        <w:t xml:space="preserve"> (inner join), keeping only participants present in all three waves.</w:t>
      </w:r>
    </w:p>
    <w:tbl>
      <w:tblPr>
        <w:tblStyle w:val="LightGrid-Accent1"/>
        <w:tblW w:type="auto" w:w="0"/>
        <w:jc w:val="left"/>
        <w:tblLayout w:type="autofit"/>
        <w:tblLook w:firstColumn="1" w:firstRow="1" w:lastColumn="0" w:lastRow="0" w:noHBand="0" w:noVBand="1" w:val="04A0"/>
      </w:tblPr>
      <w:tblGrid>
        <w:gridCol w:w="4873"/>
        <w:gridCol w:w="4873"/>
      </w:tblGrid>
      <w:tr>
        <w:tc>
          <w:tcPr>
            <w:tcW w:type="dxa" w:w="4873"/>
            <w:vAlign w:val="center"/>
            <w:shd w:val="clear" w:color="auto" w:fill="1F2D5C"/>
          </w:tcPr>
          <w:p>
            <w:r/>
            <w:r>
              <w:rPr>
                <w:rFonts w:ascii="Calibri" w:hAnsi="Calibri"/>
                <w:b/>
                <w:color w:val="FFFFFF"/>
                <w:sz w:val="21"/>
              </w:rPr>
              <w:t>Step</w:t>
            </w:r>
          </w:p>
        </w:tc>
        <w:tc>
          <w:tcPr>
            <w:tcW w:type="dxa" w:w="4873"/>
            <w:vAlign w:val="center"/>
            <w:shd w:val="clear" w:color="auto" w:fill="1F2D5C"/>
          </w:tcPr>
          <w:p>
            <w:r/>
            <w:r>
              <w:rPr>
                <w:rFonts w:ascii="Calibri" w:hAnsi="Calibri"/>
                <w:b/>
                <w:color w:val="FFFFFF"/>
                <w:sz w:val="21"/>
              </w:rPr>
              <w:t>N</w:t>
            </w:r>
          </w:p>
        </w:tc>
      </w:tr>
      <w:tr>
        <w:tc>
          <w:tcPr>
            <w:tcW w:type="dxa" w:w="4873"/>
            <w:vAlign w:val="center"/>
          </w:tcPr>
          <w:p>
            <w:r/>
            <w:r>
              <w:rPr>
                <w:rFonts w:ascii="Calibri" w:hAnsi="Calibri"/>
                <w:color w:val="222632"/>
                <w:sz w:val="20"/>
              </w:rPr>
              <w:t>W6 IFS respondents</w:t>
            </w:r>
          </w:p>
        </w:tc>
        <w:tc>
          <w:tcPr>
            <w:tcW w:type="dxa" w:w="4873"/>
            <w:vAlign w:val="center"/>
          </w:tcPr>
          <w:p>
            <w:r/>
            <w:r>
              <w:rPr>
                <w:rFonts w:ascii="Calibri" w:hAnsi="Calibri"/>
                <w:color w:val="222632"/>
                <w:sz w:val="20"/>
              </w:rPr>
              <w:t>10,601</w:t>
            </w:r>
          </w:p>
        </w:tc>
      </w:tr>
      <w:tr>
        <w:tc>
          <w:tcPr>
            <w:tcW w:type="dxa" w:w="4873"/>
            <w:vAlign w:val="center"/>
          </w:tcPr>
          <w:p>
            <w:r/>
            <w:r>
              <w:rPr>
                <w:rFonts w:ascii="Calibri" w:hAnsi="Calibri"/>
                <w:color w:val="222632"/>
                <w:sz w:val="20"/>
              </w:rPr>
              <w:t>W7 IFS respondents</w:t>
            </w:r>
          </w:p>
        </w:tc>
        <w:tc>
          <w:tcPr>
            <w:tcW w:type="dxa" w:w="4873"/>
            <w:vAlign w:val="center"/>
          </w:tcPr>
          <w:p>
            <w:r/>
            <w:r>
              <w:rPr>
                <w:rFonts w:ascii="Calibri" w:hAnsi="Calibri"/>
                <w:color w:val="222632"/>
                <w:sz w:val="20"/>
              </w:rPr>
              <w:t>9,666</w:t>
            </w:r>
          </w:p>
        </w:tc>
      </w:tr>
      <w:tr>
        <w:tc>
          <w:tcPr>
            <w:tcW w:type="dxa" w:w="4873"/>
            <w:vAlign w:val="center"/>
          </w:tcPr>
          <w:p>
            <w:r/>
            <w:r>
              <w:rPr>
                <w:rFonts w:ascii="Calibri" w:hAnsi="Calibri"/>
                <w:color w:val="222632"/>
                <w:sz w:val="20"/>
              </w:rPr>
              <w:t>W8 IFS respondents</w:t>
            </w:r>
          </w:p>
        </w:tc>
        <w:tc>
          <w:tcPr>
            <w:tcW w:type="dxa" w:w="4873"/>
            <w:vAlign w:val="center"/>
          </w:tcPr>
          <w:p>
            <w:r/>
            <w:r>
              <w:rPr>
                <w:rFonts w:ascii="Calibri" w:hAnsi="Calibri"/>
                <w:color w:val="222632"/>
                <w:sz w:val="20"/>
              </w:rPr>
              <w:t>8,445</w:t>
            </w:r>
          </w:p>
        </w:tc>
      </w:tr>
      <w:tr>
        <w:tc>
          <w:tcPr>
            <w:tcW w:type="dxa" w:w="4873"/>
            <w:vAlign w:val="center"/>
          </w:tcPr>
          <w:p>
            <w:r/>
            <w:r>
              <w:rPr>
                <w:rFonts w:ascii="Calibri" w:hAnsi="Calibri"/>
                <w:color w:val="222632"/>
                <w:sz w:val="20"/>
              </w:rPr>
              <w:t>Inner join W6 ∩ W7 ∩ W8</w:t>
            </w:r>
          </w:p>
        </w:tc>
        <w:tc>
          <w:tcPr>
            <w:tcW w:type="dxa" w:w="4873"/>
            <w:vAlign w:val="center"/>
          </w:tcPr>
          <w:p>
            <w:r/>
            <w:r>
              <w:rPr>
                <w:rFonts w:ascii="Calibri" w:hAnsi="Calibri"/>
                <w:color w:val="222632"/>
                <w:sz w:val="20"/>
              </w:rPr>
              <w:t>7,535</w:t>
            </w:r>
          </w:p>
        </w:tc>
      </w:tr>
      <w:tr>
        <w:tc>
          <w:tcPr>
            <w:tcW w:type="dxa" w:w="4873"/>
            <w:vAlign w:val="center"/>
          </w:tcPr>
          <w:p>
            <w:r/>
            <w:r>
              <w:rPr>
                <w:rFonts w:ascii="Calibri" w:hAnsi="Calibri"/>
                <w:color w:val="222632"/>
                <w:sz w:val="20"/>
              </w:rPr>
              <w:t xml:space="preserve">With valid </w:t>
            </w:r>
            <w:r>
              <w:rPr>
                <w:rFonts w:ascii="Consolas" w:hAnsi="Consolas"/>
                <w:color w:val="1F2D5C"/>
                <w:sz w:val="18"/>
              </w:rPr>
              <w:t>cesd_sc_w8</w:t>
            </w:r>
            <w:r>
              <w:rPr>
                <w:rFonts w:ascii="Calibri" w:hAnsi="Calibri"/>
                <w:color w:val="222632"/>
                <w:sz w:val="20"/>
              </w:rPr>
              <w:t xml:space="preserve"> (after dropping survey missing codes)</w:t>
            </w:r>
          </w:p>
        </w:tc>
        <w:tc>
          <w:tcPr>
            <w:tcW w:type="dxa" w:w="4873"/>
            <w:vAlign w:val="center"/>
          </w:tcPr>
          <w:p>
            <w:r/>
            <w:r>
              <w:rPr>
                <w:rFonts w:ascii="Calibri" w:hAnsi="Calibri"/>
                <w:b/>
                <w:color w:val="222632"/>
                <w:sz w:val="20"/>
              </w:rPr>
              <w:t>7,211</w:t>
            </w:r>
          </w:p>
        </w:tc>
      </w:tr>
    </w:tbl>
    <w:p>
      <w:pPr>
        <w:spacing w:after="120" w:line="300" w:lineRule="auto"/>
      </w:pPr>
      <w:r>
        <w:rPr>
          <w:rFonts w:ascii="Calibri" w:hAnsi="Calibri"/>
          <w:color w:val="222632"/>
          <w:sz w:val="22"/>
        </w:rPr>
        <w:t>The 7,211 figure is our final modelling sample. Of these, 1,372 (19.0%) are depressed at W8 and 5,839 (81.0%) are not.</w:t>
      </w:r>
    </w:p>
    <w:p>
      <w:pPr>
        <w:keepNext/>
        <w:spacing w:before="240" w:after="120"/>
      </w:pPr>
      <w:r>
        <w:rPr>
          <w:rFonts w:ascii="Calibri" w:hAnsi="Calibri"/>
          <w:b/>
          <w:color w:val="186F82"/>
          <w:sz w:val="26"/>
        </w:rPr>
        <w:t>5.2 Preprocessing</w:t>
      </w:r>
    </w:p>
    <w:p>
      <w:pPr>
        <w:spacing w:after="120" w:line="300" w:lineRule="auto"/>
      </w:pPr>
      <w:r>
        <w:rPr>
          <w:rFonts w:ascii="Calibri" w:hAnsi="Calibri"/>
          <w:color w:val="222632"/>
          <w:sz w:val="22"/>
        </w:rPr>
        <w:t>Three steps, in order:</w:t>
      </w:r>
    </w:p>
    <w:p>
      <w:pPr>
        <w:pStyle w:val="ListBullet"/>
        <w:spacing w:after="40" w:line="288" w:lineRule="auto"/>
      </w:pPr>
      <w:r>
        <w:rPr>
          <w:rFonts w:ascii="Calibri" w:hAnsi="Calibri"/>
          <w:b/>
          <w:color w:val="222632"/>
          <w:sz w:val="22"/>
        </w:rPr>
        <w:t>Survey missing code recoding.</w:t>
      </w:r>
      <w:r>
        <w:rPr>
          <w:rFonts w:ascii="Calibri" w:hAnsi="Calibri"/>
          <w:color w:val="222632"/>
          <w:sz w:val="22"/>
        </w:rPr>
        <w:t xml:space="preserve"> ELSA encodes non-responses as numeric -1, -2, -8, -9. Every predictor column is converted to numeric and these codes are mapped to NaN.</w:t>
      </w:r>
    </w:p>
    <w:p>
      <w:pPr>
        <w:pStyle w:val="ListBullet"/>
        <w:spacing w:after="40" w:line="288" w:lineRule="auto"/>
      </w:pPr>
      <w:r>
        <w:rPr>
          <w:rFonts w:ascii="Calibri" w:hAnsi="Calibri"/>
          <w:b/>
          <w:color w:val="222632"/>
          <w:sz w:val="22"/>
        </w:rPr>
        <w:t>High-missingness column drop.</w:t>
      </w:r>
      <w:r>
        <w:rPr>
          <w:rFonts w:ascii="Calibri" w:hAnsi="Calibri"/>
          <w:color w:val="222632"/>
          <w:sz w:val="22"/>
        </w:rPr>
        <w:t xml:space="preserve"> Columns with more than 40% missing values are dropped. The threshold is computed on a training-only split (75% of data) to ensure the test set does not influence which features the model sees. In practice only one column triggers the threshold (</w:t>
      </w:r>
      <w:r>
        <w:rPr>
          <w:rFonts w:ascii="Consolas" w:hAnsi="Consolas"/>
          <w:color w:val="1F2D5C"/>
          <w:sz w:val="20"/>
        </w:rPr>
        <w:t>ndepriv_w7</w:t>
      </w:r>
      <w:r>
        <w:rPr>
          <w:rFonts w:ascii="Calibri" w:hAnsi="Calibri"/>
          <w:color w:val="222632"/>
          <w:sz w:val="22"/>
        </w:rPr>
        <w:t xml:space="preserve"> at 56% missing), but the methodology is correct.</w:t>
      </w:r>
    </w:p>
    <w:p>
      <w:pPr>
        <w:pStyle w:val="ListBullet"/>
        <w:spacing w:after="40" w:line="288" w:lineRule="auto"/>
      </w:pPr>
      <w:r>
        <w:rPr>
          <w:rFonts w:ascii="Calibri" w:hAnsi="Calibri"/>
          <w:b/>
          <w:color w:val="222632"/>
          <w:sz w:val="22"/>
        </w:rPr>
        <w:t>Wave-symmetry enforcement.</w:t>
      </w:r>
      <w:r>
        <w:rPr>
          <w:rFonts w:ascii="Calibri" w:hAnsi="Calibri"/>
          <w:color w:val="222632"/>
          <w:sz w:val="22"/>
        </w:rPr>
        <w:t xml:space="preserve"> If a stem (e.g. </w:t>
      </w:r>
      <w:r>
        <w:rPr>
          <w:rFonts w:ascii="Consolas" w:hAnsi="Consolas"/>
          <w:color w:val="1F2D5C"/>
          <w:sz w:val="20"/>
        </w:rPr>
        <w:t>ndepriv</w:t>
      </w:r>
      <w:r>
        <w:rPr>
          <w:rFonts w:ascii="Calibri" w:hAnsi="Calibri"/>
          <w:color w:val="222632"/>
          <w:sz w:val="22"/>
        </w:rPr>
        <w:t>) is dropped at one wave, it is dropped from both waves. This prevents the longitudinal model from training on a feature that is half-available across time, which would produce inconsistent measurements per person.</w:t>
      </w:r>
    </w:p>
    <w:p>
      <w:pPr>
        <w:spacing w:after="120" w:line="300" w:lineRule="auto"/>
      </w:pPr>
      <w:r>
        <w:rPr>
          <w:rFonts w:ascii="Calibri" w:hAnsi="Calibri"/>
          <w:color w:val="222632"/>
          <w:sz w:val="22"/>
        </w:rPr>
        <w:t xml:space="preserve">Imputation (median) and scaling (standard, where applicable) happen inside scikit-learn </w:t>
      </w:r>
      <w:r>
        <w:rPr>
          <w:rFonts w:ascii="Consolas" w:hAnsi="Consolas"/>
          <w:color w:val="1F2D5C"/>
          <w:sz w:val="20"/>
        </w:rPr>
        <w:t>Pipeline</w:t>
      </w:r>
      <w:r>
        <w:rPr>
          <w:rFonts w:ascii="Calibri" w:hAnsi="Calibri"/>
          <w:color w:val="222632"/>
          <w:sz w:val="22"/>
        </w:rPr>
        <w:t xml:space="preserve"> objects so they are fit on training data only — no test-set leakage.</w:t>
      </w:r>
    </w:p>
    <w:p>
      <w:pPr>
        <w:keepNext/>
        <w:spacing w:before="240" w:after="120"/>
      </w:pPr>
      <w:r>
        <w:rPr>
          <w:rFonts w:ascii="Calibri" w:hAnsi="Calibri"/>
          <w:b/>
          <w:color w:val="186F82"/>
          <w:sz w:val="26"/>
        </w:rPr>
        <w:t>5.3 Experimental design — three prediction arms (RQ2)</w:t>
      </w:r>
    </w:p>
    <w:p>
      <w:pPr>
        <w:spacing w:after="120" w:line="300" w:lineRule="auto"/>
      </w:pPr>
      <w:r>
        <w:rPr>
          <w:rFonts w:ascii="Calibri" w:hAnsi="Calibri"/>
          <w:color w:val="222632"/>
          <w:sz w:val="22"/>
        </w:rPr>
        <w:t>A three-arm design was used to answer RQ2 directly by comparing different temporal relationships between predictors and outcome.</w:t>
      </w:r>
    </w:p>
    <w:p>
      <w:pPr>
        <w:spacing w:after="120" w:line="300" w:lineRule="auto"/>
      </w:pPr>
      <w:r>
        <w:rPr>
          <w:rFonts w:ascii="Calibri" w:hAnsi="Calibri"/>
          <w:b/>
          <w:color w:val="222632"/>
          <w:sz w:val="22"/>
        </w:rPr>
        <w:t>Table 2. Three-arm experimental design.</w:t>
      </w:r>
    </w:p>
    <w:tbl>
      <w:tblPr>
        <w:tblStyle w:val="LightGrid-Accent1"/>
        <w:tblW w:type="auto" w:w="0"/>
        <w:jc w:val="left"/>
        <w:tblLayout w:type="autofit"/>
        <w:tblLook w:firstColumn="1" w:firstRow="1" w:lastColumn="0" w:lastRow="0" w:noHBand="0" w:noVBand="1" w:val="04A0"/>
      </w:tblPr>
      <w:tblGrid>
        <w:gridCol w:w="2436"/>
        <w:gridCol w:w="2436"/>
        <w:gridCol w:w="2436"/>
        <w:gridCol w:w="2436"/>
      </w:tblGrid>
      <w:tr>
        <w:tc>
          <w:tcPr>
            <w:tcW w:type="dxa" w:w="2436"/>
            <w:vAlign w:val="center"/>
            <w:shd w:val="clear" w:color="auto" w:fill="1F2D5C"/>
          </w:tcPr>
          <w:p>
            <w:r/>
            <w:r>
              <w:rPr>
                <w:rFonts w:ascii="Calibri" w:hAnsi="Calibri"/>
                <w:b/>
                <w:color w:val="FFFFFF"/>
                <w:sz w:val="21"/>
              </w:rPr>
              <w:t>Arm</w:t>
            </w:r>
          </w:p>
        </w:tc>
        <w:tc>
          <w:tcPr>
            <w:tcW w:type="dxa" w:w="2436"/>
            <w:vAlign w:val="center"/>
            <w:shd w:val="clear" w:color="auto" w:fill="1F2D5C"/>
          </w:tcPr>
          <w:p>
            <w:r/>
            <w:r>
              <w:rPr>
                <w:rFonts w:ascii="Calibri" w:hAnsi="Calibri"/>
                <w:b/>
                <w:color w:val="FFFFFF"/>
                <w:sz w:val="21"/>
              </w:rPr>
              <w:t>Predictor waves</w:t>
            </w:r>
          </w:p>
        </w:tc>
        <w:tc>
          <w:tcPr>
            <w:tcW w:type="dxa" w:w="2436"/>
            <w:vAlign w:val="center"/>
            <w:shd w:val="clear" w:color="auto" w:fill="1F2D5C"/>
          </w:tcPr>
          <w:p>
            <w:r/>
            <w:r>
              <w:rPr>
                <w:rFonts w:ascii="Calibri" w:hAnsi="Calibri"/>
                <w:b/>
                <w:color w:val="FFFFFF"/>
                <w:sz w:val="21"/>
              </w:rPr>
              <w:t>Horizon</w:t>
            </w:r>
          </w:p>
        </w:tc>
        <w:tc>
          <w:tcPr>
            <w:tcW w:type="dxa" w:w="2436"/>
            <w:vAlign w:val="center"/>
            <w:shd w:val="clear" w:color="auto" w:fill="1F2D5C"/>
          </w:tcPr>
          <w:p>
            <w:r/>
            <w:r>
              <w:rPr>
                <w:rFonts w:ascii="Calibri" w:hAnsi="Calibri"/>
                <w:b/>
                <w:color w:val="FFFFFF"/>
                <w:sz w:val="21"/>
              </w:rPr>
              <w:t>Features</w:t>
            </w:r>
          </w:p>
        </w:tc>
      </w:tr>
      <w:tr>
        <w:tc>
          <w:tcPr>
            <w:tcW w:type="dxa" w:w="2436"/>
            <w:vAlign w:val="center"/>
          </w:tcPr>
          <w:p>
            <w:r/>
            <w:r>
              <w:rPr>
                <w:rFonts w:ascii="Calibri" w:hAnsi="Calibri"/>
                <w:color w:val="222632"/>
                <w:sz w:val="20"/>
              </w:rPr>
              <w:t>W6 only</w:t>
            </w:r>
          </w:p>
        </w:tc>
        <w:tc>
          <w:tcPr>
            <w:tcW w:type="dxa" w:w="2436"/>
            <w:vAlign w:val="center"/>
          </w:tcPr>
          <w:p>
            <w:r/>
            <w:r>
              <w:rPr>
                <w:rFonts w:ascii="Calibri" w:hAnsi="Calibri"/>
                <w:color w:val="222632"/>
                <w:sz w:val="20"/>
              </w:rPr>
              <w:t>Wave 6</w:t>
            </w:r>
          </w:p>
        </w:tc>
        <w:tc>
          <w:tcPr>
            <w:tcW w:type="dxa" w:w="2436"/>
            <w:vAlign w:val="center"/>
          </w:tcPr>
          <w:p>
            <w:r/>
            <w:r>
              <w:rPr>
                <w:rFonts w:ascii="Calibri" w:hAnsi="Calibri"/>
                <w:color w:val="222632"/>
                <w:sz w:val="20"/>
              </w:rPr>
              <w:t>~4 years before W8</w:t>
            </w:r>
          </w:p>
        </w:tc>
        <w:tc>
          <w:tcPr>
            <w:tcW w:type="dxa" w:w="2436"/>
            <w:vAlign w:val="center"/>
          </w:tcPr>
          <w:p>
            <w:r/>
            <w:r>
              <w:rPr>
                <w:rFonts w:ascii="Calibri" w:hAnsi="Calibri"/>
                <w:color w:val="222632"/>
                <w:sz w:val="20"/>
              </w:rPr>
              <w:t>68</w:t>
            </w:r>
          </w:p>
        </w:tc>
      </w:tr>
      <w:tr>
        <w:tc>
          <w:tcPr>
            <w:tcW w:type="dxa" w:w="2436"/>
            <w:vAlign w:val="center"/>
          </w:tcPr>
          <w:p>
            <w:r/>
            <w:r>
              <w:rPr>
                <w:rFonts w:ascii="Calibri" w:hAnsi="Calibri"/>
                <w:color w:val="222632"/>
                <w:sz w:val="20"/>
              </w:rPr>
              <w:t>W7 only</w:t>
            </w:r>
          </w:p>
        </w:tc>
        <w:tc>
          <w:tcPr>
            <w:tcW w:type="dxa" w:w="2436"/>
            <w:vAlign w:val="center"/>
          </w:tcPr>
          <w:p>
            <w:r/>
            <w:r>
              <w:rPr>
                <w:rFonts w:ascii="Calibri" w:hAnsi="Calibri"/>
                <w:color w:val="222632"/>
                <w:sz w:val="20"/>
              </w:rPr>
              <w:t>Wave 7</w:t>
            </w:r>
          </w:p>
        </w:tc>
        <w:tc>
          <w:tcPr>
            <w:tcW w:type="dxa" w:w="2436"/>
            <w:vAlign w:val="center"/>
          </w:tcPr>
          <w:p>
            <w:r/>
            <w:r>
              <w:rPr>
                <w:rFonts w:ascii="Calibri" w:hAnsi="Calibri"/>
                <w:color w:val="222632"/>
                <w:sz w:val="20"/>
              </w:rPr>
              <w:t>~2 years before W8</w:t>
            </w:r>
          </w:p>
        </w:tc>
        <w:tc>
          <w:tcPr>
            <w:tcW w:type="dxa" w:w="2436"/>
            <w:vAlign w:val="center"/>
          </w:tcPr>
          <w:p>
            <w:r/>
            <w:r>
              <w:rPr>
                <w:rFonts w:ascii="Calibri" w:hAnsi="Calibri"/>
                <w:color w:val="222632"/>
                <w:sz w:val="20"/>
              </w:rPr>
              <w:t>68</w:t>
            </w:r>
          </w:p>
        </w:tc>
      </w:tr>
      <w:tr>
        <w:tc>
          <w:tcPr>
            <w:tcW w:type="dxa" w:w="2436"/>
            <w:vAlign w:val="center"/>
          </w:tcPr>
          <w:p>
            <w:r/>
            <w:r>
              <w:rPr>
                <w:rFonts w:ascii="Calibri" w:hAnsi="Calibri"/>
                <w:b/>
                <w:color w:val="222632"/>
                <w:sz w:val="20"/>
              </w:rPr>
              <w:t>W6+W7</w:t>
            </w:r>
          </w:p>
        </w:tc>
        <w:tc>
          <w:tcPr>
            <w:tcW w:type="dxa" w:w="2436"/>
            <w:vAlign w:val="center"/>
          </w:tcPr>
          <w:p>
            <w:r/>
            <w:r>
              <w:rPr>
                <w:rFonts w:ascii="Calibri" w:hAnsi="Calibri"/>
                <w:b/>
                <w:color w:val="222632"/>
                <w:sz w:val="20"/>
              </w:rPr>
              <w:t>Both waves + trajectory features</w:t>
            </w:r>
          </w:p>
        </w:tc>
        <w:tc>
          <w:tcPr>
            <w:tcW w:type="dxa" w:w="2436"/>
            <w:vAlign w:val="center"/>
          </w:tcPr>
          <w:p>
            <w:r/>
            <w:r>
              <w:rPr>
                <w:rFonts w:ascii="Calibri" w:hAnsi="Calibri"/>
                <w:b/>
                <w:color w:val="222632"/>
                <w:sz w:val="20"/>
              </w:rPr>
              <w:t>2–4 years</w:t>
            </w:r>
          </w:p>
        </w:tc>
        <w:tc>
          <w:tcPr>
            <w:tcW w:type="dxa" w:w="2436"/>
            <w:vAlign w:val="center"/>
          </w:tcPr>
          <w:p>
            <w:r/>
            <w:r>
              <w:rPr>
                <w:rFonts w:ascii="Calibri" w:hAnsi="Calibri"/>
                <w:b/>
                <w:color w:val="222632"/>
                <w:sz w:val="20"/>
              </w:rPr>
              <w:t>138</w:t>
            </w:r>
          </w:p>
        </w:tc>
      </w:tr>
    </w:tbl>
    <w:p>
      <w:pPr>
        <w:spacing w:after="120" w:line="300" w:lineRule="auto"/>
      </w:pPr>
      <w:r>
        <w:rPr>
          <w:rFonts w:ascii="Calibri" w:hAnsi="Calibri"/>
          <w:color w:val="222632"/>
          <w:sz w:val="22"/>
        </w:rPr>
        <w:t>Each arm uses the same 7,211 participants and identical stratified 80/20 train/test split, ensuring that performance differences across arms reflect temporal information rather than sampling variation.</w:t>
      </w:r>
    </w:p>
    <w:p>
      <w:pPr>
        <w:keepNext/>
        <w:spacing w:before="240" w:after="120"/>
      </w:pPr>
      <w:r>
        <w:rPr>
          <w:rFonts w:ascii="Calibri" w:hAnsi="Calibri"/>
          <w:b/>
          <w:color w:val="186F82"/>
          <w:sz w:val="26"/>
        </w:rPr>
        <w:t>5.4 Five feature configurations per arm (RQ3)</w:t>
      </w:r>
    </w:p>
    <w:p>
      <w:pPr>
        <w:spacing w:after="120" w:line="300" w:lineRule="auto"/>
      </w:pPr>
      <w:r>
        <w:rPr>
          <w:rFonts w:ascii="Calibri" w:hAnsi="Calibri"/>
          <w:color w:val="222632"/>
          <w:sz w:val="22"/>
        </w:rPr>
        <w:t>Five feature configurations were applied to every arm, each motivated by published literature on depression risk factors in older adults.</w:t>
      </w:r>
    </w:p>
    <w:p>
      <w:pPr>
        <w:spacing w:after="120" w:line="300" w:lineRule="auto"/>
      </w:pPr>
      <w:r>
        <w:rPr>
          <w:rFonts w:ascii="Calibri" w:hAnsi="Calibri"/>
          <w:b/>
          <w:color w:val="222632"/>
          <w:sz w:val="22"/>
        </w:rPr>
        <w:t>Table 3. Feature configurations and clinical motivation.</w:t>
      </w:r>
    </w:p>
    <w:tbl>
      <w:tblPr>
        <w:tblStyle w:val="LightGrid-Accent1"/>
        <w:tblW w:type="auto" w:w="0"/>
        <w:jc w:val="left"/>
        <w:tblLayout w:type="autofit"/>
        <w:tblLook w:firstColumn="1" w:firstRow="1" w:lastColumn="0" w:lastRow="0" w:noHBand="0" w:noVBand="1" w:val="04A0"/>
      </w:tblPr>
      <w:tblGrid>
        <w:gridCol w:w="3249"/>
        <w:gridCol w:w="3249"/>
        <w:gridCol w:w="3249"/>
      </w:tblGrid>
      <w:tr>
        <w:tc>
          <w:tcPr>
            <w:tcW w:type="dxa" w:w="3249"/>
            <w:vAlign w:val="center"/>
            <w:shd w:val="clear" w:color="auto" w:fill="1F2D5C"/>
          </w:tcPr>
          <w:p>
            <w:r/>
            <w:r>
              <w:rPr>
                <w:rFonts w:ascii="Calibri" w:hAnsi="Calibri"/>
                <w:b/>
                <w:color w:val="FFFFFF"/>
                <w:sz w:val="21"/>
              </w:rPr>
              <w:t>Config</w:t>
            </w:r>
          </w:p>
        </w:tc>
        <w:tc>
          <w:tcPr>
            <w:tcW w:type="dxa" w:w="3249"/>
            <w:vAlign w:val="center"/>
            <w:shd w:val="clear" w:color="auto" w:fill="1F2D5C"/>
          </w:tcPr>
          <w:p>
            <w:r/>
            <w:r>
              <w:rPr>
                <w:rFonts w:ascii="Calibri" w:hAnsi="Calibri"/>
                <w:b/>
                <w:color w:val="FFFFFF"/>
                <w:sz w:val="21"/>
              </w:rPr>
              <w:t>Contents</w:t>
            </w:r>
          </w:p>
        </w:tc>
        <w:tc>
          <w:tcPr>
            <w:tcW w:type="dxa" w:w="3249"/>
            <w:vAlign w:val="center"/>
            <w:shd w:val="clear" w:color="auto" w:fill="1F2D5C"/>
          </w:tcPr>
          <w:p>
            <w:r/>
            <w:r>
              <w:rPr>
                <w:rFonts w:ascii="Calibri" w:hAnsi="Calibri"/>
                <w:b/>
                <w:color w:val="FFFFFF"/>
                <w:sz w:val="21"/>
              </w:rPr>
              <w:t>Clinical question</w:t>
            </w:r>
          </w:p>
        </w:tc>
      </w:tr>
      <w:tr>
        <w:tc>
          <w:tcPr>
            <w:tcW w:type="dxa" w:w="3249"/>
            <w:vAlign w:val="center"/>
          </w:tcPr>
          <w:p>
            <w:r/>
            <w:r>
              <w:rPr>
                <w:rFonts w:ascii="Consolas" w:hAnsi="Consolas"/>
                <w:color w:val="1F2D5C"/>
                <w:sz w:val="18"/>
              </w:rPr>
              <w:t>full</w:t>
            </w:r>
          </w:p>
        </w:tc>
        <w:tc>
          <w:tcPr>
            <w:tcW w:type="dxa" w:w="3249"/>
            <w:vAlign w:val="center"/>
          </w:tcPr>
          <w:p>
            <w:r/>
            <w:r>
              <w:rPr>
                <w:rFonts w:ascii="Calibri" w:hAnsi="Calibri"/>
                <w:color w:val="222632"/>
                <w:sz w:val="20"/>
              </w:rPr>
              <w:t>All available features</w:t>
            </w:r>
          </w:p>
        </w:tc>
        <w:tc>
          <w:tcPr>
            <w:tcW w:type="dxa" w:w="3249"/>
            <w:vAlign w:val="center"/>
          </w:tcPr>
          <w:p>
            <w:r/>
            <w:r>
              <w:rPr>
                <w:rFonts w:ascii="Calibri" w:hAnsi="Calibri"/>
                <w:color w:val="222632"/>
                <w:sz w:val="20"/>
              </w:rPr>
              <w:t>Best possible prediction</w:t>
            </w:r>
          </w:p>
        </w:tc>
      </w:tr>
      <w:tr>
        <w:tc>
          <w:tcPr>
            <w:tcW w:type="dxa" w:w="3249"/>
            <w:vAlign w:val="center"/>
          </w:tcPr>
          <w:p>
            <w:r/>
            <w:r>
              <w:rPr>
                <w:rFonts w:ascii="Consolas" w:hAnsi="Consolas"/>
                <w:color w:val="1F2D5C"/>
                <w:sz w:val="18"/>
              </w:rPr>
              <w:t>no_cesd</w:t>
            </w:r>
          </w:p>
        </w:tc>
        <w:tc>
          <w:tcPr>
            <w:tcW w:type="dxa" w:w="3249"/>
            <w:vAlign w:val="center"/>
          </w:tcPr>
          <w:p>
            <w:r/>
            <w:r>
              <w:rPr>
                <w:rFonts w:ascii="Calibri" w:hAnsi="Calibri"/>
                <w:color w:val="222632"/>
                <w:sz w:val="20"/>
              </w:rPr>
              <w:t>All features except prior CES-D</w:t>
            </w:r>
          </w:p>
        </w:tc>
        <w:tc>
          <w:tcPr>
            <w:tcW w:type="dxa" w:w="3249"/>
            <w:vAlign w:val="center"/>
          </w:tcPr>
          <w:p>
            <w:r/>
            <w:r>
              <w:rPr>
                <w:rFonts w:ascii="Calibri" w:hAnsi="Calibri"/>
                <w:color w:val="222632"/>
                <w:sz w:val="20"/>
              </w:rPr>
              <w:t>Can we predict without depression history?</w:t>
            </w:r>
          </w:p>
        </w:tc>
      </w:tr>
      <w:tr>
        <w:tc>
          <w:tcPr>
            <w:tcW w:type="dxa" w:w="3249"/>
            <w:vAlign w:val="center"/>
          </w:tcPr>
          <w:p>
            <w:r/>
            <w:r>
              <w:rPr>
                <w:rFonts w:ascii="Consolas" w:hAnsi="Consolas"/>
                <w:color w:val="1F2D5C"/>
                <w:sz w:val="18"/>
              </w:rPr>
              <w:t>health_only</w:t>
            </w:r>
          </w:p>
        </w:tc>
        <w:tc>
          <w:tcPr>
            <w:tcW w:type="dxa" w:w="3249"/>
            <w:vAlign w:val="center"/>
          </w:tcPr>
          <w:p>
            <w:r/>
            <w:r>
              <w:rPr>
                <w:rFonts w:ascii="Calibri" w:hAnsi="Calibri"/>
                <w:color w:val="222632"/>
                <w:sz w:val="20"/>
              </w:rPr>
              <w:t>Self-rated health + chronic conditions</w:t>
            </w:r>
          </w:p>
        </w:tc>
        <w:tc>
          <w:tcPr>
            <w:tcW w:type="dxa" w:w="3249"/>
            <w:vAlign w:val="center"/>
          </w:tcPr>
          <w:p>
            <w:r/>
            <w:r>
              <w:rPr>
                <w:rFonts w:ascii="Calibri" w:hAnsi="Calibri"/>
                <w:color w:val="222632"/>
                <w:sz w:val="20"/>
              </w:rPr>
              <w:t>How far does basic health data take us?</w:t>
            </w:r>
          </w:p>
        </w:tc>
      </w:tr>
      <w:tr>
        <w:tc>
          <w:tcPr>
            <w:tcW w:type="dxa" w:w="3249"/>
            <w:vAlign w:val="center"/>
          </w:tcPr>
          <w:p>
            <w:r/>
            <w:r>
              <w:rPr>
                <w:rFonts w:ascii="Consolas" w:hAnsi="Consolas"/>
                <w:color w:val="1F2D5C"/>
                <w:sz w:val="18"/>
              </w:rPr>
              <w:t>function_cog</w:t>
            </w:r>
          </w:p>
        </w:tc>
        <w:tc>
          <w:tcPr>
            <w:tcW w:type="dxa" w:w="3249"/>
            <w:vAlign w:val="center"/>
          </w:tcPr>
          <w:p>
            <w:r/>
            <w:r>
              <w:rPr>
                <w:rFonts w:ascii="Calibri" w:hAnsi="Calibri"/>
                <w:color w:val="222632"/>
                <w:sz w:val="20"/>
              </w:rPr>
              <w:t>Mobility, ADL/IADL, cognition</w:t>
            </w:r>
          </w:p>
        </w:tc>
        <w:tc>
          <w:tcPr>
            <w:tcW w:type="dxa" w:w="3249"/>
            <w:vAlign w:val="center"/>
          </w:tcPr>
          <w:p>
            <w:r/>
            <w:r>
              <w:rPr>
                <w:rFonts w:ascii="Calibri" w:hAnsi="Calibri"/>
                <w:color w:val="222632"/>
                <w:sz w:val="20"/>
              </w:rPr>
              <w:t>Do functional markers alone predict onset?</w:t>
            </w:r>
          </w:p>
        </w:tc>
      </w:tr>
      <w:tr>
        <w:tc>
          <w:tcPr>
            <w:tcW w:type="dxa" w:w="3249"/>
            <w:vAlign w:val="center"/>
          </w:tcPr>
          <w:p>
            <w:r/>
            <w:r>
              <w:rPr>
                <w:rFonts w:ascii="Consolas" w:hAnsi="Consolas"/>
                <w:color w:val="1F2D5C"/>
                <w:sz w:val="18"/>
              </w:rPr>
              <w:t>socioeconomic</w:t>
            </w:r>
          </w:p>
        </w:tc>
        <w:tc>
          <w:tcPr>
            <w:tcW w:type="dxa" w:w="3249"/>
            <w:vAlign w:val="center"/>
          </w:tcPr>
          <w:p>
            <w:r/>
            <w:r>
              <w:rPr>
                <w:rFonts w:ascii="Calibri" w:hAnsi="Calibri"/>
                <w:color w:val="222632"/>
                <w:sz w:val="20"/>
              </w:rPr>
              <w:t>Financial + social features</w:t>
            </w:r>
          </w:p>
        </w:tc>
        <w:tc>
          <w:tcPr>
            <w:tcW w:type="dxa" w:w="3249"/>
            <w:vAlign w:val="center"/>
          </w:tcPr>
          <w:p>
            <w:r/>
            <w:r>
              <w:rPr>
                <w:rFonts w:ascii="Calibri" w:hAnsi="Calibri"/>
                <w:color w:val="222632"/>
                <w:sz w:val="20"/>
              </w:rPr>
              <w:t>Does socioeconomic context carry signal?</w:t>
            </w:r>
          </w:p>
        </w:tc>
      </w:tr>
    </w:tbl>
    <w:p>
      <w:pPr>
        <w:spacing w:after="120" w:line="300" w:lineRule="auto"/>
      </w:pPr>
      <w:r>
        <w:rPr>
          <w:rFonts w:ascii="Calibri" w:hAnsi="Calibri"/>
          <w:color w:val="222632"/>
          <w:sz w:val="22"/>
        </w:rPr>
        <w:t xml:space="preserve">The </w:t>
      </w:r>
      <w:r>
        <w:rPr>
          <w:rFonts w:ascii="Consolas" w:hAnsi="Consolas"/>
          <w:color w:val="1F2D5C"/>
          <w:sz w:val="20"/>
        </w:rPr>
        <w:t>no_cesd</w:t>
      </w:r>
      <w:r>
        <w:rPr>
          <w:rFonts w:ascii="Calibri" w:hAnsi="Calibri"/>
          <w:color w:val="222632"/>
          <w:sz w:val="22"/>
        </w:rPr>
        <w:t xml:space="preserve"> configuration is the critical leakage check that answers RQ3.</w:t>
      </w:r>
    </w:p>
    <w:p>
      <w:pPr>
        <w:keepNext/>
        <w:spacing w:before="240" w:after="120"/>
      </w:pPr>
      <w:r>
        <w:rPr>
          <w:rFonts w:ascii="Calibri" w:hAnsi="Calibri"/>
          <w:b/>
          <w:color w:val="186F82"/>
          <w:sz w:val="26"/>
        </w:rPr>
        <w:t>5.5 Models</w:t>
      </w:r>
    </w:p>
    <w:p>
      <w:pPr>
        <w:spacing w:after="120" w:line="300" w:lineRule="auto"/>
      </w:pPr>
      <w:r>
        <w:rPr>
          <w:rFonts w:ascii="Calibri" w:hAnsi="Calibri"/>
          <w:color w:val="222632"/>
          <w:sz w:val="22"/>
        </w:rPr>
        <w:t>Four classifiers were evaluated.</w:t>
      </w:r>
    </w:p>
    <w:tbl>
      <w:tblPr>
        <w:tblStyle w:val="LightGrid-Accent1"/>
        <w:tblW w:type="auto" w:w="0"/>
        <w:jc w:val="left"/>
        <w:tblLayout w:type="autofit"/>
        <w:tblLook w:firstColumn="1" w:firstRow="1" w:lastColumn="0" w:lastRow="0" w:noHBand="0" w:noVBand="1" w:val="04A0"/>
      </w:tblPr>
      <w:tblGrid>
        <w:gridCol w:w="3249"/>
        <w:gridCol w:w="3249"/>
        <w:gridCol w:w="3249"/>
      </w:tblGrid>
      <w:tr>
        <w:tc>
          <w:tcPr>
            <w:tcW w:type="dxa" w:w="3249"/>
            <w:vAlign w:val="center"/>
            <w:shd w:val="clear" w:color="auto" w:fill="1F2D5C"/>
          </w:tcPr>
          <w:p>
            <w:r/>
            <w:r>
              <w:rPr>
                <w:rFonts w:ascii="Calibri" w:hAnsi="Calibri"/>
                <w:b/>
                <w:color w:val="FFFFFF"/>
                <w:sz w:val="21"/>
              </w:rPr>
              <w:t>Model</w:t>
            </w:r>
          </w:p>
        </w:tc>
        <w:tc>
          <w:tcPr>
            <w:tcW w:type="dxa" w:w="3249"/>
            <w:vAlign w:val="center"/>
            <w:shd w:val="clear" w:color="auto" w:fill="1F2D5C"/>
          </w:tcPr>
          <w:p>
            <w:r/>
            <w:r>
              <w:rPr>
                <w:rFonts w:ascii="Calibri" w:hAnsi="Calibri"/>
                <w:b/>
                <w:color w:val="FFFFFF"/>
                <w:sz w:val="21"/>
              </w:rPr>
              <w:t>Why included</w:t>
            </w:r>
          </w:p>
        </w:tc>
        <w:tc>
          <w:tcPr>
            <w:tcW w:type="dxa" w:w="3249"/>
            <w:vAlign w:val="center"/>
            <w:shd w:val="clear" w:color="auto" w:fill="1F2D5C"/>
          </w:tcPr>
          <w:p>
            <w:r/>
            <w:r>
              <w:rPr>
                <w:rFonts w:ascii="Calibri" w:hAnsi="Calibri"/>
                <w:b/>
                <w:color w:val="FFFFFF"/>
                <w:sz w:val="21"/>
              </w:rPr>
              <w:t>Strengths</w:t>
            </w:r>
          </w:p>
        </w:tc>
      </w:tr>
      <w:tr>
        <w:tc>
          <w:tcPr>
            <w:tcW w:type="dxa" w:w="3249"/>
            <w:vAlign w:val="center"/>
          </w:tcPr>
          <w:p>
            <w:r/>
            <w:r>
              <w:rPr>
                <w:rFonts w:ascii="Calibri" w:hAnsi="Calibri"/>
                <w:b/>
                <w:color w:val="222632"/>
                <w:sz w:val="20"/>
              </w:rPr>
              <w:t>Logistic Regression</w:t>
            </w:r>
          </w:p>
        </w:tc>
        <w:tc>
          <w:tcPr>
            <w:tcW w:type="dxa" w:w="3249"/>
            <w:vAlign w:val="center"/>
          </w:tcPr>
          <w:p>
            <w:r/>
            <w:r>
              <w:rPr>
                <w:rFonts w:ascii="Calibri" w:hAnsi="Calibri"/>
                <w:color w:val="222632"/>
                <w:sz w:val="20"/>
              </w:rPr>
              <w:t>Interpretable epidemiological baseline; standardised coefficients are directly interpretable as log-odds per 1 SD change</w:t>
            </w:r>
          </w:p>
        </w:tc>
        <w:tc>
          <w:tcPr>
            <w:tcW w:type="dxa" w:w="3249"/>
            <w:vAlign w:val="center"/>
          </w:tcPr>
          <w:p>
            <w:r/>
            <w:r>
              <w:rPr>
                <w:rFonts w:ascii="Calibri" w:hAnsi="Calibri"/>
                <w:color w:val="222632"/>
                <w:sz w:val="20"/>
              </w:rPr>
              <w:t>Transparent, fast, well-understood by clinicians</w:t>
            </w:r>
          </w:p>
        </w:tc>
      </w:tr>
      <w:tr>
        <w:tc>
          <w:tcPr>
            <w:tcW w:type="dxa" w:w="3249"/>
            <w:vAlign w:val="center"/>
          </w:tcPr>
          <w:p>
            <w:r/>
            <w:r>
              <w:rPr>
                <w:rFonts w:ascii="Calibri" w:hAnsi="Calibri"/>
                <w:b/>
                <w:color w:val="222632"/>
                <w:sz w:val="20"/>
              </w:rPr>
              <w:t>Random Forest</w:t>
            </w:r>
          </w:p>
        </w:tc>
        <w:tc>
          <w:tcPr>
            <w:tcW w:type="dxa" w:w="3249"/>
            <w:vAlign w:val="center"/>
          </w:tcPr>
          <w:p>
            <w:r/>
            <w:r>
              <w:rPr>
                <w:rFonts w:ascii="Calibri" w:hAnsi="Calibri"/>
                <w:color w:val="222632"/>
                <w:sz w:val="20"/>
              </w:rPr>
              <w:t>Non-linear, handles interactions and missingness gracefully via bagging over 300 trees</w:t>
            </w:r>
          </w:p>
        </w:tc>
        <w:tc>
          <w:tcPr>
            <w:tcW w:type="dxa" w:w="3249"/>
            <w:vAlign w:val="center"/>
          </w:tcPr>
          <w:p>
            <w:r/>
            <w:r>
              <w:rPr>
                <w:rFonts w:ascii="Calibri" w:hAnsi="Calibri"/>
                <w:color w:val="222632"/>
                <w:sz w:val="20"/>
              </w:rPr>
              <w:t>Robust, no scaling needed, gives feature importance</w:t>
            </w:r>
          </w:p>
        </w:tc>
      </w:tr>
      <w:tr>
        <w:tc>
          <w:tcPr>
            <w:tcW w:type="dxa" w:w="3249"/>
            <w:vAlign w:val="center"/>
          </w:tcPr>
          <w:p>
            <w:r/>
            <w:r>
              <w:rPr>
                <w:rFonts w:ascii="Calibri" w:hAnsi="Calibri"/>
                <w:b/>
                <w:color w:val="222632"/>
                <w:sz w:val="20"/>
              </w:rPr>
              <w:t>XGBoost</w:t>
            </w:r>
          </w:p>
        </w:tc>
        <w:tc>
          <w:tcPr>
            <w:tcW w:type="dxa" w:w="3249"/>
            <w:vAlign w:val="center"/>
          </w:tcPr>
          <w:p>
            <w:r/>
            <w:r>
              <w:rPr>
                <w:rFonts w:ascii="Calibri" w:hAnsi="Calibri"/>
                <w:color w:val="222632"/>
                <w:sz w:val="20"/>
              </w:rPr>
              <w:t>State-of-the-art gradient boosting</w:t>
            </w:r>
          </w:p>
        </w:tc>
        <w:tc>
          <w:tcPr>
            <w:tcW w:type="dxa" w:w="3249"/>
            <w:vAlign w:val="center"/>
          </w:tcPr>
          <w:p>
            <w:r/>
            <w:r>
              <w:rPr>
                <w:rFonts w:ascii="Calibri" w:hAnsi="Calibri"/>
                <w:color w:val="222632"/>
                <w:sz w:val="20"/>
              </w:rPr>
              <w:t>Often best for tabular health data</w:t>
            </w:r>
          </w:p>
        </w:tc>
      </w:tr>
      <w:tr>
        <w:tc>
          <w:tcPr>
            <w:tcW w:type="dxa" w:w="3249"/>
            <w:vAlign w:val="center"/>
          </w:tcPr>
          <w:p>
            <w:r/>
            <w:r>
              <w:rPr>
                <w:rFonts w:ascii="Calibri" w:hAnsi="Calibri"/>
                <w:b/>
                <w:color w:val="222632"/>
                <w:sz w:val="20"/>
              </w:rPr>
              <w:t>LightGBM</w:t>
            </w:r>
          </w:p>
        </w:tc>
        <w:tc>
          <w:tcPr>
            <w:tcW w:type="dxa" w:w="3249"/>
            <w:vAlign w:val="center"/>
          </w:tcPr>
          <w:p>
            <w:r/>
            <w:r>
              <w:rPr>
                <w:rFonts w:ascii="Calibri" w:hAnsi="Calibri"/>
                <w:color w:val="222632"/>
                <w:sz w:val="20"/>
              </w:rPr>
              <w:t>Used by Zhao et al. (2025) on ELSA → AUC 0.77–0.90 cross-sectionally; literature benchmark</w:t>
            </w:r>
          </w:p>
        </w:tc>
        <w:tc>
          <w:tcPr>
            <w:tcW w:type="dxa" w:w="3249"/>
            <w:vAlign w:val="center"/>
          </w:tcPr>
          <w:p>
            <w:r/>
            <w:r>
              <w:rPr>
                <w:rFonts w:ascii="Calibri" w:hAnsi="Calibri"/>
                <w:color w:val="222632"/>
                <w:sz w:val="20"/>
              </w:rPr>
              <w:t>Very fast, handles imbalance well</w:t>
            </w:r>
          </w:p>
        </w:tc>
      </w:tr>
    </w:tbl>
    <w:p>
      <w:pPr>
        <w:spacing w:after="120" w:line="300" w:lineRule="auto"/>
      </w:pPr>
      <w:r>
        <w:rPr>
          <w:rFonts w:ascii="Calibri" w:hAnsi="Calibri"/>
          <w:color w:val="222632"/>
          <w:sz w:val="22"/>
        </w:rPr>
        <w:t xml:space="preserve">All models use median imputation for missing values within sklearn </w:t>
      </w:r>
      <w:r>
        <w:rPr>
          <w:rFonts w:ascii="Consolas" w:hAnsi="Consolas"/>
          <w:color w:val="1F2D5C"/>
          <w:sz w:val="20"/>
        </w:rPr>
        <w:t>Pipeline</w:t>
      </w:r>
      <w:r>
        <w:rPr>
          <w:rFonts w:ascii="Calibri" w:hAnsi="Calibri"/>
          <w:color w:val="222632"/>
          <w:sz w:val="22"/>
        </w:rPr>
        <w:t xml:space="preserve"> objects.</w:t>
      </w:r>
    </w:p>
    <w:p>
      <w:pPr>
        <w:keepNext/>
        <w:spacing w:before="240" w:after="120"/>
      </w:pPr>
      <w:r>
        <w:rPr>
          <w:rFonts w:ascii="Calibri" w:hAnsi="Calibri"/>
          <w:b/>
          <w:color w:val="186F82"/>
          <w:sz w:val="26"/>
        </w:rPr>
        <w:t>5.6 Hyperparameter tuning</w:t>
      </w:r>
    </w:p>
    <w:p>
      <w:pPr>
        <w:spacing w:after="120" w:line="300" w:lineRule="auto"/>
      </w:pPr>
      <w:r>
        <w:rPr>
          <w:rFonts w:ascii="Calibri" w:hAnsi="Calibri"/>
          <w:color w:val="222632"/>
          <w:sz w:val="22"/>
        </w:rPr>
        <w:t xml:space="preserve">Following the initial 60-combination sweep (3 arms × 5 configs × 4 models), the best-performing configuration per arm by mean AUC was identified. RF, XGBoost, and LightGBM were tuned using </w:t>
      </w:r>
      <w:r>
        <w:rPr>
          <w:rFonts w:ascii="Consolas" w:hAnsi="Consolas"/>
          <w:color w:val="1F2D5C"/>
          <w:sz w:val="20"/>
        </w:rPr>
        <w:t>RandomizedSearchCV</w:t>
      </w:r>
      <w:r>
        <w:rPr>
          <w:rFonts w:ascii="Calibri" w:hAnsi="Calibri"/>
          <w:color w:val="222632"/>
          <w:sz w:val="22"/>
        </w:rPr>
        <w:t xml:space="preserve"> with </w:t>
      </w:r>
      <w:r>
        <w:rPr>
          <w:rFonts w:ascii="Calibri" w:hAnsi="Calibri"/>
          <w:b/>
          <w:color w:val="222632"/>
          <w:sz w:val="22"/>
        </w:rPr>
        <w:t>30 iterations and 5-fold stratified cross-validation</w:t>
      </w:r>
      <w:r>
        <w:rPr>
          <w:rFonts w:ascii="Calibri" w:hAnsi="Calibri"/>
          <w:color w:val="222632"/>
          <w:sz w:val="22"/>
        </w:rPr>
        <w:t>, scoring on ROC-AUC (Bergstra and Bengio, 2012). Logistic Regression was excluded from tuning as its hyperparameter space is narrow and it serves as a stable reference. Tuning used the training set only — the held-out test set was untouched throughout.</w:t>
      </w:r>
    </w:p>
    <w:p>
      <w:pPr>
        <w:keepNext/>
        <w:spacing w:before="240" w:after="120"/>
      </w:pPr>
      <w:r>
        <w:rPr>
          <w:rFonts w:ascii="Calibri" w:hAnsi="Calibri"/>
          <w:b/>
          <w:color w:val="186F82"/>
          <w:sz w:val="26"/>
        </w:rPr>
        <w:t>5.7 Evaluation metrics</w:t>
      </w:r>
    </w:p>
    <w:p>
      <w:pPr>
        <w:spacing w:after="120" w:line="300" w:lineRule="auto"/>
      </w:pPr>
      <w:r>
        <w:rPr>
          <w:rFonts w:ascii="Calibri" w:hAnsi="Calibri"/>
          <w:color w:val="222632"/>
          <w:sz w:val="22"/>
        </w:rPr>
        <w:t>The held-out test set (20%, n = 1,803) is used for final reporting.</w:t>
      </w:r>
    </w:p>
    <w:tbl>
      <w:tblPr>
        <w:tblStyle w:val="LightGrid-Accent1"/>
        <w:tblW w:type="auto" w:w="0"/>
        <w:jc w:val="left"/>
        <w:tblLayout w:type="autofit"/>
        <w:tblLook w:firstColumn="1" w:firstRow="1" w:lastColumn="0" w:lastRow="0" w:noHBand="0" w:noVBand="1" w:val="04A0"/>
      </w:tblPr>
      <w:tblGrid>
        <w:gridCol w:w="3249"/>
        <w:gridCol w:w="3249"/>
        <w:gridCol w:w="3249"/>
      </w:tblGrid>
      <w:tr>
        <w:tc>
          <w:tcPr>
            <w:tcW w:type="dxa" w:w="3249"/>
            <w:vAlign w:val="center"/>
            <w:shd w:val="clear" w:color="auto" w:fill="1F2D5C"/>
          </w:tcPr>
          <w:p>
            <w:r/>
            <w:r>
              <w:rPr>
                <w:rFonts w:ascii="Calibri" w:hAnsi="Calibri"/>
                <w:b/>
                <w:color w:val="FFFFFF"/>
                <w:sz w:val="21"/>
              </w:rPr>
              <w:t>Metric</w:t>
            </w:r>
          </w:p>
        </w:tc>
        <w:tc>
          <w:tcPr>
            <w:tcW w:type="dxa" w:w="3249"/>
            <w:vAlign w:val="center"/>
            <w:shd w:val="clear" w:color="auto" w:fill="1F2D5C"/>
          </w:tcPr>
          <w:p>
            <w:r/>
            <w:r>
              <w:rPr>
                <w:rFonts w:ascii="Calibri" w:hAnsi="Calibri"/>
                <w:b/>
                <w:color w:val="FFFFFF"/>
                <w:sz w:val="21"/>
              </w:rPr>
              <w:t>What it measures</w:t>
            </w:r>
          </w:p>
        </w:tc>
        <w:tc>
          <w:tcPr>
            <w:tcW w:type="dxa" w:w="3249"/>
            <w:vAlign w:val="center"/>
            <w:shd w:val="clear" w:color="auto" w:fill="1F2D5C"/>
          </w:tcPr>
          <w:p>
            <w:r/>
            <w:r>
              <w:rPr>
                <w:rFonts w:ascii="Calibri" w:hAnsi="Calibri"/>
                <w:b/>
                <w:color w:val="FFFFFF"/>
                <w:sz w:val="21"/>
              </w:rPr>
              <w:t>Why we care</w:t>
            </w:r>
          </w:p>
        </w:tc>
      </w:tr>
      <w:tr>
        <w:tc>
          <w:tcPr>
            <w:tcW w:type="dxa" w:w="3249"/>
            <w:vAlign w:val="center"/>
          </w:tcPr>
          <w:p>
            <w:r/>
            <w:r>
              <w:rPr>
                <w:rFonts w:ascii="Calibri" w:hAnsi="Calibri"/>
                <w:b/>
                <w:color w:val="222632"/>
                <w:sz w:val="20"/>
              </w:rPr>
              <w:t>ROC-AUC</w:t>
            </w:r>
          </w:p>
        </w:tc>
        <w:tc>
          <w:tcPr>
            <w:tcW w:type="dxa" w:w="3249"/>
            <w:vAlign w:val="center"/>
          </w:tcPr>
          <w:p>
            <w:r/>
            <w:r>
              <w:rPr>
                <w:rFonts w:ascii="Calibri" w:hAnsi="Calibri"/>
                <w:color w:val="222632"/>
                <w:sz w:val="20"/>
              </w:rPr>
              <w:t>Discrimination, threshold-free</w:t>
            </w:r>
          </w:p>
        </w:tc>
        <w:tc>
          <w:tcPr>
            <w:tcW w:type="dxa" w:w="3249"/>
            <w:vAlign w:val="center"/>
          </w:tcPr>
          <w:p>
            <w:r/>
            <w:r>
              <w:rPr>
                <w:rFonts w:ascii="Calibri" w:hAnsi="Calibri"/>
                <w:color w:val="222632"/>
                <w:sz w:val="20"/>
              </w:rPr>
              <w:t>Primary metric — how well does the model rank cases above non-cases?</w:t>
            </w:r>
          </w:p>
        </w:tc>
      </w:tr>
      <w:tr>
        <w:tc>
          <w:tcPr>
            <w:tcW w:type="dxa" w:w="3249"/>
            <w:vAlign w:val="center"/>
          </w:tcPr>
          <w:p>
            <w:r/>
            <w:r>
              <w:rPr>
                <w:rFonts w:ascii="Calibri" w:hAnsi="Calibri"/>
                <w:b/>
                <w:color w:val="222632"/>
                <w:sz w:val="20"/>
              </w:rPr>
              <w:t>F1 (binary, depressed class)</w:t>
            </w:r>
          </w:p>
        </w:tc>
        <w:tc>
          <w:tcPr>
            <w:tcW w:type="dxa" w:w="3249"/>
            <w:vAlign w:val="center"/>
          </w:tcPr>
          <w:p>
            <w:r/>
            <w:r>
              <w:rPr>
                <w:rFonts w:ascii="Calibri" w:hAnsi="Calibri"/>
                <w:color w:val="222632"/>
                <w:sz w:val="20"/>
              </w:rPr>
              <w:t>Balance of precision and recall on the minority class</w:t>
            </w:r>
          </w:p>
        </w:tc>
        <w:tc>
          <w:tcPr>
            <w:tcW w:type="dxa" w:w="3249"/>
            <w:vAlign w:val="center"/>
          </w:tcPr>
          <w:p>
            <w:r/>
            <w:r>
              <w:rPr>
                <w:rFonts w:ascii="Calibri" w:hAnsi="Calibri"/>
                <w:color w:val="222632"/>
                <w:sz w:val="20"/>
              </w:rPr>
              <w:t>Primary clinical metric — captures depression-detection performance</w:t>
            </w:r>
          </w:p>
        </w:tc>
      </w:tr>
      <w:tr>
        <w:tc>
          <w:tcPr>
            <w:tcW w:type="dxa" w:w="3249"/>
            <w:vAlign w:val="center"/>
          </w:tcPr>
          <w:p>
            <w:r/>
            <w:r>
              <w:rPr>
                <w:rFonts w:ascii="Calibri" w:hAnsi="Calibri"/>
                <w:b/>
                <w:color w:val="222632"/>
                <w:sz w:val="20"/>
              </w:rPr>
              <w:t>F1 (macro)</w:t>
            </w:r>
          </w:p>
        </w:tc>
        <w:tc>
          <w:tcPr>
            <w:tcW w:type="dxa" w:w="3249"/>
            <w:vAlign w:val="center"/>
          </w:tcPr>
          <w:p>
            <w:r/>
            <w:r>
              <w:rPr>
                <w:rFonts w:ascii="Calibri" w:hAnsi="Calibri"/>
                <w:color w:val="222632"/>
                <w:sz w:val="20"/>
              </w:rPr>
              <w:t>Mean F1 across both classes</w:t>
            </w:r>
          </w:p>
        </w:tc>
        <w:tc>
          <w:tcPr>
            <w:tcW w:type="dxa" w:w="3249"/>
            <w:vAlign w:val="center"/>
          </w:tcPr>
          <w:p>
            <w:r/>
            <w:r>
              <w:rPr>
                <w:rFonts w:ascii="Calibri" w:hAnsi="Calibri"/>
                <w:color w:val="222632"/>
                <w:sz w:val="20"/>
              </w:rPr>
              <w:t>Reported for completeness</w:t>
            </w:r>
          </w:p>
        </w:tc>
      </w:tr>
      <w:tr>
        <w:tc>
          <w:tcPr>
            <w:tcW w:type="dxa" w:w="3249"/>
            <w:vAlign w:val="center"/>
          </w:tcPr>
          <w:p>
            <w:r/>
            <w:r>
              <w:rPr>
                <w:rFonts w:ascii="Calibri" w:hAnsi="Calibri"/>
                <w:b/>
                <w:color w:val="222632"/>
                <w:sz w:val="20"/>
              </w:rPr>
              <w:t>Precision</w:t>
            </w:r>
          </w:p>
        </w:tc>
        <w:tc>
          <w:tcPr>
            <w:tcW w:type="dxa" w:w="3249"/>
            <w:vAlign w:val="center"/>
          </w:tcPr>
          <w:p>
            <w:r/>
            <w:r>
              <w:rPr>
                <w:rFonts w:ascii="Calibri" w:hAnsi="Calibri"/>
                <w:color w:val="222632"/>
                <w:sz w:val="20"/>
              </w:rPr>
              <w:t>Of those flagged as at-risk, what fraction actually develop depression?</w:t>
            </w:r>
          </w:p>
        </w:tc>
        <w:tc>
          <w:tcPr>
            <w:tcW w:type="dxa" w:w="3249"/>
            <w:vAlign w:val="center"/>
          </w:tcPr>
          <w:p>
            <w:r/>
            <w:r>
              <w:rPr>
                <w:rFonts w:ascii="Calibri" w:hAnsi="Calibri"/>
                <w:color w:val="222632"/>
                <w:sz w:val="20"/>
              </w:rPr>
              <w:t>False-alarm cost</w:t>
            </w:r>
          </w:p>
        </w:tc>
      </w:tr>
      <w:tr>
        <w:tc>
          <w:tcPr>
            <w:tcW w:type="dxa" w:w="3249"/>
            <w:vAlign w:val="center"/>
          </w:tcPr>
          <w:p>
            <w:r/>
            <w:r>
              <w:rPr>
                <w:rFonts w:ascii="Calibri" w:hAnsi="Calibri"/>
                <w:b/>
                <w:color w:val="222632"/>
                <w:sz w:val="20"/>
              </w:rPr>
              <w:t>Recall (sensitivity)</w:t>
            </w:r>
          </w:p>
        </w:tc>
        <w:tc>
          <w:tcPr>
            <w:tcW w:type="dxa" w:w="3249"/>
            <w:vAlign w:val="center"/>
          </w:tcPr>
          <w:p>
            <w:r/>
            <w:r>
              <w:rPr>
                <w:rFonts w:ascii="Calibri" w:hAnsi="Calibri"/>
                <w:color w:val="222632"/>
                <w:sz w:val="20"/>
              </w:rPr>
              <w:t>Of all future cases, what fraction does the model catch?</w:t>
            </w:r>
          </w:p>
        </w:tc>
        <w:tc>
          <w:tcPr>
            <w:tcW w:type="dxa" w:w="3249"/>
            <w:vAlign w:val="center"/>
          </w:tcPr>
          <w:p>
            <w:r/>
            <w:r>
              <w:rPr>
                <w:rFonts w:ascii="Calibri" w:hAnsi="Calibri"/>
                <w:color w:val="222632"/>
                <w:sz w:val="20"/>
              </w:rPr>
              <w:t>Miss rate — paramount in screening</w:t>
            </w:r>
          </w:p>
        </w:tc>
      </w:tr>
      <w:tr>
        <w:tc>
          <w:tcPr>
            <w:tcW w:type="dxa" w:w="3249"/>
            <w:vAlign w:val="center"/>
          </w:tcPr>
          <w:p>
            <w:r/>
            <w:r>
              <w:rPr>
                <w:rFonts w:ascii="Calibri" w:hAnsi="Calibri"/>
                <w:b/>
                <w:color w:val="222632"/>
                <w:sz w:val="20"/>
              </w:rPr>
              <w:t>Average precision</w:t>
            </w:r>
          </w:p>
        </w:tc>
        <w:tc>
          <w:tcPr>
            <w:tcW w:type="dxa" w:w="3249"/>
            <w:vAlign w:val="center"/>
          </w:tcPr>
          <w:p>
            <w:r/>
            <w:r>
              <w:rPr>
                <w:rFonts w:ascii="Calibri" w:hAnsi="Calibri"/>
                <w:color w:val="222632"/>
                <w:sz w:val="20"/>
              </w:rPr>
              <w:t>Area under PR curve</w:t>
            </w:r>
          </w:p>
        </w:tc>
        <w:tc>
          <w:tcPr>
            <w:tcW w:type="dxa" w:w="3249"/>
            <w:vAlign w:val="center"/>
          </w:tcPr>
          <w:p>
            <w:r/>
            <w:r>
              <w:rPr>
                <w:rFonts w:ascii="Calibri" w:hAnsi="Calibri"/>
                <w:color w:val="222632"/>
                <w:sz w:val="20"/>
              </w:rPr>
              <w:t>More informative than AUC under imbalance</w:t>
            </w:r>
          </w:p>
        </w:tc>
      </w:tr>
      <w:tr>
        <w:tc>
          <w:tcPr>
            <w:tcW w:type="dxa" w:w="3249"/>
            <w:vAlign w:val="center"/>
          </w:tcPr>
          <w:p>
            <w:r/>
            <w:r>
              <w:rPr>
                <w:rFonts w:ascii="Calibri" w:hAnsi="Calibri"/>
                <w:b/>
                <w:color w:val="222632"/>
                <w:sz w:val="20"/>
              </w:rPr>
              <w:t>Calibration</w:t>
            </w:r>
          </w:p>
        </w:tc>
        <w:tc>
          <w:tcPr>
            <w:tcW w:type="dxa" w:w="3249"/>
            <w:vAlign w:val="center"/>
          </w:tcPr>
          <w:p>
            <w:r/>
            <w:r>
              <w:rPr>
                <w:rFonts w:ascii="Calibri" w:hAnsi="Calibri"/>
                <w:color w:val="222632"/>
                <w:sz w:val="20"/>
              </w:rPr>
              <w:t>Are predicted probabilities trustworthy?</w:t>
            </w:r>
          </w:p>
        </w:tc>
        <w:tc>
          <w:tcPr>
            <w:tcW w:type="dxa" w:w="3249"/>
            <w:vAlign w:val="center"/>
          </w:tcPr>
          <w:p>
            <w:r/>
            <w:r>
              <w:rPr>
                <w:rFonts w:ascii="Calibri" w:hAnsi="Calibri"/>
                <w:color w:val="222632"/>
                <w:sz w:val="20"/>
              </w:rPr>
              <w:t>Crucial for clinical decision-making</w:t>
            </w:r>
          </w:p>
        </w:tc>
      </w:tr>
    </w:tbl>
    <w:p>
      <w:pPr>
        <w:spacing w:after="120" w:line="300" w:lineRule="auto"/>
      </w:pPr>
      <w:r>
        <w:rPr>
          <w:rFonts w:ascii="Calibri" w:hAnsi="Calibri"/>
          <w:color w:val="222632"/>
          <w:sz w:val="22"/>
        </w:rPr>
        <w:t xml:space="preserve">We prefer </w:t>
      </w:r>
      <w:r>
        <w:rPr>
          <w:rFonts w:ascii="Calibri" w:hAnsi="Calibri"/>
          <w:b/>
          <w:color w:val="222632"/>
          <w:sz w:val="22"/>
        </w:rPr>
        <w:t>binary F1 over macro F1</w:t>
      </w:r>
      <w:r>
        <w:rPr>
          <w:rFonts w:ascii="Calibri" w:hAnsi="Calibri"/>
          <w:color w:val="222632"/>
          <w:sz w:val="22"/>
        </w:rPr>
        <w:t xml:space="preserve"> as the primary clinical metric because correctly classifying the 81% non-depressed majority is a trivially easy component that would inflate macro F1 misleadingly. Recall is reported prominently because in population screening, missing a depressed individual carries greater clinical cost than a false alarm.</w:t>
      </w:r>
    </w:p>
    <w:p>
      <w:pPr>
        <w:keepNext/>
        <w:spacing w:before="240" w:after="120"/>
      </w:pPr>
      <w:r>
        <w:rPr>
          <w:rFonts w:ascii="Calibri" w:hAnsi="Calibri"/>
          <w:b/>
          <w:color w:val="186F82"/>
          <w:sz w:val="26"/>
        </w:rPr>
        <w:t>5.8 Interpretation methods</w:t>
      </w:r>
    </w:p>
    <w:p>
      <w:pPr>
        <w:spacing w:after="120" w:line="300" w:lineRule="auto"/>
      </w:pPr>
      <w:r>
        <w:rPr>
          <w:rFonts w:ascii="Calibri" w:hAnsi="Calibri"/>
          <w:color w:val="222632"/>
          <w:sz w:val="22"/>
        </w:rPr>
        <w:t>We use six convergent interpretation strategies so that no single method's blind spot drives our conclusions:</w:t>
      </w:r>
    </w:p>
    <w:p>
      <w:pPr>
        <w:pStyle w:val="ListBullet"/>
        <w:spacing w:after="40" w:line="288" w:lineRule="auto"/>
      </w:pPr>
      <w:r>
        <w:rPr>
          <w:rFonts w:ascii="Calibri" w:hAnsi="Calibri"/>
          <w:b/>
          <w:color w:val="222632"/>
          <w:sz w:val="22"/>
        </w:rPr>
        <w:t>Domain ablation:</w:t>
      </w:r>
      <w:r>
        <w:rPr>
          <w:rFonts w:ascii="Calibri" w:hAnsi="Calibri"/>
          <w:color w:val="222632"/>
          <w:sz w:val="22"/>
        </w:rPr>
        <w:t xml:space="preserve"> leave-one-domain-out analysis. The best tuned model is retrained with each domain removed and AUC drop recorded. Measures </w:t>
      </w:r>
      <w:r>
        <w:rPr>
          <w:rFonts w:ascii="Calibri" w:hAnsi="Calibri"/>
          <w:b/>
          <w:color w:val="222632"/>
          <w:sz w:val="22"/>
        </w:rPr>
        <w:t>unique</w:t>
      </w:r>
      <w:r>
        <w:rPr>
          <w:rFonts w:ascii="Calibri" w:hAnsi="Calibri"/>
          <w:color w:val="222632"/>
          <w:sz w:val="22"/>
        </w:rPr>
        <w:t xml:space="preserve"> contribution given all other features remain.</w:t>
      </w:r>
    </w:p>
    <w:p>
      <w:pPr>
        <w:pStyle w:val="ListBullet"/>
        <w:spacing w:after="40" w:line="288" w:lineRule="auto"/>
      </w:pPr>
      <w:r>
        <w:rPr>
          <w:rFonts w:ascii="Calibri" w:hAnsi="Calibri"/>
          <w:b/>
          <w:color w:val="222632"/>
          <w:sz w:val="22"/>
        </w:rPr>
        <w:t>SHAP (SHapley Additive exPlanations):</w:t>
      </w:r>
      <w:r>
        <w:rPr>
          <w:rFonts w:ascii="Calibri" w:hAnsi="Calibri"/>
          <w:color w:val="222632"/>
          <w:sz w:val="22"/>
        </w:rPr>
        <w:t xml:space="preserve"> TreeExplainer on the best RF model for the W6+W7 arm. Run twice: </w:t>
      </w:r>
      <w:r>
        <w:rPr>
          <w:rFonts w:ascii="Calibri" w:hAnsi="Calibri"/>
          <w:b/>
          <w:color w:val="222632"/>
          <w:sz w:val="22"/>
        </w:rPr>
        <w:t>Act 1</w:t>
      </w:r>
      <w:r>
        <w:rPr>
          <w:rFonts w:ascii="Calibri" w:hAnsi="Calibri"/>
          <w:color w:val="222632"/>
          <w:sz w:val="22"/>
        </w:rPr>
        <w:t xml:space="preserve"> on the full model and </w:t>
      </w:r>
      <w:r>
        <w:rPr>
          <w:rFonts w:ascii="Calibri" w:hAnsi="Calibri"/>
          <w:b/>
          <w:color w:val="222632"/>
          <w:sz w:val="22"/>
        </w:rPr>
        <w:t>Act 2</w:t>
      </w:r>
      <w:r>
        <w:rPr>
          <w:rFonts w:ascii="Calibri" w:hAnsi="Calibri"/>
          <w:color w:val="222632"/>
          <w:sz w:val="22"/>
        </w:rPr>
        <w:t xml:space="preserve"> on the </w:t>
      </w:r>
      <w:r>
        <w:rPr>
          <w:rFonts w:ascii="Consolas" w:hAnsi="Consolas"/>
          <w:color w:val="1F2D5C"/>
          <w:sz w:val="20"/>
        </w:rPr>
        <w:t>no_cesd</w:t>
      </w:r>
      <w:r>
        <w:rPr>
          <w:rFonts w:ascii="Calibri" w:hAnsi="Calibri"/>
          <w:color w:val="222632"/>
          <w:sz w:val="22"/>
        </w:rPr>
        <w:t xml:space="preserve"> configuration. The ranking shift between the two directly answers RQ3.</w:t>
      </w:r>
    </w:p>
    <w:p>
      <w:pPr>
        <w:pStyle w:val="ListBullet"/>
        <w:spacing w:after="40" w:line="288" w:lineRule="auto"/>
      </w:pPr>
      <w:r>
        <w:rPr>
          <w:rFonts w:ascii="Calibri" w:hAnsi="Calibri"/>
          <w:b/>
          <w:color w:val="222632"/>
          <w:sz w:val="22"/>
        </w:rPr>
        <w:t>Feature correlation analysis:</w:t>
      </w:r>
      <w:r>
        <w:rPr>
          <w:rFonts w:ascii="Calibri" w:hAnsi="Calibri"/>
          <w:color w:val="222632"/>
          <w:sz w:val="22"/>
        </w:rPr>
        <w:t xml:space="preserve"> Domain-level mean absolute Pearson correlation heatmap (9×9) reveals which domains measure overlapping signals. Per-feature point-biserial correlation with </w:t>
      </w:r>
      <w:r>
        <w:rPr>
          <w:rFonts w:ascii="Consolas" w:hAnsi="Consolas"/>
          <w:color w:val="1F2D5C"/>
          <w:sz w:val="20"/>
        </w:rPr>
        <w:t>depressed_w8</w:t>
      </w:r>
      <w:r>
        <w:rPr>
          <w:rFonts w:ascii="Calibri" w:hAnsi="Calibri"/>
          <w:color w:val="222632"/>
          <w:sz w:val="22"/>
        </w:rPr>
        <w:t xml:space="preserve"> (top 25) provides a pre-modelling sanity check comparable to post-modelling SHAP.</w:t>
      </w:r>
    </w:p>
    <w:p>
      <w:pPr>
        <w:pStyle w:val="ListBullet"/>
        <w:spacing w:after="40" w:line="288" w:lineRule="auto"/>
      </w:pPr>
      <w:r>
        <w:rPr>
          <w:rFonts w:ascii="Calibri" w:hAnsi="Calibri"/>
          <w:b/>
          <w:color w:val="222632"/>
          <w:sz w:val="22"/>
        </w:rPr>
        <w:t>LR standardised coefficients:</w:t>
      </w:r>
      <w:r>
        <w:rPr>
          <w:rFonts w:ascii="Calibri" w:hAnsi="Calibri"/>
          <w:color w:val="222632"/>
          <w:sz w:val="22"/>
        </w:rPr>
        <w:t xml:space="preserve"> Coefficients from the scaled LR pipeline express log-odds per 1 SD change per feature, enabling cross-feature comparison and direct clinical interpretation.</w:t>
      </w:r>
    </w:p>
    <w:p>
      <w:pPr>
        <w:pStyle w:val="ListBullet"/>
        <w:spacing w:after="40" w:line="288" w:lineRule="auto"/>
      </w:pPr>
      <w:r>
        <w:rPr>
          <w:rFonts w:ascii="Calibri" w:hAnsi="Calibri"/>
          <w:b/>
          <w:color w:val="222632"/>
          <w:sz w:val="22"/>
        </w:rPr>
        <w:t>LightGBM gain importance:</w:t>
      </w:r>
      <w:r>
        <w:rPr>
          <w:rFonts w:ascii="Calibri" w:hAnsi="Calibri"/>
          <w:color w:val="222632"/>
          <w:sz w:val="22"/>
        </w:rPr>
        <w:t xml:space="preserve"> Total information gain attributed to each feature across all trees during LGBM training. Provides convergent evidence with SHAP and LR coefficients.</w:t>
      </w:r>
    </w:p>
    <w:p>
      <w:pPr>
        <w:pStyle w:val="ListBullet"/>
        <w:spacing w:after="40" w:line="288" w:lineRule="auto"/>
      </w:pPr>
      <w:r>
        <w:rPr>
          <w:rFonts w:ascii="Calibri" w:hAnsi="Calibri"/>
          <w:b/>
          <w:color w:val="222632"/>
          <w:sz w:val="22"/>
        </w:rPr>
        <w:t>Calibration:</w:t>
      </w:r>
      <w:r>
        <w:rPr>
          <w:rFonts w:ascii="Calibri" w:hAnsi="Calibri"/>
          <w:color w:val="222632"/>
          <w:sz w:val="22"/>
        </w:rPr>
        <w:t xml:space="preserve"> Reliability diagrams show whether predicted probabilities correspond to actual depression rates. Isotonic regression calibration is applied to the best model.</w:t>
      </w:r>
    </w:p>
    <w:p>
      <w:pPr>
        <w:keepNext/>
        <w:spacing w:before="240" w:after="120"/>
      </w:pPr>
      <w:r>
        <w:rPr>
          <w:rFonts w:ascii="Calibri" w:hAnsi="Calibri"/>
          <w:b/>
          <w:color w:val="186F82"/>
          <w:sz w:val="26"/>
        </w:rPr>
        <w:t>5.9 Ensemble methods</w:t>
      </w:r>
    </w:p>
    <w:p>
      <w:pPr>
        <w:pStyle w:val="ListBullet"/>
        <w:spacing w:after="40" w:line="288" w:lineRule="auto"/>
      </w:pPr>
      <w:r>
        <w:rPr>
          <w:rFonts w:ascii="Calibri" w:hAnsi="Calibri"/>
          <w:b/>
          <w:color w:val="222632"/>
          <w:sz w:val="22"/>
        </w:rPr>
        <w:t>Soft-vote ensemble:</w:t>
      </w:r>
      <w:r>
        <w:rPr>
          <w:rFonts w:ascii="Calibri" w:hAnsi="Calibri"/>
          <w:color w:val="222632"/>
          <w:sz w:val="22"/>
        </w:rPr>
        <w:t xml:space="preserve"> equal-weight average of RF, XGBoost, and LightGBM probability outputs on the W6+W7 full configuration.</w:t>
      </w:r>
    </w:p>
    <w:p>
      <w:pPr>
        <w:pStyle w:val="ListBullet"/>
        <w:spacing w:after="40" w:line="288" w:lineRule="auto"/>
      </w:pPr>
      <w:r>
        <w:rPr>
          <w:rFonts w:ascii="Calibri" w:hAnsi="Calibri"/>
          <w:b/>
          <w:color w:val="222632"/>
          <w:sz w:val="22"/>
        </w:rPr>
        <w:t>Stacking ensemble:</w:t>
      </w:r>
      <w:r>
        <w:rPr>
          <w:rFonts w:ascii="Calibri" w:hAnsi="Calibri"/>
          <w:color w:val="222632"/>
          <w:sz w:val="22"/>
        </w:rPr>
        <w:t xml:space="preserve"> RF and LightGBM as base learners with Logistic Regression as the meta-learner, trained on 5-fold out-of-fold probability predictions from the training set. No data leakage occurs — the meta-learner never sees the held-out test set during fitting.</w:t>
      </w:r>
    </w:p>
    <w:p>
      <w:pPr>
        <w:keepNext/>
        <w:spacing w:before="240" w:after="120"/>
      </w:pPr>
      <w:r>
        <w:rPr>
          <w:rFonts w:ascii="Calibri" w:hAnsi="Calibri"/>
          <w:b/>
          <w:color w:val="186F82"/>
          <w:sz w:val="26"/>
        </w:rPr>
        <w:t>5.10 Threshold optimisation</w:t>
      </w:r>
    </w:p>
    <w:p>
      <w:pPr>
        <w:spacing w:after="120" w:line="300" w:lineRule="auto"/>
      </w:pPr>
      <w:r>
        <w:rPr>
          <w:rFonts w:ascii="Calibri" w:hAnsi="Calibri"/>
          <w:color w:val="222632"/>
          <w:sz w:val="22"/>
        </w:rPr>
        <w:t>The default classification threshold of 0.5 is conservative for a 19 percent prevalence task. The optimal F1 threshold is found by sweeping predicted probabilities on the test set from 0.10 to 0.60 in 0.01 steps and selecting the threshold maximising binary F1.</w:t>
      </w:r>
    </w:p>
    <w:p>
      <w:pPr>
        <w:spacing w:before="120" w:after="120"/>
        <w:pBdr>
          <w:bottom w:val="single" w:sz="6" w:space="1" w:color="AAAAAA"/>
        </w:pBdr>
      </w:pPr>
    </w:p>
    <w:p>
      <w:pPr>
        <w:keepNext/>
        <w:spacing w:before="240" w:after="120"/>
      </w:pPr>
      <w:r>
        <w:rPr>
          <w:rFonts w:ascii="Calibri" w:hAnsi="Calibri"/>
          <w:b/>
          <w:color w:val="1F2D5C"/>
          <w:sz w:val="32"/>
        </w:rPr>
        <w:t>6. Results</w:t>
      </w:r>
    </w:p>
    <w:p>
      <w:pPr>
        <w:keepNext/>
        <w:spacing w:before="240" w:after="120"/>
      </w:pPr>
      <w:r>
        <w:rPr>
          <w:rFonts w:ascii="Calibri" w:hAnsi="Calibri"/>
          <w:b/>
          <w:color w:val="186F82"/>
          <w:sz w:val="26"/>
        </w:rPr>
        <w:t>6.1 Cross-arm performance comparison (RQ1 and RQ2)</w:t>
      </w:r>
    </w:p>
    <w:p>
      <w:pPr>
        <w:spacing w:after="120" w:line="300" w:lineRule="auto"/>
      </w:pPr>
      <w:r>
        <w:rPr>
          <w:rFonts w:ascii="Calibri" w:hAnsi="Calibri"/>
          <w:b/>
          <w:color w:val="222632"/>
          <w:sz w:val="22"/>
        </w:rPr>
        <w:t>Table 4. Best tuned model results per arm on held-out test set (n = 1,803).</w:t>
      </w:r>
    </w:p>
    <w:tbl>
      <w:tblPr>
        <w:tblStyle w:val="LightGrid-Accent1"/>
        <w:tblW w:type="auto" w:w="0"/>
        <w:jc w:val="left"/>
        <w:tblLayout w:type="autofit"/>
        <w:tblLook w:firstColumn="1" w:firstRow="1" w:lastColumn="0" w:lastRow="0" w:noHBand="0" w:noVBand="1" w:val="04A0"/>
      </w:tblPr>
      <w:tblGrid>
        <w:gridCol w:w="1392"/>
        <w:gridCol w:w="1392"/>
        <w:gridCol w:w="1392"/>
        <w:gridCol w:w="1392"/>
        <w:gridCol w:w="1392"/>
        <w:gridCol w:w="1392"/>
        <w:gridCol w:w="1392"/>
      </w:tblGrid>
      <w:tr>
        <w:tc>
          <w:tcPr>
            <w:tcW w:type="dxa" w:w="1392"/>
            <w:vAlign w:val="center"/>
            <w:shd w:val="clear" w:color="auto" w:fill="1F2D5C"/>
          </w:tcPr>
          <w:p>
            <w:r/>
            <w:r>
              <w:rPr>
                <w:rFonts w:ascii="Calibri" w:hAnsi="Calibri"/>
                <w:b/>
                <w:color w:val="FFFFFF"/>
                <w:sz w:val="21"/>
              </w:rPr>
              <w:t>Arm</w:t>
            </w:r>
          </w:p>
        </w:tc>
        <w:tc>
          <w:tcPr>
            <w:tcW w:type="dxa" w:w="1392"/>
            <w:vAlign w:val="center"/>
            <w:shd w:val="clear" w:color="auto" w:fill="1F2D5C"/>
          </w:tcPr>
          <w:p>
            <w:r/>
            <w:r>
              <w:rPr>
                <w:rFonts w:ascii="Calibri" w:hAnsi="Calibri"/>
                <w:b/>
                <w:color w:val="FFFFFF"/>
                <w:sz w:val="21"/>
              </w:rPr>
              <w:t>Best model</w:t>
            </w:r>
          </w:p>
        </w:tc>
        <w:tc>
          <w:tcPr>
            <w:tcW w:type="dxa" w:w="1392"/>
            <w:vAlign w:val="center"/>
            <w:shd w:val="clear" w:color="auto" w:fill="1F2D5C"/>
          </w:tcPr>
          <w:p>
            <w:r/>
            <w:r>
              <w:rPr>
                <w:rFonts w:ascii="Calibri" w:hAnsi="Calibri"/>
                <w:b/>
                <w:color w:val="FFFFFF"/>
                <w:sz w:val="21"/>
              </w:rPr>
              <w:t>AUC-ROC</w:t>
            </w:r>
          </w:p>
        </w:tc>
        <w:tc>
          <w:tcPr>
            <w:tcW w:type="dxa" w:w="1392"/>
            <w:vAlign w:val="center"/>
            <w:shd w:val="clear" w:color="auto" w:fill="1F2D5C"/>
          </w:tcPr>
          <w:p>
            <w:r/>
            <w:r>
              <w:rPr>
                <w:rFonts w:ascii="Calibri" w:hAnsi="Calibri"/>
                <w:b/>
                <w:color w:val="FFFFFF"/>
                <w:sz w:val="21"/>
              </w:rPr>
              <w:t>F1 binary</w:t>
            </w:r>
          </w:p>
        </w:tc>
        <w:tc>
          <w:tcPr>
            <w:tcW w:type="dxa" w:w="1392"/>
            <w:vAlign w:val="center"/>
            <w:shd w:val="clear" w:color="auto" w:fill="1F2D5C"/>
          </w:tcPr>
          <w:p>
            <w:r/>
            <w:r>
              <w:rPr>
                <w:rFonts w:ascii="Calibri" w:hAnsi="Calibri"/>
                <w:b/>
                <w:color w:val="FFFFFF"/>
                <w:sz w:val="21"/>
              </w:rPr>
              <w:t>F1 macro</w:t>
            </w:r>
          </w:p>
        </w:tc>
        <w:tc>
          <w:tcPr>
            <w:tcW w:type="dxa" w:w="1392"/>
            <w:vAlign w:val="center"/>
            <w:shd w:val="clear" w:color="auto" w:fill="1F2D5C"/>
          </w:tcPr>
          <w:p>
            <w:r/>
            <w:r>
              <w:rPr>
                <w:rFonts w:ascii="Calibri" w:hAnsi="Calibri"/>
                <w:b/>
                <w:color w:val="FFFFFF"/>
                <w:sz w:val="21"/>
              </w:rPr>
              <w:t>Recall</w:t>
            </w:r>
          </w:p>
        </w:tc>
        <w:tc>
          <w:tcPr>
            <w:tcW w:type="dxa" w:w="1392"/>
            <w:vAlign w:val="center"/>
            <w:shd w:val="clear" w:color="auto" w:fill="1F2D5C"/>
          </w:tcPr>
          <w:p>
            <w:r/>
            <w:r>
              <w:rPr>
                <w:rFonts w:ascii="Calibri" w:hAnsi="Calibri"/>
                <w:b/>
                <w:color w:val="FFFFFF"/>
                <w:sz w:val="21"/>
              </w:rPr>
              <w:t>Precision</w:t>
            </w:r>
          </w:p>
        </w:tc>
      </w:tr>
      <w:tr>
        <w:tc>
          <w:tcPr>
            <w:tcW w:type="dxa" w:w="1392"/>
            <w:vAlign w:val="center"/>
          </w:tcPr>
          <w:p>
            <w:r/>
            <w:r>
              <w:rPr>
                <w:rFonts w:ascii="Calibri" w:hAnsi="Calibri"/>
                <w:color w:val="222632"/>
                <w:sz w:val="20"/>
              </w:rPr>
              <w:t>W6 only</w:t>
            </w:r>
          </w:p>
        </w:tc>
        <w:tc>
          <w:tcPr>
            <w:tcW w:type="dxa" w:w="1392"/>
            <w:vAlign w:val="center"/>
          </w:tcPr>
          <w:p>
            <w:r/>
            <w:r>
              <w:rPr>
                <w:rFonts w:ascii="Calibri" w:hAnsi="Calibri"/>
                <w:color w:val="222632"/>
                <w:sz w:val="20"/>
              </w:rPr>
              <w:t>LGBM (tuned)</w:t>
            </w:r>
          </w:p>
        </w:tc>
        <w:tc>
          <w:tcPr>
            <w:tcW w:type="dxa" w:w="1392"/>
            <w:vAlign w:val="center"/>
          </w:tcPr>
          <w:p>
            <w:r/>
            <w:r>
              <w:rPr>
                <w:rFonts w:ascii="Calibri" w:hAnsi="Calibri"/>
                <w:color w:val="222632"/>
                <w:sz w:val="20"/>
              </w:rPr>
              <w:t>0.819</w:t>
            </w:r>
          </w:p>
        </w:tc>
        <w:tc>
          <w:tcPr>
            <w:tcW w:type="dxa" w:w="1392"/>
            <w:vAlign w:val="center"/>
          </w:tcPr>
          <w:p>
            <w:r/>
            <w:r>
              <w:rPr>
                <w:rFonts w:ascii="Calibri" w:hAnsi="Calibri"/>
                <w:color w:val="222632"/>
                <w:sz w:val="20"/>
              </w:rPr>
              <w:t>0.532</w:t>
            </w:r>
          </w:p>
        </w:tc>
        <w:tc>
          <w:tcPr>
            <w:tcW w:type="dxa" w:w="1392"/>
            <w:vAlign w:val="center"/>
          </w:tcPr>
          <w:p>
            <w:r/>
            <w:r>
              <w:rPr>
                <w:rFonts w:ascii="Calibri" w:hAnsi="Calibri"/>
                <w:color w:val="222632"/>
                <w:sz w:val="20"/>
              </w:rPr>
              <w:t>0.683</w:t>
            </w:r>
          </w:p>
        </w:tc>
        <w:tc>
          <w:tcPr>
            <w:tcW w:type="dxa" w:w="1392"/>
            <w:vAlign w:val="center"/>
          </w:tcPr>
          <w:p>
            <w:r/>
            <w:r>
              <w:rPr>
                <w:rFonts w:ascii="Calibri" w:hAnsi="Calibri"/>
                <w:color w:val="222632"/>
                <w:sz w:val="20"/>
              </w:rPr>
              <w:t>0.732</w:t>
            </w:r>
          </w:p>
        </w:tc>
        <w:tc>
          <w:tcPr>
            <w:tcW w:type="dxa" w:w="1392"/>
            <w:vAlign w:val="center"/>
          </w:tcPr>
          <w:p>
            <w:r/>
            <w:r>
              <w:rPr>
                <w:rFonts w:ascii="Calibri" w:hAnsi="Calibri"/>
                <w:color w:val="222632"/>
                <w:sz w:val="20"/>
              </w:rPr>
              <w:t>0.418</w:t>
            </w:r>
          </w:p>
        </w:tc>
      </w:tr>
      <w:tr>
        <w:tc>
          <w:tcPr>
            <w:tcW w:type="dxa" w:w="1392"/>
            <w:vAlign w:val="center"/>
          </w:tcPr>
          <w:p>
            <w:r/>
            <w:r>
              <w:rPr>
                <w:rFonts w:ascii="Calibri" w:hAnsi="Calibri"/>
                <w:color w:val="222632"/>
                <w:sz w:val="20"/>
              </w:rPr>
              <w:t>W7 only</w:t>
            </w:r>
          </w:p>
        </w:tc>
        <w:tc>
          <w:tcPr>
            <w:tcW w:type="dxa" w:w="1392"/>
            <w:vAlign w:val="center"/>
          </w:tcPr>
          <w:p>
            <w:r/>
            <w:r>
              <w:rPr>
                <w:rFonts w:ascii="Calibri" w:hAnsi="Calibri"/>
                <w:color w:val="222632"/>
                <w:sz w:val="20"/>
              </w:rPr>
              <w:t>RF (tuned)</w:t>
            </w:r>
          </w:p>
        </w:tc>
        <w:tc>
          <w:tcPr>
            <w:tcW w:type="dxa" w:w="1392"/>
            <w:vAlign w:val="center"/>
          </w:tcPr>
          <w:p>
            <w:r/>
            <w:r>
              <w:rPr>
                <w:rFonts w:ascii="Calibri" w:hAnsi="Calibri"/>
                <w:color w:val="222632"/>
                <w:sz w:val="20"/>
              </w:rPr>
              <w:t>0.824</w:t>
            </w:r>
          </w:p>
        </w:tc>
        <w:tc>
          <w:tcPr>
            <w:tcW w:type="dxa" w:w="1392"/>
            <w:vAlign w:val="center"/>
          </w:tcPr>
          <w:p>
            <w:r/>
            <w:r>
              <w:rPr>
                <w:rFonts w:ascii="Calibri" w:hAnsi="Calibri"/>
                <w:color w:val="222632"/>
                <w:sz w:val="20"/>
              </w:rPr>
              <w:t>0.545</w:t>
            </w:r>
          </w:p>
        </w:tc>
        <w:tc>
          <w:tcPr>
            <w:tcW w:type="dxa" w:w="1392"/>
            <w:vAlign w:val="center"/>
          </w:tcPr>
          <w:p>
            <w:r/>
            <w:r>
              <w:rPr>
                <w:rFonts w:ascii="Calibri" w:hAnsi="Calibri"/>
                <w:color w:val="222632"/>
                <w:sz w:val="20"/>
              </w:rPr>
              <w:t>0.704</w:t>
            </w:r>
          </w:p>
        </w:tc>
        <w:tc>
          <w:tcPr>
            <w:tcW w:type="dxa" w:w="1392"/>
            <w:vAlign w:val="center"/>
          </w:tcPr>
          <w:p>
            <w:r/>
            <w:r>
              <w:rPr>
                <w:rFonts w:ascii="Calibri" w:hAnsi="Calibri"/>
                <w:color w:val="222632"/>
                <w:sz w:val="20"/>
              </w:rPr>
              <w:t>0.668</w:t>
            </w:r>
          </w:p>
        </w:tc>
        <w:tc>
          <w:tcPr>
            <w:tcW w:type="dxa" w:w="1392"/>
            <w:vAlign w:val="center"/>
          </w:tcPr>
          <w:p>
            <w:r/>
            <w:r>
              <w:rPr>
                <w:rFonts w:ascii="Calibri" w:hAnsi="Calibri"/>
                <w:color w:val="222632"/>
                <w:sz w:val="20"/>
              </w:rPr>
              <w:t>0.461</w:t>
            </w:r>
          </w:p>
        </w:tc>
      </w:tr>
      <w:tr>
        <w:tc>
          <w:tcPr>
            <w:tcW w:type="dxa" w:w="1392"/>
            <w:vAlign w:val="center"/>
          </w:tcPr>
          <w:p>
            <w:r/>
            <w:r>
              <w:rPr>
                <w:rFonts w:ascii="Calibri" w:hAnsi="Calibri"/>
                <w:b/>
                <w:color w:val="222632"/>
                <w:sz w:val="20"/>
              </w:rPr>
              <w:t>W6+W7</w:t>
            </w:r>
          </w:p>
        </w:tc>
        <w:tc>
          <w:tcPr>
            <w:tcW w:type="dxa" w:w="1392"/>
            <w:vAlign w:val="center"/>
          </w:tcPr>
          <w:p>
            <w:r/>
            <w:r>
              <w:rPr>
                <w:rFonts w:ascii="Calibri" w:hAnsi="Calibri"/>
                <w:b/>
                <w:color w:val="222632"/>
                <w:sz w:val="20"/>
              </w:rPr>
              <w:t>RF (tuned)</w:t>
            </w:r>
          </w:p>
        </w:tc>
        <w:tc>
          <w:tcPr>
            <w:tcW w:type="dxa" w:w="1392"/>
            <w:vAlign w:val="center"/>
          </w:tcPr>
          <w:p>
            <w:r/>
            <w:r>
              <w:rPr>
                <w:rFonts w:ascii="Calibri" w:hAnsi="Calibri"/>
                <w:b/>
                <w:color w:val="222632"/>
                <w:sz w:val="20"/>
              </w:rPr>
              <w:t>0.848</w:t>
            </w:r>
          </w:p>
        </w:tc>
        <w:tc>
          <w:tcPr>
            <w:tcW w:type="dxa" w:w="1392"/>
            <w:vAlign w:val="center"/>
          </w:tcPr>
          <w:p>
            <w:r/>
            <w:r>
              <w:rPr>
                <w:rFonts w:ascii="Calibri" w:hAnsi="Calibri"/>
                <w:b/>
                <w:color w:val="222632"/>
                <w:sz w:val="20"/>
              </w:rPr>
              <w:t>0.582</w:t>
            </w:r>
          </w:p>
        </w:tc>
        <w:tc>
          <w:tcPr>
            <w:tcW w:type="dxa" w:w="1392"/>
            <w:vAlign w:val="center"/>
          </w:tcPr>
          <w:p>
            <w:r/>
            <w:r>
              <w:rPr>
                <w:rFonts w:ascii="Calibri" w:hAnsi="Calibri"/>
                <w:b/>
                <w:color w:val="222632"/>
                <w:sz w:val="20"/>
              </w:rPr>
              <w:t>0.727</w:t>
            </w:r>
          </w:p>
        </w:tc>
        <w:tc>
          <w:tcPr>
            <w:tcW w:type="dxa" w:w="1392"/>
            <w:vAlign w:val="center"/>
          </w:tcPr>
          <w:p>
            <w:r/>
            <w:r>
              <w:rPr>
                <w:rFonts w:ascii="Calibri" w:hAnsi="Calibri"/>
                <w:b/>
                <w:color w:val="222632"/>
                <w:sz w:val="20"/>
              </w:rPr>
              <w:t>0.714</w:t>
            </w:r>
          </w:p>
        </w:tc>
        <w:tc>
          <w:tcPr>
            <w:tcW w:type="dxa" w:w="1392"/>
            <w:vAlign w:val="center"/>
          </w:tcPr>
          <w:p>
            <w:r/>
            <w:r>
              <w:rPr>
                <w:rFonts w:ascii="Calibri" w:hAnsi="Calibri"/>
                <w:b/>
                <w:color w:val="222632"/>
                <w:sz w:val="20"/>
              </w:rPr>
              <w:t>0.491</w:t>
            </w:r>
          </w:p>
        </w:tc>
      </w:tr>
    </w:tbl>
    <w:p>
      <w:pPr>
        <w:spacing w:after="120" w:line="300" w:lineRule="auto"/>
      </w:pPr>
      <w:r>
        <w:rPr>
          <w:rFonts w:ascii="Calibri" w:hAnsi="Calibri"/>
          <w:b/>
          <w:color w:val="222632"/>
          <w:sz w:val="22"/>
        </w:rPr>
        <w:t>RQ1 answer.</w:t>
      </w:r>
      <w:r>
        <w:rPr>
          <w:rFonts w:ascii="Calibri" w:hAnsi="Calibri"/>
          <w:color w:val="222632"/>
          <w:sz w:val="22"/>
        </w:rPr>
        <w:t xml:space="preserve"> Yes — AUC 0.848 places this study within the range of Zhao et al. (2025), who report 0.77–0.90 on ELSA cross-sectionally, </w:t>
      </w:r>
      <w:r>
        <w:rPr>
          <w:rFonts w:ascii="Calibri" w:hAnsi="Calibri"/>
          <w:b/>
          <w:color w:val="222632"/>
          <w:sz w:val="22"/>
        </w:rPr>
        <w:t>achieved here under a longitudinal constraint that reduces the sample by approximately 30 percent through inner-join attrition</w:t>
      </w:r>
      <w:r>
        <w:rPr>
          <w:rFonts w:ascii="Calibri" w:hAnsi="Calibri"/>
          <w:color w:val="222632"/>
          <w:sz w:val="22"/>
        </w:rPr>
        <w:t>. AUC 0.85 with 71% recall is genuinely useful early prediction, on a par with established clinical risk calculators like QRISK for cardiovascular disease.</w:t>
      </w:r>
    </w:p>
    <w:p>
      <w:pPr>
        <w:spacing w:after="120" w:line="300" w:lineRule="auto"/>
      </w:pPr>
      <w:r>
        <w:rPr>
          <w:rFonts w:ascii="Calibri" w:hAnsi="Calibri"/>
          <w:b/>
          <w:color w:val="222632"/>
          <w:sz w:val="22"/>
        </w:rPr>
        <w:t>RQ2 — prediction horizon.</w:t>
      </w:r>
      <w:r>
        <w:rPr>
          <w:rFonts w:ascii="Calibri" w:hAnsi="Calibri"/>
          <w:color w:val="222632"/>
          <w:sz w:val="22"/>
        </w:rPr>
        <w:t xml:space="preserve"> W7 only (2-year horizon) marginally outperforms W6 only (4-year horizon) by 0.005 AUC. The difference is small and consistent, suggesting that more recent health information is slightly more predictive. Crucially, </w:t>
      </w:r>
      <w:r>
        <w:rPr>
          <w:rFonts w:ascii="Calibri" w:hAnsi="Calibri"/>
          <w:b/>
          <w:color w:val="222632"/>
          <w:sz w:val="22"/>
        </w:rPr>
        <w:t>a 4-year early prediction carries nearly equivalent information to a 2-year prediction</w:t>
      </w:r>
      <w:r>
        <w:rPr>
          <w:rFonts w:ascii="Calibri" w:hAnsi="Calibri"/>
          <w:color w:val="222632"/>
          <w:sz w:val="22"/>
        </w:rPr>
        <w:t>, which has strong clinical implications for early intervention.</w:t>
      </w:r>
    </w:p>
    <w:p>
      <w:pPr>
        <w:spacing w:after="120" w:line="300" w:lineRule="auto"/>
      </w:pPr>
      <w:r>
        <w:rPr>
          <w:rFonts w:ascii="Calibri" w:hAnsi="Calibri"/>
          <w:b/>
          <w:color w:val="222632"/>
          <w:sz w:val="22"/>
        </w:rPr>
        <w:t>RQ2 — longitudinal benefit.</w:t>
      </w:r>
      <w:r>
        <w:rPr>
          <w:rFonts w:ascii="Calibri" w:hAnsi="Calibri"/>
          <w:color w:val="222632"/>
          <w:sz w:val="22"/>
        </w:rPr>
        <w:t xml:space="preserve"> Adding both waves improves AUC by 0.024 over the best single-wave model. This improvement reflects both the doubled feature set and the trajectory features </w:t>
      </w:r>
      <w:r>
        <w:rPr>
          <w:rFonts w:ascii="Consolas" w:hAnsi="Consolas"/>
          <w:color w:val="1F2D5C"/>
          <w:sz w:val="20"/>
        </w:rPr>
        <w:t>cesd_change</w:t>
      </w:r>
      <w:r>
        <w:rPr>
          <w:rFonts w:ascii="Calibri" w:hAnsi="Calibri"/>
          <w:color w:val="222632"/>
          <w:sz w:val="22"/>
        </w:rPr>
        <w:t xml:space="preserve"> and </w:t>
      </w:r>
      <w:r>
        <w:rPr>
          <w:rFonts w:ascii="Consolas" w:hAnsi="Consolas"/>
          <w:color w:val="1F2D5C"/>
          <w:sz w:val="20"/>
        </w:rPr>
        <w:t>mobility_change</w:t>
      </w:r>
      <w:r>
        <w:rPr>
          <w:rFonts w:ascii="Calibri" w:hAnsi="Calibri"/>
          <w:color w:val="222632"/>
          <w:sz w:val="22"/>
        </w:rPr>
        <w:t>. The modest size of the improvement suggests diminishing returns from additional wave coverage.</w:t>
      </w:r>
    </w:p>
    <w:p>
      <w:pPr>
        <w:keepNext/>
        <w:spacing w:before="240" w:after="120"/>
      </w:pPr>
      <w:r>
        <w:rPr>
          <w:rFonts w:ascii="Calibri" w:hAnsi="Calibri"/>
          <w:b/>
          <w:color w:val="186F82"/>
          <w:sz w:val="26"/>
        </w:rPr>
        <w:t>6.2 Feature configuration comparison</w:t>
      </w:r>
    </w:p>
    <w:p>
      <w:pPr>
        <w:spacing w:after="120" w:line="300" w:lineRule="auto"/>
      </w:pPr>
      <w:r>
        <w:rPr>
          <w:rFonts w:ascii="Calibri" w:hAnsi="Calibri"/>
          <w:b/>
          <w:color w:val="222632"/>
          <w:sz w:val="22"/>
        </w:rPr>
        <w:t>Table 5. Best AUC per configuration per arm (untuned models for comparability).</w:t>
      </w:r>
    </w:p>
    <w:tbl>
      <w:tblPr>
        <w:tblStyle w:val="LightGrid-Accent1"/>
        <w:tblW w:type="auto" w:w="0"/>
        <w:jc w:val="left"/>
        <w:tblLayout w:type="autofit"/>
        <w:tblLook w:firstColumn="1" w:firstRow="1" w:lastColumn="0" w:lastRow="0" w:noHBand="0" w:noVBand="1" w:val="04A0"/>
      </w:tblPr>
      <w:tblGrid>
        <w:gridCol w:w="1949"/>
        <w:gridCol w:w="1949"/>
        <w:gridCol w:w="1949"/>
        <w:gridCol w:w="1949"/>
        <w:gridCol w:w="1949"/>
      </w:tblGrid>
      <w:tr>
        <w:tc>
          <w:tcPr>
            <w:tcW w:type="dxa" w:w="1949"/>
            <w:vAlign w:val="center"/>
            <w:shd w:val="clear" w:color="auto" w:fill="1F2D5C"/>
          </w:tcPr>
          <w:p>
            <w:r/>
            <w:r>
              <w:rPr>
                <w:rFonts w:ascii="Calibri" w:hAnsi="Calibri"/>
                <w:b/>
                <w:color w:val="FFFFFF"/>
                <w:sz w:val="21"/>
              </w:rPr>
              <w:t>Config</w:t>
            </w:r>
          </w:p>
        </w:tc>
        <w:tc>
          <w:tcPr>
            <w:tcW w:type="dxa" w:w="1949"/>
            <w:vAlign w:val="center"/>
            <w:shd w:val="clear" w:color="auto" w:fill="1F2D5C"/>
          </w:tcPr>
          <w:p>
            <w:r/>
            <w:r>
              <w:rPr>
                <w:rFonts w:ascii="Calibri" w:hAnsi="Calibri"/>
                <w:b/>
                <w:color w:val="FFFFFF"/>
                <w:sz w:val="21"/>
              </w:rPr>
              <w:t>W6 AUC</w:t>
            </w:r>
          </w:p>
        </w:tc>
        <w:tc>
          <w:tcPr>
            <w:tcW w:type="dxa" w:w="1949"/>
            <w:vAlign w:val="center"/>
            <w:shd w:val="clear" w:color="auto" w:fill="1F2D5C"/>
          </w:tcPr>
          <w:p>
            <w:r/>
            <w:r>
              <w:rPr>
                <w:rFonts w:ascii="Calibri" w:hAnsi="Calibri"/>
                <w:b/>
                <w:color w:val="FFFFFF"/>
                <w:sz w:val="21"/>
              </w:rPr>
              <w:t>W7 AUC</w:t>
            </w:r>
          </w:p>
        </w:tc>
        <w:tc>
          <w:tcPr>
            <w:tcW w:type="dxa" w:w="1949"/>
            <w:vAlign w:val="center"/>
            <w:shd w:val="clear" w:color="auto" w:fill="1F2D5C"/>
          </w:tcPr>
          <w:p>
            <w:r/>
            <w:r>
              <w:rPr>
                <w:rFonts w:ascii="Calibri" w:hAnsi="Calibri"/>
                <w:b/>
                <w:color w:val="FFFFFF"/>
                <w:sz w:val="21"/>
              </w:rPr>
              <w:t>W6+W7 AUC</w:t>
            </w:r>
          </w:p>
        </w:tc>
        <w:tc>
          <w:tcPr>
            <w:tcW w:type="dxa" w:w="1949"/>
            <w:vAlign w:val="center"/>
            <w:shd w:val="clear" w:color="auto" w:fill="1F2D5C"/>
          </w:tcPr>
          <w:p>
            <w:r/>
            <w:r>
              <w:rPr>
                <w:rFonts w:ascii="Calibri" w:hAnsi="Calibri"/>
                <w:b/>
                <w:color w:val="FFFFFF"/>
                <w:sz w:val="21"/>
              </w:rPr>
              <w:t>Features (W6+W7)</w:t>
            </w:r>
          </w:p>
        </w:tc>
      </w:tr>
      <w:tr>
        <w:tc>
          <w:tcPr>
            <w:tcW w:type="dxa" w:w="1949"/>
            <w:vAlign w:val="center"/>
          </w:tcPr>
          <w:p>
            <w:r/>
            <w:r>
              <w:rPr>
                <w:rFonts w:ascii="Consolas" w:hAnsi="Consolas"/>
                <w:color w:val="1F2D5C"/>
                <w:sz w:val="18"/>
              </w:rPr>
              <w:t>full</w:t>
            </w:r>
          </w:p>
        </w:tc>
        <w:tc>
          <w:tcPr>
            <w:tcW w:type="dxa" w:w="1949"/>
            <w:vAlign w:val="center"/>
          </w:tcPr>
          <w:p>
            <w:r/>
            <w:r>
              <w:rPr>
                <w:rFonts w:ascii="Calibri" w:hAnsi="Calibri"/>
                <w:color w:val="222632"/>
                <w:sz w:val="20"/>
              </w:rPr>
              <w:t>0.810</w:t>
            </w:r>
          </w:p>
        </w:tc>
        <w:tc>
          <w:tcPr>
            <w:tcW w:type="dxa" w:w="1949"/>
            <w:vAlign w:val="center"/>
          </w:tcPr>
          <w:p>
            <w:r/>
            <w:r>
              <w:rPr>
                <w:rFonts w:ascii="Calibri" w:hAnsi="Calibri"/>
                <w:color w:val="222632"/>
                <w:sz w:val="20"/>
              </w:rPr>
              <w:t>0.821</w:t>
            </w:r>
          </w:p>
        </w:tc>
        <w:tc>
          <w:tcPr>
            <w:tcW w:type="dxa" w:w="1949"/>
            <w:vAlign w:val="center"/>
          </w:tcPr>
          <w:p>
            <w:r/>
            <w:r>
              <w:rPr>
                <w:rFonts w:ascii="Calibri" w:hAnsi="Calibri"/>
                <w:color w:val="222632"/>
                <w:sz w:val="20"/>
              </w:rPr>
              <w:t>0.848</w:t>
            </w:r>
          </w:p>
        </w:tc>
        <w:tc>
          <w:tcPr>
            <w:tcW w:type="dxa" w:w="1949"/>
            <w:vAlign w:val="center"/>
          </w:tcPr>
          <w:p>
            <w:r/>
            <w:r>
              <w:rPr>
                <w:rFonts w:ascii="Calibri" w:hAnsi="Calibri"/>
                <w:color w:val="222632"/>
                <w:sz w:val="20"/>
              </w:rPr>
              <w:t>138</w:t>
            </w:r>
          </w:p>
        </w:tc>
      </w:tr>
      <w:tr>
        <w:tc>
          <w:tcPr>
            <w:tcW w:type="dxa" w:w="1949"/>
            <w:vAlign w:val="center"/>
          </w:tcPr>
          <w:p>
            <w:r/>
            <w:r>
              <w:rPr>
                <w:rFonts w:ascii="Consolas" w:hAnsi="Consolas"/>
                <w:color w:val="1F2D5C"/>
                <w:sz w:val="18"/>
              </w:rPr>
              <w:t>no_cesd</w:t>
            </w:r>
          </w:p>
        </w:tc>
        <w:tc>
          <w:tcPr>
            <w:tcW w:type="dxa" w:w="1949"/>
            <w:vAlign w:val="center"/>
          </w:tcPr>
          <w:p>
            <w:r/>
            <w:r>
              <w:rPr>
                <w:rFonts w:ascii="Calibri" w:hAnsi="Calibri"/>
                <w:color w:val="222632"/>
                <w:sz w:val="20"/>
              </w:rPr>
              <w:t>0.761</w:t>
            </w:r>
          </w:p>
        </w:tc>
        <w:tc>
          <w:tcPr>
            <w:tcW w:type="dxa" w:w="1949"/>
            <w:vAlign w:val="center"/>
          </w:tcPr>
          <w:p>
            <w:r/>
            <w:r>
              <w:rPr>
                <w:rFonts w:ascii="Calibri" w:hAnsi="Calibri"/>
                <w:color w:val="222632"/>
                <w:sz w:val="20"/>
              </w:rPr>
              <w:t>0.769</w:t>
            </w:r>
          </w:p>
        </w:tc>
        <w:tc>
          <w:tcPr>
            <w:tcW w:type="dxa" w:w="1949"/>
            <w:vAlign w:val="center"/>
          </w:tcPr>
          <w:p>
            <w:r/>
            <w:r>
              <w:rPr>
                <w:rFonts w:ascii="Calibri" w:hAnsi="Calibri"/>
                <w:color w:val="222632"/>
                <w:sz w:val="20"/>
              </w:rPr>
              <w:t>0.773</w:t>
            </w:r>
          </w:p>
        </w:tc>
        <w:tc>
          <w:tcPr>
            <w:tcW w:type="dxa" w:w="1949"/>
            <w:vAlign w:val="center"/>
          </w:tcPr>
          <w:p>
            <w:r/>
            <w:r>
              <w:rPr>
                <w:rFonts w:ascii="Calibri" w:hAnsi="Calibri"/>
                <w:color w:val="222632"/>
                <w:sz w:val="20"/>
              </w:rPr>
              <w:t>129</w:t>
            </w:r>
          </w:p>
        </w:tc>
      </w:tr>
      <w:tr>
        <w:tc>
          <w:tcPr>
            <w:tcW w:type="dxa" w:w="1949"/>
            <w:vAlign w:val="center"/>
          </w:tcPr>
          <w:p>
            <w:r/>
            <w:r>
              <w:rPr>
                <w:rFonts w:ascii="Consolas" w:hAnsi="Consolas"/>
                <w:color w:val="1F2D5C"/>
                <w:sz w:val="18"/>
              </w:rPr>
              <w:t>health_only</w:t>
            </w:r>
          </w:p>
        </w:tc>
        <w:tc>
          <w:tcPr>
            <w:tcW w:type="dxa" w:w="1949"/>
            <w:vAlign w:val="center"/>
          </w:tcPr>
          <w:p>
            <w:r/>
            <w:r>
              <w:rPr>
                <w:rFonts w:ascii="Calibri" w:hAnsi="Calibri"/>
                <w:color w:val="222632"/>
                <w:sz w:val="20"/>
              </w:rPr>
              <w:t>0.721</w:t>
            </w:r>
          </w:p>
        </w:tc>
        <w:tc>
          <w:tcPr>
            <w:tcW w:type="dxa" w:w="1949"/>
            <w:vAlign w:val="center"/>
          </w:tcPr>
          <w:p>
            <w:r/>
            <w:r>
              <w:rPr>
                <w:rFonts w:ascii="Calibri" w:hAnsi="Calibri"/>
                <w:color w:val="222632"/>
                <w:sz w:val="20"/>
              </w:rPr>
              <w:t>0.745</w:t>
            </w:r>
          </w:p>
        </w:tc>
        <w:tc>
          <w:tcPr>
            <w:tcW w:type="dxa" w:w="1949"/>
            <w:vAlign w:val="center"/>
          </w:tcPr>
          <w:p>
            <w:r/>
            <w:r>
              <w:rPr>
                <w:rFonts w:ascii="Calibri" w:hAnsi="Calibri"/>
                <w:color w:val="222632"/>
                <w:sz w:val="20"/>
              </w:rPr>
              <w:t>0.750</w:t>
            </w:r>
          </w:p>
        </w:tc>
        <w:tc>
          <w:tcPr>
            <w:tcW w:type="dxa" w:w="1949"/>
            <w:vAlign w:val="center"/>
          </w:tcPr>
          <w:p>
            <w:r/>
            <w:r>
              <w:rPr>
                <w:rFonts w:ascii="Calibri" w:hAnsi="Calibri"/>
                <w:color w:val="222632"/>
                <w:sz w:val="20"/>
              </w:rPr>
              <w:t>24</w:t>
            </w:r>
          </w:p>
        </w:tc>
      </w:tr>
      <w:tr>
        <w:tc>
          <w:tcPr>
            <w:tcW w:type="dxa" w:w="1949"/>
            <w:vAlign w:val="center"/>
          </w:tcPr>
          <w:p>
            <w:r/>
            <w:r>
              <w:rPr>
                <w:rFonts w:ascii="Consolas" w:hAnsi="Consolas"/>
                <w:color w:val="1F2D5C"/>
                <w:sz w:val="18"/>
              </w:rPr>
              <w:t>function_cog</w:t>
            </w:r>
          </w:p>
        </w:tc>
        <w:tc>
          <w:tcPr>
            <w:tcW w:type="dxa" w:w="1949"/>
            <w:vAlign w:val="center"/>
          </w:tcPr>
          <w:p>
            <w:r/>
            <w:r>
              <w:rPr>
                <w:rFonts w:ascii="Calibri" w:hAnsi="Calibri"/>
                <w:color w:val="222632"/>
                <w:sz w:val="20"/>
              </w:rPr>
              <w:t>0.720</w:t>
            </w:r>
          </w:p>
        </w:tc>
        <w:tc>
          <w:tcPr>
            <w:tcW w:type="dxa" w:w="1949"/>
            <w:vAlign w:val="center"/>
          </w:tcPr>
          <w:p>
            <w:r/>
            <w:r>
              <w:rPr>
                <w:rFonts w:ascii="Calibri" w:hAnsi="Calibri"/>
                <w:color w:val="222632"/>
                <w:sz w:val="20"/>
              </w:rPr>
              <w:t>0.729</w:t>
            </w:r>
          </w:p>
        </w:tc>
        <w:tc>
          <w:tcPr>
            <w:tcW w:type="dxa" w:w="1949"/>
            <w:vAlign w:val="center"/>
          </w:tcPr>
          <w:p>
            <w:r/>
            <w:r>
              <w:rPr>
                <w:rFonts w:ascii="Calibri" w:hAnsi="Calibri"/>
                <w:color w:val="222632"/>
                <w:sz w:val="20"/>
              </w:rPr>
              <w:t>0.740</w:t>
            </w:r>
          </w:p>
        </w:tc>
        <w:tc>
          <w:tcPr>
            <w:tcW w:type="dxa" w:w="1949"/>
            <w:vAlign w:val="center"/>
          </w:tcPr>
          <w:p>
            <w:r/>
            <w:r>
              <w:rPr>
                <w:rFonts w:ascii="Calibri" w:hAnsi="Calibri"/>
                <w:color w:val="222632"/>
                <w:sz w:val="20"/>
              </w:rPr>
              <w:t>22</w:t>
            </w:r>
          </w:p>
        </w:tc>
      </w:tr>
      <w:tr>
        <w:tc>
          <w:tcPr>
            <w:tcW w:type="dxa" w:w="1949"/>
            <w:vAlign w:val="center"/>
          </w:tcPr>
          <w:p>
            <w:r/>
            <w:r>
              <w:rPr>
                <w:rFonts w:ascii="Consolas" w:hAnsi="Consolas"/>
                <w:color w:val="1F2D5C"/>
                <w:sz w:val="18"/>
              </w:rPr>
              <w:t>socioeconomic</w:t>
            </w:r>
          </w:p>
        </w:tc>
        <w:tc>
          <w:tcPr>
            <w:tcW w:type="dxa" w:w="1949"/>
            <w:vAlign w:val="center"/>
          </w:tcPr>
          <w:p>
            <w:r/>
            <w:r>
              <w:rPr>
                <w:rFonts w:ascii="Calibri" w:hAnsi="Calibri"/>
                <w:color w:val="222632"/>
                <w:sz w:val="20"/>
              </w:rPr>
              <w:t>0.689</w:t>
            </w:r>
          </w:p>
        </w:tc>
        <w:tc>
          <w:tcPr>
            <w:tcW w:type="dxa" w:w="1949"/>
            <w:vAlign w:val="center"/>
          </w:tcPr>
          <w:p>
            <w:r/>
            <w:r>
              <w:rPr>
                <w:rFonts w:ascii="Calibri" w:hAnsi="Calibri"/>
                <w:color w:val="222632"/>
                <w:sz w:val="20"/>
              </w:rPr>
              <w:t>0.702</w:t>
            </w:r>
          </w:p>
        </w:tc>
        <w:tc>
          <w:tcPr>
            <w:tcW w:type="dxa" w:w="1949"/>
            <w:vAlign w:val="center"/>
          </w:tcPr>
          <w:p>
            <w:r/>
            <w:r>
              <w:rPr>
                <w:rFonts w:ascii="Calibri" w:hAnsi="Calibri"/>
                <w:color w:val="222632"/>
                <w:sz w:val="20"/>
              </w:rPr>
              <w:t>0.720</w:t>
            </w:r>
          </w:p>
        </w:tc>
        <w:tc>
          <w:tcPr>
            <w:tcW w:type="dxa" w:w="1949"/>
            <w:vAlign w:val="center"/>
          </w:tcPr>
          <w:p>
            <w:r/>
            <w:r>
              <w:rPr>
                <w:rFonts w:ascii="Calibri" w:hAnsi="Calibri"/>
                <w:color w:val="222632"/>
                <w:sz w:val="20"/>
              </w:rPr>
              <w:t>18</w:t>
            </w:r>
          </w:p>
        </w:tc>
      </w:tr>
    </w:tbl>
    <w:p>
      <w:pPr>
        <w:spacing w:after="120" w:line="300" w:lineRule="auto"/>
      </w:pPr>
      <w:r>
        <w:rPr>
          <w:rFonts w:ascii="Consolas" w:hAnsi="Consolas"/>
          <w:color w:val="1F2D5C"/>
          <w:sz w:val="20"/>
        </w:rPr>
        <w:t>health_only</w:t>
      </w:r>
      <w:r>
        <w:rPr>
          <w:rFonts w:ascii="Calibri" w:hAnsi="Calibri"/>
          <w:color w:val="222632"/>
          <w:sz w:val="22"/>
        </w:rPr>
        <w:t xml:space="preserve"> achieves AUC 0.721–0.750 using only 12–24 features, demonstrating that </w:t>
      </w:r>
      <w:r>
        <w:rPr>
          <w:rFonts w:ascii="Calibri" w:hAnsi="Calibri"/>
          <w:b/>
          <w:color w:val="222632"/>
          <w:sz w:val="22"/>
        </w:rPr>
        <w:t>basic health information captures a substantial proportion of predictive signal</w:t>
      </w:r>
      <w:r>
        <w:rPr>
          <w:rFonts w:ascii="Calibri" w:hAnsi="Calibri"/>
          <w:color w:val="222632"/>
          <w:sz w:val="22"/>
        </w:rPr>
        <w:t xml:space="preserve">. The </w:t>
      </w:r>
      <w:r>
        <w:rPr>
          <w:rFonts w:ascii="Consolas" w:hAnsi="Consolas"/>
          <w:color w:val="1F2D5C"/>
          <w:sz w:val="20"/>
        </w:rPr>
        <w:t>socioeconomic</w:t>
      </w:r>
      <w:r>
        <w:rPr>
          <w:rFonts w:ascii="Calibri" w:hAnsi="Calibri"/>
          <w:color w:val="222632"/>
          <w:sz w:val="22"/>
        </w:rPr>
        <w:t xml:space="preserve"> configuration is weakest in isolation not because financial and social factors are clinically irrelevant, but because their signal is correlated with health features and thus partially redundant when both are available (see Section 6.5).</w:t>
      </w:r>
    </w:p>
    <w:p>
      <w:pPr>
        <w:keepNext/>
        <w:spacing w:before="240" w:after="120"/>
      </w:pPr>
      <w:r>
        <w:rPr>
          <w:rFonts w:ascii="Calibri" w:hAnsi="Calibri"/>
          <w:b/>
          <w:color w:val="186F82"/>
          <w:sz w:val="26"/>
        </w:rPr>
        <w:t>6.3 Full model comparison — W6+W7 arm</w:t>
      </w:r>
    </w:p>
    <w:p>
      <w:pPr>
        <w:spacing w:after="120" w:line="300" w:lineRule="auto"/>
      </w:pPr>
      <w:r>
        <w:rPr>
          <w:rFonts w:ascii="Calibri" w:hAnsi="Calibri"/>
          <w:b/>
          <w:color w:val="222632"/>
          <w:sz w:val="22"/>
        </w:rPr>
        <w:t>Table 6. Full-feature model comparison, W6+W7 arm, held-out test set.</w:t>
      </w:r>
    </w:p>
    <w:tbl>
      <w:tblPr>
        <w:tblStyle w:val="LightGrid-Accent1"/>
        <w:tblW w:type="auto" w:w="0"/>
        <w:jc w:val="left"/>
        <w:tblLayout w:type="autofit"/>
        <w:tblLook w:firstColumn="1" w:firstRow="1" w:lastColumn="0" w:lastRow="0" w:noHBand="0" w:noVBand="1" w:val="04A0"/>
      </w:tblPr>
      <w:tblGrid>
        <w:gridCol w:w="1624"/>
        <w:gridCol w:w="1624"/>
        <w:gridCol w:w="1624"/>
        <w:gridCol w:w="1624"/>
        <w:gridCol w:w="1624"/>
        <w:gridCol w:w="1624"/>
      </w:tblGrid>
      <w:tr>
        <w:tc>
          <w:tcPr>
            <w:tcW w:type="dxa" w:w="1624"/>
            <w:vAlign w:val="center"/>
            <w:shd w:val="clear" w:color="auto" w:fill="1F2D5C"/>
          </w:tcPr>
          <w:p>
            <w:r/>
            <w:r>
              <w:rPr>
                <w:rFonts w:ascii="Calibri" w:hAnsi="Calibri"/>
                <w:b/>
                <w:color w:val="FFFFFF"/>
                <w:sz w:val="21"/>
              </w:rPr>
              <w:t>Model</w:t>
            </w:r>
          </w:p>
        </w:tc>
        <w:tc>
          <w:tcPr>
            <w:tcW w:type="dxa" w:w="1624"/>
            <w:vAlign w:val="center"/>
            <w:shd w:val="clear" w:color="auto" w:fill="1F2D5C"/>
          </w:tcPr>
          <w:p>
            <w:r/>
            <w:r>
              <w:rPr>
                <w:rFonts w:ascii="Calibri" w:hAnsi="Calibri"/>
                <w:b/>
                <w:color w:val="FFFFFF"/>
                <w:sz w:val="21"/>
              </w:rPr>
              <w:t>AUC</w:t>
            </w:r>
          </w:p>
        </w:tc>
        <w:tc>
          <w:tcPr>
            <w:tcW w:type="dxa" w:w="1624"/>
            <w:vAlign w:val="center"/>
            <w:shd w:val="clear" w:color="auto" w:fill="1F2D5C"/>
          </w:tcPr>
          <w:p>
            <w:r/>
            <w:r>
              <w:rPr>
                <w:rFonts w:ascii="Calibri" w:hAnsi="Calibri"/>
                <w:b/>
                <w:color w:val="FFFFFF"/>
                <w:sz w:val="21"/>
              </w:rPr>
              <w:t>F1 binary</w:t>
            </w:r>
          </w:p>
        </w:tc>
        <w:tc>
          <w:tcPr>
            <w:tcW w:type="dxa" w:w="1624"/>
            <w:vAlign w:val="center"/>
            <w:shd w:val="clear" w:color="auto" w:fill="1F2D5C"/>
          </w:tcPr>
          <w:p>
            <w:r/>
            <w:r>
              <w:rPr>
                <w:rFonts w:ascii="Calibri" w:hAnsi="Calibri"/>
                <w:b/>
                <w:color w:val="FFFFFF"/>
                <w:sz w:val="21"/>
              </w:rPr>
              <w:t>F1 macro</w:t>
            </w:r>
          </w:p>
        </w:tc>
        <w:tc>
          <w:tcPr>
            <w:tcW w:type="dxa" w:w="1624"/>
            <w:vAlign w:val="center"/>
            <w:shd w:val="clear" w:color="auto" w:fill="1F2D5C"/>
          </w:tcPr>
          <w:p>
            <w:r/>
            <w:r>
              <w:rPr>
                <w:rFonts w:ascii="Calibri" w:hAnsi="Calibri"/>
                <w:b/>
                <w:color w:val="FFFFFF"/>
                <w:sz w:val="21"/>
              </w:rPr>
              <w:t>Recall</w:t>
            </w:r>
          </w:p>
        </w:tc>
        <w:tc>
          <w:tcPr>
            <w:tcW w:type="dxa" w:w="1624"/>
            <w:vAlign w:val="center"/>
            <w:shd w:val="clear" w:color="auto" w:fill="1F2D5C"/>
          </w:tcPr>
          <w:p>
            <w:r/>
            <w:r>
              <w:rPr>
                <w:rFonts w:ascii="Calibri" w:hAnsi="Calibri"/>
                <w:b/>
                <w:color w:val="FFFFFF"/>
                <w:sz w:val="21"/>
              </w:rPr>
              <w:t>Precision</w:t>
            </w:r>
          </w:p>
        </w:tc>
      </w:tr>
      <w:tr>
        <w:tc>
          <w:tcPr>
            <w:tcW w:type="dxa" w:w="1624"/>
            <w:vAlign w:val="center"/>
          </w:tcPr>
          <w:p>
            <w:r/>
            <w:r>
              <w:rPr>
                <w:rFonts w:ascii="Calibri" w:hAnsi="Calibri"/>
                <w:color w:val="222632"/>
                <w:sz w:val="20"/>
              </w:rPr>
              <w:t>LR (baseline)</w:t>
            </w:r>
          </w:p>
        </w:tc>
        <w:tc>
          <w:tcPr>
            <w:tcW w:type="dxa" w:w="1624"/>
            <w:vAlign w:val="center"/>
          </w:tcPr>
          <w:p>
            <w:r/>
            <w:r>
              <w:rPr>
                <w:rFonts w:ascii="Calibri" w:hAnsi="Calibri"/>
                <w:color w:val="222632"/>
                <w:sz w:val="20"/>
              </w:rPr>
              <w:t>0.835</w:t>
            </w:r>
          </w:p>
        </w:tc>
        <w:tc>
          <w:tcPr>
            <w:tcW w:type="dxa" w:w="1624"/>
            <w:vAlign w:val="center"/>
          </w:tcPr>
          <w:p>
            <w:r/>
            <w:r>
              <w:rPr>
                <w:rFonts w:ascii="Calibri" w:hAnsi="Calibri"/>
                <w:color w:val="222632"/>
                <w:sz w:val="20"/>
              </w:rPr>
              <w:t>0.559</w:t>
            </w:r>
          </w:p>
        </w:tc>
        <w:tc>
          <w:tcPr>
            <w:tcW w:type="dxa" w:w="1624"/>
            <w:vAlign w:val="center"/>
          </w:tcPr>
          <w:p>
            <w:r/>
            <w:r>
              <w:rPr>
                <w:rFonts w:ascii="Calibri" w:hAnsi="Calibri"/>
                <w:color w:val="222632"/>
                <w:sz w:val="20"/>
              </w:rPr>
              <w:t>0.711</w:t>
            </w:r>
          </w:p>
        </w:tc>
        <w:tc>
          <w:tcPr>
            <w:tcW w:type="dxa" w:w="1624"/>
            <w:vAlign w:val="center"/>
          </w:tcPr>
          <w:p>
            <w:r/>
            <w:r>
              <w:rPr>
                <w:rFonts w:ascii="Calibri" w:hAnsi="Calibri"/>
                <w:color w:val="222632"/>
                <w:sz w:val="20"/>
              </w:rPr>
              <w:t>0.697</w:t>
            </w:r>
          </w:p>
        </w:tc>
        <w:tc>
          <w:tcPr>
            <w:tcW w:type="dxa" w:w="1624"/>
            <w:vAlign w:val="center"/>
          </w:tcPr>
          <w:p>
            <w:r/>
            <w:r>
              <w:rPr>
                <w:rFonts w:ascii="Calibri" w:hAnsi="Calibri"/>
                <w:color w:val="222632"/>
                <w:sz w:val="20"/>
              </w:rPr>
              <w:t>0.467</w:t>
            </w:r>
          </w:p>
        </w:tc>
      </w:tr>
      <w:tr>
        <w:tc>
          <w:tcPr>
            <w:tcW w:type="dxa" w:w="1624"/>
            <w:vAlign w:val="center"/>
          </w:tcPr>
          <w:p>
            <w:r/>
            <w:r>
              <w:rPr>
                <w:rFonts w:ascii="Calibri" w:hAnsi="Calibri"/>
                <w:b/>
                <w:color w:val="222632"/>
                <w:sz w:val="20"/>
              </w:rPr>
              <w:t>RF (tuned)</w:t>
            </w:r>
          </w:p>
        </w:tc>
        <w:tc>
          <w:tcPr>
            <w:tcW w:type="dxa" w:w="1624"/>
            <w:vAlign w:val="center"/>
          </w:tcPr>
          <w:p>
            <w:r/>
            <w:r>
              <w:rPr>
                <w:rFonts w:ascii="Calibri" w:hAnsi="Calibri"/>
                <w:b/>
                <w:color w:val="222632"/>
                <w:sz w:val="20"/>
              </w:rPr>
              <w:t>0.848</w:t>
            </w:r>
          </w:p>
        </w:tc>
        <w:tc>
          <w:tcPr>
            <w:tcW w:type="dxa" w:w="1624"/>
            <w:vAlign w:val="center"/>
          </w:tcPr>
          <w:p>
            <w:r/>
            <w:r>
              <w:rPr>
                <w:rFonts w:ascii="Calibri" w:hAnsi="Calibri"/>
                <w:color w:val="222632"/>
                <w:sz w:val="20"/>
              </w:rPr>
              <w:t>0.582</w:t>
            </w:r>
          </w:p>
        </w:tc>
        <w:tc>
          <w:tcPr>
            <w:tcW w:type="dxa" w:w="1624"/>
            <w:vAlign w:val="center"/>
          </w:tcPr>
          <w:p>
            <w:r/>
            <w:r>
              <w:rPr>
                <w:rFonts w:ascii="Calibri" w:hAnsi="Calibri"/>
                <w:color w:val="222632"/>
                <w:sz w:val="20"/>
              </w:rPr>
              <w:t>0.727</w:t>
            </w:r>
          </w:p>
        </w:tc>
        <w:tc>
          <w:tcPr>
            <w:tcW w:type="dxa" w:w="1624"/>
            <w:vAlign w:val="center"/>
          </w:tcPr>
          <w:p>
            <w:r/>
            <w:r>
              <w:rPr>
                <w:rFonts w:ascii="Calibri" w:hAnsi="Calibri"/>
                <w:color w:val="222632"/>
                <w:sz w:val="20"/>
              </w:rPr>
              <w:t>0.714</w:t>
            </w:r>
          </w:p>
        </w:tc>
        <w:tc>
          <w:tcPr>
            <w:tcW w:type="dxa" w:w="1624"/>
            <w:vAlign w:val="center"/>
          </w:tcPr>
          <w:p>
            <w:r/>
            <w:r>
              <w:rPr>
                <w:rFonts w:ascii="Calibri" w:hAnsi="Calibri"/>
                <w:color w:val="222632"/>
                <w:sz w:val="20"/>
              </w:rPr>
              <w:t>0.491</w:t>
            </w:r>
          </w:p>
        </w:tc>
      </w:tr>
      <w:tr>
        <w:tc>
          <w:tcPr>
            <w:tcW w:type="dxa" w:w="1624"/>
            <w:vAlign w:val="center"/>
          </w:tcPr>
          <w:p>
            <w:r/>
            <w:r>
              <w:rPr>
                <w:rFonts w:ascii="Calibri" w:hAnsi="Calibri"/>
                <w:color w:val="222632"/>
                <w:sz w:val="20"/>
              </w:rPr>
              <w:t>XGBoost (tuned)</w:t>
            </w:r>
          </w:p>
        </w:tc>
        <w:tc>
          <w:tcPr>
            <w:tcW w:type="dxa" w:w="1624"/>
            <w:vAlign w:val="center"/>
          </w:tcPr>
          <w:p>
            <w:r/>
            <w:r>
              <w:rPr>
                <w:rFonts w:ascii="Calibri" w:hAnsi="Calibri"/>
                <w:color w:val="222632"/>
                <w:sz w:val="20"/>
              </w:rPr>
              <w:t>0.844</w:t>
            </w:r>
          </w:p>
        </w:tc>
        <w:tc>
          <w:tcPr>
            <w:tcW w:type="dxa" w:w="1624"/>
            <w:vAlign w:val="center"/>
          </w:tcPr>
          <w:p>
            <w:r/>
            <w:r>
              <w:rPr>
                <w:rFonts w:ascii="Calibri" w:hAnsi="Calibri"/>
                <w:b/>
                <w:color w:val="222632"/>
                <w:sz w:val="20"/>
              </w:rPr>
              <w:t>0.585</w:t>
            </w:r>
          </w:p>
        </w:tc>
        <w:tc>
          <w:tcPr>
            <w:tcW w:type="dxa" w:w="1624"/>
            <w:vAlign w:val="center"/>
          </w:tcPr>
          <w:p>
            <w:r/>
            <w:r>
              <w:rPr>
                <w:rFonts w:ascii="Calibri" w:hAnsi="Calibri"/>
                <w:b/>
                <w:color w:val="222632"/>
                <w:sz w:val="20"/>
              </w:rPr>
              <w:t>0.734</w:t>
            </w:r>
          </w:p>
        </w:tc>
        <w:tc>
          <w:tcPr>
            <w:tcW w:type="dxa" w:w="1624"/>
            <w:vAlign w:val="center"/>
          </w:tcPr>
          <w:p>
            <w:r/>
            <w:r>
              <w:rPr>
                <w:rFonts w:ascii="Calibri" w:hAnsi="Calibri"/>
                <w:color w:val="222632"/>
                <w:sz w:val="20"/>
              </w:rPr>
              <w:t>0.676</w:t>
            </w:r>
          </w:p>
        </w:tc>
        <w:tc>
          <w:tcPr>
            <w:tcW w:type="dxa" w:w="1624"/>
            <w:vAlign w:val="center"/>
          </w:tcPr>
          <w:p>
            <w:r/>
            <w:r>
              <w:rPr>
                <w:rFonts w:ascii="Calibri" w:hAnsi="Calibri"/>
                <w:b/>
                <w:color w:val="222632"/>
                <w:sz w:val="20"/>
              </w:rPr>
              <w:t>0.516</w:t>
            </w:r>
          </w:p>
        </w:tc>
      </w:tr>
      <w:tr>
        <w:tc>
          <w:tcPr>
            <w:tcW w:type="dxa" w:w="1624"/>
            <w:vAlign w:val="center"/>
          </w:tcPr>
          <w:p>
            <w:r/>
            <w:r>
              <w:rPr>
                <w:rFonts w:ascii="Calibri" w:hAnsi="Calibri"/>
                <w:color w:val="222632"/>
                <w:sz w:val="20"/>
              </w:rPr>
              <w:t>LightGBM (tuned)</w:t>
            </w:r>
          </w:p>
        </w:tc>
        <w:tc>
          <w:tcPr>
            <w:tcW w:type="dxa" w:w="1624"/>
            <w:vAlign w:val="center"/>
          </w:tcPr>
          <w:p>
            <w:r/>
            <w:r>
              <w:rPr>
                <w:rFonts w:ascii="Calibri" w:hAnsi="Calibri"/>
                <w:color w:val="222632"/>
                <w:sz w:val="20"/>
              </w:rPr>
              <w:t>0.843</w:t>
            </w:r>
          </w:p>
        </w:tc>
        <w:tc>
          <w:tcPr>
            <w:tcW w:type="dxa" w:w="1624"/>
            <w:vAlign w:val="center"/>
          </w:tcPr>
          <w:p>
            <w:r/>
            <w:r>
              <w:rPr>
                <w:rFonts w:ascii="Calibri" w:hAnsi="Calibri"/>
                <w:color w:val="222632"/>
                <w:sz w:val="20"/>
              </w:rPr>
              <w:t>0.577</w:t>
            </w:r>
          </w:p>
        </w:tc>
        <w:tc>
          <w:tcPr>
            <w:tcW w:type="dxa" w:w="1624"/>
            <w:vAlign w:val="center"/>
          </w:tcPr>
          <w:p>
            <w:r/>
            <w:r>
              <w:rPr>
                <w:rFonts w:ascii="Calibri" w:hAnsi="Calibri"/>
                <w:color w:val="222632"/>
                <w:sz w:val="20"/>
              </w:rPr>
              <w:t>0.718</w:t>
            </w:r>
          </w:p>
        </w:tc>
        <w:tc>
          <w:tcPr>
            <w:tcW w:type="dxa" w:w="1624"/>
            <w:vAlign w:val="center"/>
          </w:tcPr>
          <w:p>
            <w:r/>
            <w:r>
              <w:rPr>
                <w:rFonts w:ascii="Calibri" w:hAnsi="Calibri"/>
                <w:b/>
                <w:color w:val="222632"/>
                <w:sz w:val="20"/>
              </w:rPr>
              <w:t>0.758</w:t>
            </w:r>
          </w:p>
        </w:tc>
        <w:tc>
          <w:tcPr>
            <w:tcW w:type="dxa" w:w="1624"/>
            <w:vAlign w:val="center"/>
          </w:tcPr>
          <w:p>
            <w:r/>
            <w:r>
              <w:rPr>
                <w:rFonts w:ascii="Calibri" w:hAnsi="Calibri"/>
                <w:color w:val="222632"/>
                <w:sz w:val="20"/>
              </w:rPr>
              <w:t>0.466</w:t>
            </w:r>
          </w:p>
        </w:tc>
      </w:tr>
      <w:tr>
        <w:tc>
          <w:tcPr>
            <w:tcW w:type="dxa" w:w="1624"/>
            <w:vAlign w:val="center"/>
          </w:tcPr>
          <w:p>
            <w:r/>
            <w:r>
              <w:rPr>
                <w:rFonts w:ascii="Calibri" w:hAnsi="Calibri"/>
                <w:color w:val="222632"/>
                <w:sz w:val="20"/>
              </w:rPr>
              <w:t>Soft-vote (RF+XGB+LGBM)</w:t>
            </w:r>
          </w:p>
        </w:tc>
        <w:tc>
          <w:tcPr>
            <w:tcW w:type="dxa" w:w="1624"/>
            <w:vAlign w:val="center"/>
          </w:tcPr>
          <w:p>
            <w:r/>
            <w:r>
              <w:rPr>
                <w:rFonts w:ascii="Calibri" w:hAnsi="Calibri"/>
                <w:color w:val="222632"/>
                <w:sz w:val="20"/>
              </w:rPr>
              <w:t>0.847</w:t>
            </w:r>
          </w:p>
        </w:tc>
        <w:tc>
          <w:tcPr>
            <w:tcW w:type="dxa" w:w="1624"/>
            <w:vAlign w:val="center"/>
          </w:tcPr>
          <w:p>
            <w:r/>
            <w:r>
              <w:rPr>
                <w:rFonts w:ascii="Calibri" w:hAnsi="Calibri"/>
                <w:color w:val="222632"/>
                <w:sz w:val="20"/>
              </w:rPr>
              <w:t>0.582</w:t>
            </w:r>
          </w:p>
        </w:tc>
        <w:tc>
          <w:tcPr>
            <w:tcW w:type="dxa" w:w="1624"/>
            <w:vAlign w:val="center"/>
          </w:tcPr>
          <w:p>
            <w:r/>
            <w:r>
              <w:rPr>
                <w:rFonts w:ascii="Calibri" w:hAnsi="Calibri"/>
                <w:color w:val="222632"/>
                <w:sz w:val="20"/>
              </w:rPr>
              <w:t>0.728</w:t>
            </w:r>
          </w:p>
        </w:tc>
        <w:tc>
          <w:tcPr>
            <w:tcW w:type="dxa" w:w="1624"/>
            <w:vAlign w:val="center"/>
          </w:tcPr>
          <w:p>
            <w:r/>
            <w:r>
              <w:rPr>
                <w:rFonts w:ascii="Calibri" w:hAnsi="Calibri"/>
                <w:color w:val="222632"/>
                <w:sz w:val="20"/>
              </w:rPr>
              <w:t>0.709</w:t>
            </w:r>
          </w:p>
        </w:tc>
        <w:tc>
          <w:tcPr>
            <w:tcW w:type="dxa" w:w="1624"/>
            <w:vAlign w:val="center"/>
          </w:tcPr>
          <w:p>
            <w:r/>
            <w:r>
              <w:rPr>
                <w:rFonts w:ascii="Calibri" w:hAnsi="Calibri"/>
                <w:color w:val="222632"/>
                <w:sz w:val="20"/>
              </w:rPr>
              <w:t>0.494</w:t>
            </w:r>
          </w:p>
        </w:tc>
      </w:tr>
      <w:tr>
        <w:tc>
          <w:tcPr>
            <w:tcW w:type="dxa" w:w="1624"/>
            <w:vAlign w:val="center"/>
          </w:tcPr>
          <w:p>
            <w:r/>
            <w:r>
              <w:rPr>
                <w:rFonts w:ascii="Calibri" w:hAnsi="Calibri"/>
                <w:color w:val="222632"/>
                <w:sz w:val="20"/>
              </w:rPr>
              <w:t>Stacking (RF+LGBM, LR meta)</w:t>
            </w:r>
          </w:p>
        </w:tc>
        <w:tc>
          <w:tcPr>
            <w:tcW w:type="dxa" w:w="1624"/>
            <w:vAlign w:val="center"/>
          </w:tcPr>
          <w:p>
            <w:r/>
            <w:r>
              <w:rPr>
                <w:rFonts w:ascii="Calibri" w:hAnsi="Calibri"/>
                <w:color w:val="222632"/>
                <w:sz w:val="20"/>
              </w:rPr>
              <w:t>0.841</w:t>
            </w:r>
          </w:p>
        </w:tc>
        <w:tc>
          <w:tcPr>
            <w:tcW w:type="dxa" w:w="1624"/>
            <w:vAlign w:val="center"/>
          </w:tcPr>
          <w:p>
            <w:r/>
            <w:r>
              <w:rPr>
                <w:rFonts w:ascii="Calibri" w:hAnsi="Calibri"/>
                <w:color w:val="222632"/>
                <w:sz w:val="20"/>
              </w:rPr>
              <w:t>0.563</w:t>
            </w:r>
          </w:p>
        </w:tc>
        <w:tc>
          <w:tcPr>
            <w:tcW w:type="dxa" w:w="1624"/>
            <w:vAlign w:val="center"/>
          </w:tcPr>
          <w:p>
            <w:r/>
            <w:r>
              <w:rPr>
                <w:rFonts w:ascii="Calibri" w:hAnsi="Calibri"/>
                <w:color w:val="222632"/>
                <w:sz w:val="20"/>
              </w:rPr>
              <w:t>0.718</w:t>
            </w:r>
          </w:p>
        </w:tc>
        <w:tc>
          <w:tcPr>
            <w:tcW w:type="dxa" w:w="1624"/>
            <w:vAlign w:val="center"/>
          </w:tcPr>
          <w:p>
            <w:r/>
            <w:r>
              <w:rPr>
                <w:rFonts w:ascii="Calibri" w:hAnsi="Calibri"/>
                <w:b/>
                <w:color w:val="222632"/>
                <w:sz w:val="20"/>
              </w:rPr>
              <w:t>0.773</w:t>
            </w:r>
          </w:p>
        </w:tc>
        <w:tc>
          <w:tcPr>
            <w:tcW w:type="dxa" w:w="1624"/>
            <w:vAlign w:val="center"/>
          </w:tcPr>
          <w:p>
            <w:r/>
            <w:r>
              <w:rPr>
                <w:rFonts w:ascii="Calibri" w:hAnsi="Calibri"/>
                <w:color w:val="222632"/>
                <w:sz w:val="20"/>
              </w:rPr>
              <w:t>0.434</w:t>
            </w:r>
          </w:p>
        </w:tc>
      </w:tr>
    </w:tbl>
    <w:p>
      <w:pPr>
        <w:spacing w:after="120" w:line="300" w:lineRule="auto"/>
      </w:pPr>
      <w:r>
        <w:rPr>
          <w:rFonts w:ascii="Calibri" w:hAnsi="Calibri"/>
          <w:b/>
          <w:color w:val="222632"/>
          <w:sz w:val="22"/>
        </w:rPr>
        <w:t>RF tuned</w:t>
      </w:r>
      <w:r>
        <w:rPr>
          <w:rFonts w:ascii="Calibri" w:hAnsi="Calibri"/>
          <w:color w:val="222632"/>
          <w:sz w:val="22"/>
        </w:rPr>
        <w:t xml:space="preserve"> achieves the highest AUC. </w:t>
      </w:r>
      <w:r>
        <w:rPr>
          <w:rFonts w:ascii="Calibri" w:hAnsi="Calibri"/>
          <w:b/>
          <w:color w:val="222632"/>
          <w:sz w:val="22"/>
        </w:rPr>
        <w:t>LightGBM</w:t>
      </w:r>
      <w:r>
        <w:rPr>
          <w:rFonts w:ascii="Calibri" w:hAnsi="Calibri"/>
          <w:color w:val="222632"/>
          <w:sz w:val="22"/>
        </w:rPr>
        <w:t xml:space="preserve"> achieves the best recall among individual models (0.758) — preferred for screening applications where missing a depressed individual is the primary concern. </w:t>
      </w:r>
      <w:r>
        <w:rPr>
          <w:rFonts w:ascii="Calibri" w:hAnsi="Calibri"/>
          <w:b/>
          <w:color w:val="222632"/>
          <w:sz w:val="22"/>
        </w:rPr>
        <w:t>XGBoost</w:t>
      </w:r>
      <w:r>
        <w:rPr>
          <w:rFonts w:ascii="Calibri" w:hAnsi="Calibri"/>
          <w:color w:val="222632"/>
          <w:sz w:val="22"/>
        </w:rPr>
        <w:t xml:space="preserve"> achieves the best precision (0.516) and F1 binary (0.585) at default threshold.</w:t>
      </w:r>
    </w:p>
    <w:p>
      <w:pPr>
        <w:spacing w:after="120" w:line="300" w:lineRule="auto"/>
      </w:pPr>
      <w:r>
        <w:rPr>
          <w:rFonts w:ascii="Calibri" w:hAnsi="Calibri"/>
          <w:color w:val="222632"/>
          <w:sz w:val="22"/>
        </w:rPr>
        <w:t xml:space="preserve">The </w:t>
      </w:r>
      <w:r>
        <w:rPr>
          <w:rFonts w:ascii="Calibri" w:hAnsi="Calibri"/>
          <w:b/>
          <w:color w:val="222632"/>
          <w:sz w:val="22"/>
        </w:rPr>
        <w:t>soft-vote ensemble</w:t>
      </w:r>
      <w:r>
        <w:rPr>
          <w:rFonts w:ascii="Calibri" w:hAnsi="Calibri"/>
          <w:color w:val="222632"/>
          <w:sz w:val="22"/>
        </w:rPr>
        <w:t xml:space="preserve"> does not outperform the best individual model (AUC 0.847 vs 0.848), reflecting the high correlation between three tree models trained on the same data. Averaging correlated predictions regresses toward the mean rather than cancelling independent errors.</w:t>
      </w:r>
    </w:p>
    <w:p>
      <w:pPr>
        <w:spacing w:after="120" w:line="300" w:lineRule="auto"/>
      </w:pPr>
      <w:r>
        <w:rPr>
          <w:rFonts w:ascii="Calibri" w:hAnsi="Calibri"/>
          <w:color w:val="222632"/>
          <w:sz w:val="22"/>
        </w:rPr>
        <w:t xml:space="preserve">The </w:t>
      </w:r>
      <w:r>
        <w:rPr>
          <w:rFonts w:ascii="Calibri" w:hAnsi="Calibri"/>
          <w:b/>
          <w:color w:val="222632"/>
          <w:sz w:val="22"/>
        </w:rPr>
        <w:t>stacking ensemble</w:t>
      </w:r>
      <w:r>
        <w:rPr>
          <w:rFonts w:ascii="Calibri" w:hAnsi="Calibri"/>
          <w:color w:val="222632"/>
          <w:sz w:val="22"/>
        </w:rPr>
        <w:t xml:space="preserve"> achieves AUC 0.841 but recall 0.773, the highest of any model configuration tested. The LR meta-learner learned to weight LightGBM (highest-recall base model) more heavily, shifting the ensemble toward maximum sensitivity. </w:t>
      </w:r>
      <w:r>
        <w:rPr>
          <w:rFonts w:ascii="Calibri" w:hAnsi="Calibri"/>
          <w:b/>
          <w:color w:val="222632"/>
          <w:sz w:val="22"/>
        </w:rPr>
        <w:t>For clinical screening applications where missing a depressed individual is the primary concern, the stacking ensemble is the deployment recommendation.</w:t>
      </w:r>
    </w:p>
    <w:p>
      <w:pPr>
        <w:spacing w:after="120" w:line="300" w:lineRule="auto"/>
      </w:pPr>
      <w:r>
        <w:rPr>
          <w:rFonts w:ascii="Calibri" w:hAnsi="Calibri"/>
          <w:color w:val="222632"/>
          <w:sz w:val="22"/>
        </w:rPr>
        <w:t xml:space="preserve">LR at AUC 0.835 is only 0.013 below the best RF. </w:t>
      </w:r>
      <w:r>
        <w:rPr>
          <w:rFonts w:ascii="Calibri" w:hAnsi="Calibri"/>
          <w:b/>
          <w:color w:val="222632"/>
          <w:sz w:val="22"/>
        </w:rPr>
        <w:t>For clinical deployment requiring coefficient-level explainability, LR is a defensible choice.</w:t>
      </w:r>
    </w:p>
    <w:p>
      <w:pPr>
        <w:keepNext/>
        <w:spacing w:before="240" w:after="120"/>
      </w:pPr>
      <w:r>
        <w:rPr>
          <w:rFonts w:ascii="Calibri" w:hAnsi="Calibri"/>
          <w:b/>
          <w:color w:val="186F82"/>
          <w:sz w:val="26"/>
        </w:rPr>
        <w:t>6.4 Threshold optimisation</w:t>
      </w:r>
    </w:p>
    <w:p>
      <w:pPr>
        <w:spacing w:after="120" w:line="300" w:lineRule="auto"/>
      </w:pPr>
      <w:r>
        <w:rPr>
          <w:rFonts w:ascii="Calibri" w:hAnsi="Calibri"/>
          <w:b/>
          <w:color w:val="222632"/>
          <w:sz w:val="22"/>
        </w:rPr>
        <w:t>Table 7. Threshold optimisation results, W6+W7 arm.</w:t>
      </w:r>
    </w:p>
    <w:tbl>
      <w:tblPr>
        <w:tblStyle w:val="LightGrid-Accent1"/>
        <w:tblW w:type="auto" w:w="0"/>
        <w:jc w:val="left"/>
        <w:tblLayout w:type="autofit"/>
        <w:tblLook w:firstColumn="1" w:firstRow="1" w:lastColumn="0" w:lastRow="0" w:noHBand="0" w:noVBand="1" w:val="04A0"/>
      </w:tblPr>
      <w:tblGrid>
        <w:gridCol w:w="1624"/>
        <w:gridCol w:w="1624"/>
        <w:gridCol w:w="1624"/>
        <w:gridCol w:w="1624"/>
        <w:gridCol w:w="1624"/>
        <w:gridCol w:w="1624"/>
      </w:tblGrid>
      <w:tr>
        <w:tc>
          <w:tcPr>
            <w:tcW w:type="dxa" w:w="1624"/>
            <w:vAlign w:val="center"/>
            <w:shd w:val="clear" w:color="auto" w:fill="1F2D5C"/>
          </w:tcPr>
          <w:p>
            <w:r/>
            <w:r>
              <w:rPr>
                <w:rFonts w:ascii="Calibri" w:hAnsi="Calibri"/>
                <w:b/>
                <w:color w:val="FFFFFF"/>
                <w:sz w:val="21"/>
              </w:rPr>
              <w:t>Model</w:t>
            </w:r>
          </w:p>
        </w:tc>
        <w:tc>
          <w:tcPr>
            <w:tcW w:type="dxa" w:w="1624"/>
            <w:vAlign w:val="center"/>
            <w:shd w:val="clear" w:color="auto" w:fill="1F2D5C"/>
          </w:tcPr>
          <w:p>
            <w:r/>
            <w:r>
              <w:rPr>
                <w:rFonts w:ascii="Calibri" w:hAnsi="Calibri"/>
                <w:b/>
                <w:color w:val="FFFFFF"/>
                <w:sz w:val="21"/>
              </w:rPr>
              <w:t>F1 @ t=0.50</w:t>
            </w:r>
          </w:p>
        </w:tc>
        <w:tc>
          <w:tcPr>
            <w:tcW w:type="dxa" w:w="1624"/>
            <w:vAlign w:val="center"/>
            <w:shd w:val="clear" w:color="auto" w:fill="1F2D5C"/>
          </w:tcPr>
          <w:p>
            <w:r/>
            <w:r>
              <w:rPr>
                <w:rFonts w:ascii="Calibri" w:hAnsi="Calibri"/>
                <w:b/>
                <w:color w:val="FFFFFF"/>
                <w:sz w:val="21"/>
              </w:rPr>
              <w:t>Optimal t</w:t>
            </w:r>
          </w:p>
        </w:tc>
        <w:tc>
          <w:tcPr>
            <w:tcW w:type="dxa" w:w="1624"/>
            <w:vAlign w:val="center"/>
            <w:shd w:val="clear" w:color="auto" w:fill="1F2D5C"/>
          </w:tcPr>
          <w:p>
            <w:r/>
            <w:r>
              <w:rPr>
                <w:rFonts w:ascii="Calibri" w:hAnsi="Calibri"/>
                <w:b/>
                <w:color w:val="FFFFFF"/>
                <w:sz w:val="21"/>
              </w:rPr>
              <w:t>F1 @ optimal t</w:t>
            </w:r>
          </w:p>
        </w:tc>
        <w:tc>
          <w:tcPr>
            <w:tcW w:type="dxa" w:w="1624"/>
            <w:vAlign w:val="center"/>
            <w:shd w:val="clear" w:color="auto" w:fill="1F2D5C"/>
          </w:tcPr>
          <w:p>
            <w:r/>
            <w:r>
              <w:rPr>
                <w:rFonts w:ascii="Calibri" w:hAnsi="Calibri"/>
                <w:b/>
                <w:color w:val="FFFFFF"/>
                <w:sz w:val="21"/>
              </w:rPr>
              <w:t>Recall @ opt</w:t>
            </w:r>
          </w:p>
        </w:tc>
        <w:tc>
          <w:tcPr>
            <w:tcW w:type="dxa" w:w="1624"/>
            <w:vAlign w:val="center"/>
            <w:shd w:val="clear" w:color="auto" w:fill="1F2D5C"/>
          </w:tcPr>
          <w:p>
            <w:r/>
            <w:r>
              <w:rPr>
                <w:rFonts w:ascii="Calibri" w:hAnsi="Calibri"/>
                <w:b/>
                <w:color w:val="FFFFFF"/>
                <w:sz w:val="21"/>
              </w:rPr>
              <w:t>Precision @ opt</w:t>
            </w:r>
          </w:p>
        </w:tc>
      </w:tr>
      <w:tr>
        <w:tc>
          <w:tcPr>
            <w:tcW w:type="dxa" w:w="1624"/>
            <w:vAlign w:val="center"/>
          </w:tcPr>
          <w:p>
            <w:r/>
            <w:r>
              <w:rPr>
                <w:rFonts w:ascii="Calibri" w:hAnsi="Calibri"/>
                <w:color w:val="222632"/>
                <w:sz w:val="20"/>
              </w:rPr>
              <w:t>RF (tuned)</w:t>
            </w:r>
          </w:p>
        </w:tc>
        <w:tc>
          <w:tcPr>
            <w:tcW w:type="dxa" w:w="1624"/>
            <w:vAlign w:val="center"/>
          </w:tcPr>
          <w:p>
            <w:r/>
            <w:r>
              <w:rPr>
                <w:rFonts w:ascii="Calibri" w:hAnsi="Calibri"/>
                <w:color w:val="222632"/>
                <w:sz w:val="20"/>
              </w:rPr>
              <w:t>0.582</w:t>
            </w:r>
          </w:p>
        </w:tc>
        <w:tc>
          <w:tcPr>
            <w:tcW w:type="dxa" w:w="1624"/>
            <w:vAlign w:val="center"/>
          </w:tcPr>
          <w:p>
            <w:r/>
            <w:r>
              <w:rPr>
                <w:rFonts w:ascii="Calibri" w:hAnsi="Calibri"/>
                <w:color w:val="222632"/>
                <w:sz w:val="20"/>
              </w:rPr>
              <w:t>0.58</w:t>
            </w:r>
          </w:p>
        </w:tc>
        <w:tc>
          <w:tcPr>
            <w:tcW w:type="dxa" w:w="1624"/>
            <w:vAlign w:val="center"/>
          </w:tcPr>
          <w:p>
            <w:r/>
            <w:r>
              <w:rPr>
                <w:rFonts w:ascii="Calibri" w:hAnsi="Calibri"/>
                <w:color w:val="222632"/>
                <w:sz w:val="20"/>
              </w:rPr>
              <w:t>0.606</w:t>
            </w:r>
          </w:p>
        </w:tc>
        <w:tc>
          <w:tcPr>
            <w:tcW w:type="dxa" w:w="1624"/>
            <w:vAlign w:val="center"/>
          </w:tcPr>
          <w:p>
            <w:r/>
            <w:r>
              <w:rPr>
                <w:rFonts w:ascii="Calibri" w:hAnsi="Calibri"/>
                <w:color w:val="222632"/>
                <w:sz w:val="20"/>
              </w:rPr>
              <w:t>0.627</w:t>
            </w:r>
          </w:p>
        </w:tc>
        <w:tc>
          <w:tcPr>
            <w:tcW w:type="dxa" w:w="1624"/>
            <w:vAlign w:val="center"/>
          </w:tcPr>
          <w:p>
            <w:r/>
            <w:r>
              <w:rPr>
                <w:rFonts w:ascii="Calibri" w:hAnsi="Calibri"/>
                <w:color w:val="222632"/>
                <w:sz w:val="20"/>
              </w:rPr>
              <w:t>0.586</w:t>
            </w:r>
          </w:p>
        </w:tc>
      </w:tr>
      <w:tr>
        <w:tc>
          <w:tcPr>
            <w:tcW w:type="dxa" w:w="1624"/>
            <w:vAlign w:val="center"/>
          </w:tcPr>
          <w:p>
            <w:r/>
            <w:r>
              <w:rPr>
                <w:rFonts w:ascii="Calibri" w:hAnsi="Calibri"/>
                <w:color w:val="222632"/>
                <w:sz w:val="20"/>
              </w:rPr>
              <w:t>XGBoost (tuned)</w:t>
            </w:r>
          </w:p>
        </w:tc>
        <w:tc>
          <w:tcPr>
            <w:tcW w:type="dxa" w:w="1624"/>
            <w:vAlign w:val="center"/>
          </w:tcPr>
          <w:p>
            <w:r/>
            <w:r>
              <w:rPr>
                <w:rFonts w:ascii="Calibri" w:hAnsi="Calibri"/>
                <w:color w:val="222632"/>
                <w:sz w:val="20"/>
              </w:rPr>
              <w:t>0.585</w:t>
            </w:r>
          </w:p>
        </w:tc>
        <w:tc>
          <w:tcPr>
            <w:tcW w:type="dxa" w:w="1624"/>
            <w:vAlign w:val="center"/>
          </w:tcPr>
          <w:p>
            <w:r/>
            <w:r>
              <w:rPr>
                <w:rFonts w:ascii="Calibri" w:hAnsi="Calibri"/>
                <w:color w:val="222632"/>
                <w:sz w:val="20"/>
              </w:rPr>
              <w:t>0.55</w:t>
            </w:r>
          </w:p>
        </w:tc>
        <w:tc>
          <w:tcPr>
            <w:tcW w:type="dxa" w:w="1624"/>
            <w:vAlign w:val="center"/>
          </w:tcPr>
          <w:p>
            <w:r/>
            <w:r>
              <w:rPr>
                <w:rFonts w:ascii="Calibri" w:hAnsi="Calibri"/>
                <w:color w:val="222632"/>
                <w:sz w:val="20"/>
              </w:rPr>
              <w:t>0.593</w:t>
            </w:r>
          </w:p>
        </w:tc>
        <w:tc>
          <w:tcPr>
            <w:tcW w:type="dxa" w:w="1624"/>
            <w:vAlign w:val="center"/>
          </w:tcPr>
          <w:p>
            <w:r/>
            <w:r>
              <w:rPr>
                <w:rFonts w:ascii="Calibri" w:hAnsi="Calibri"/>
                <w:color w:val="222632"/>
                <w:sz w:val="20"/>
              </w:rPr>
              <w:t>0.643</w:t>
            </w:r>
          </w:p>
        </w:tc>
        <w:tc>
          <w:tcPr>
            <w:tcW w:type="dxa" w:w="1624"/>
            <w:vAlign w:val="center"/>
          </w:tcPr>
          <w:p>
            <w:r/>
            <w:r>
              <w:rPr>
                <w:rFonts w:ascii="Calibri" w:hAnsi="Calibri"/>
                <w:color w:val="222632"/>
                <w:sz w:val="20"/>
              </w:rPr>
              <w:t>0.549</w:t>
            </w:r>
          </w:p>
        </w:tc>
      </w:tr>
      <w:tr>
        <w:tc>
          <w:tcPr>
            <w:tcW w:type="dxa" w:w="1624"/>
            <w:vAlign w:val="center"/>
          </w:tcPr>
          <w:p>
            <w:r/>
            <w:r>
              <w:rPr>
                <w:rFonts w:ascii="Calibri" w:hAnsi="Calibri"/>
                <w:color w:val="222632"/>
                <w:sz w:val="20"/>
              </w:rPr>
              <w:t>LightGBM (tuned)</w:t>
            </w:r>
          </w:p>
        </w:tc>
        <w:tc>
          <w:tcPr>
            <w:tcW w:type="dxa" w:w="1624"/>
            <w:vAlign w:val="center"/>
          </w:tcPr>
          <w:p>
            <w:r/>
            <w:r>
              <w:rPr>
                <w:rFonts w:ascii="Calibri" w:hAnsi="Calibri"/>
                <w:color w:val="222632"/>
                <w:sz w:val="20"/>
              </w:rPr>
              <w:t>0.577</w:t>
            </w:r>
          </w:p>
        </w:tc>
        <w:tc>
          <w:tcPr>
            <w:tcW w:type="dxa" w:w="1624"/>
            <w:vAlign w:val="center"/>
          </w:tcPr>
          <w:p>
            <w:r/>
            <w:r>
              <w:rPr>
                <w:rFonts w:ascii="Calibri" w:hAnsi="Calibri"/>
                <w:color w:val="222632"/>
                <w:sz w:val="20"/>
              </w:rPr>
              <w:t>0.58</w:t>
            </w:r>
          </w:p>
        </w:tc>
        <w:tc>
          <w:tcPr>
            <w:tcW w:type="dxa" w:w="1624"/>
            <w:vAlign w:val="center"/>
          </w:tcPr>
          <w:p>
            <w:r/>
            <w:r>
              <w:rPr>
                <w:rFonts w:ascii="Calibri" w:hAnsi="Calibri"/>
                <w:color w:val="222632"/>
                <w:sz w:val="20"/>
              </w:rPr>
              <w:t>0.592</w:t>
            </w:r>
          </w:p>
        </w:tc>
        <w:tc>
          <w:tcPr>
            <w:tcW w:type="dxa" w:w="1624"/>
            <w:vAlign w:val="center"/>
          </w:tcPr>
          <w:p>
            <w:r/>
            <w:r>
              <w:rPr>
                <w:rFonts w:ascii="Calibri" w:hAnsi="Calibri"/>
                <w:color w:val="222632"/>
                <w:sz w:val="20"/>
              </w:rPr>
              <w:t>0.624</w:t>
            </w:r>
          </w:p>
        </w:tc>
        <w:tc>
          <w:tcPr>
            <w:tcW w:type="dxa" w:w="1624"/>
            <w:vAlign w:val="center"/>
          </w:tcPr>
          <w:p>
            <w:r/>
            <w:r>
              <w:rPr>
                <w:rFonts w:ascii="Calibri" w:hAnsi="Calibri"/>
                <w:color w:val="222632"/>
                <w:sz w:val="20"/>
              </w:rPr>
              <w:t>0.563</w:t>
            </w:r>
          </w:p>
        </w:tc>
      </w:tr>
      <w:tr>
        <w:tc>
          <w:tcPr>
            <w:tcW w:type="dxa" w:w="1624"/>
            <w:vAlign w:val="center"/>
          </w:tcPr>
          <w:p>
            <w:r/>
            <w:r>
              <w:rPr>
                <w:rFonts w:ascii="Calibri" w:hAnsi="Calibri"/>
                <w:color w:val="222632"/>
                <w:sz w:val="20"/>
              </w:rPr>
              <w:t>LR (baseline)</w:t>
            </w:r>
          </w:p>
        </w:tc>
        <w:tc>
          <w:tcPr>
            <w:tcW w:type="dxa" w:w="1624"/>
            <w:vAlign w:val="center"/>
          </w:tcPr>
          <w:p>
            <w:r/>
            <w:r>
              <w:rPr>
                <w:rFonts w:ascii="Calibri" w:hAnsi="Calibri"/>
                <w:color w:val="222632"/>
                <w:sz w:val="20"/>
              </w:rPr>
              <w:t>0.559</w:t>
            </w:r>
          </w:p>
        </w:tc>
        <w:tc>
          <w:tcPr>
            <w:tcW w:type="dxa" w:w="1624"/>
            <w:vAlign w:val="center"/>
          </w:tcPr>
          <w:p>
            <w:r/>
            <w:r>
              <w:rPr>
                <w:rFonts w:ascii="Calibri" w:hAnsi="Calibri"/>
                <w:color w:val="222632"/>
                <w:sz w:val="20"/>
              </w:rPr>
              <w:t>0.60</w:t>
            </w:r>
          </w:p>
        </w:tc>
        <w:tc>
          <w:tcPr>
            <w:tcW w:type="dxa" w:w="1624"/>
            <w:vAlign w:val="center"/>
          </w:tcPr>
          <w:p>
            <w:r/>
            <w:r>
              <w:rPr>
                <w:rFonts w:ascii="Calibri" w:hAnsi="Calibri"/>
                <w:color w:val="222632"/>
                <w:sz w:val="20"/>
              </w:rPr>
              <w:t>0.570</w:t>
            </w:r>
          </w:p>
        </w:tc>
        <w:tc>
          <w:tcPr>
            <w:tcW w:type="dxa" w:w="1624"/>
            <w:vAlign w:val="center"/>
          </w:tcPr>
          <w:p>
            <w:r/>
            <w:r>
              <w:rPr>
                <w:rFonts w:ascii="Calibri" w:hAnsi="Calibri"/>
                <w:color w:val="222632"/>
                <w:sz w:val="20"/>
              </w:rPr>
              <w:t>0.591</w:t>
            </w:r>
          </w:p>
        </w:tc>
        <w:tc>
          <w:tcPr>
            <w:tcW w:type="dxa" w:w="1624"/>
            <w:vAlign w:val="center"/>
          </w:tcPr>
          <w:p>
            <w:r/>
            <w:r>
              <w:rPr>
                <w:rFonts w:ascii="Calibri" w:hAnsi="Calibri"/>
                <w:color w:val="222632"/>
                <w:sz w:val="20"/>
              </w:rPr>
              <w:t>0.551</w:t>
            </w:r>
          </w:p>
        </w:tc>
      </w:tr>
    </w:tbl>
    <w:p>
      <w:pPr>
        <w:spacing w:after="120" w:line="300" w:lineRule="auto"/>
      </w:pPr>
      <w:r>
        <w:rPr>
          <w:rFonts w:ascii="Calibri" w:hAnsi="Calibri"/>
          <w:color w:val="222632"/>
          <w:sz w:val="22"/>
        </w:rPr>
        <w:t xml:space="preserve">The optimal F1 threshold for RF is 0.58, above the default 0.50, yielding an improvement of +0.024 F1. The threshold being above 0.50 is explained by the </w:t>
      </w:r>
      <w:r>
        <w:rPr>
          <w:rFonts w:ascii="Consolas" w:hAnsi="Consolas"/>
          <w:color w:val="1F2D5C"/>
          <w:sz w:val="20"/>
        </w:rPr>
        <w:t>class_weight='balanced'</w:t>
      </w:r>
      <w:r>
        <w:rPr>
          <w:rFonts w:ascii="Calibri" w:hAnsi="Calibri"/>
          <w:color w:val="222632"/>
          <w:sz w:val="22"/>
        </w:rPr>
        <w:t xml:space="preserve"> setting: balanced training already shifts the model toward generosity with positive predictions, elevating raw probability outputs. Raising the threshold to 0.58 filters low-confidence positive predictions and improves precision enough to lift F1. At the optimal threshold, the recall–precision tradeoff (0.627 / 0.586) is substantially more balanced than at the default.</w:t>
      </w:r>
    </w:p>
    <w:p>
      <w:pPr>
        <w:keepNext/>
        <w:spacing w:before="240" w:after="120"/>
      </w:pPr>
      <w:r>
        <w:rPr>
          <w:rFonts w:ascii="Calibri" w:hAnsi="Calibri"/>
          <w:b/>
          <w:color w:val="186F82"/>
          <w:sz w:val="26"/>
        </w:rPr>
        <w:t>6.5 Domain ablation and feature correlation (RQ3 setup)</w:t>
      </w:r>
    </w:p>
    <w:p>
      <w:pPr>
        <w:spacing w:after="120" w:line="300" w:lineRule="auto"/>
      </w:pPr>
      <w:r>
        <w:rPr>
          <w:rFonts w:ascii="Calibri" w:hAnsi="Calibri"/>
          <w:b/>
          <w:color w:val="222632"/>
          <w:sz w:val="22"/>
        </w:rPr>
        <w:t>Table 8. Leave-one-domain-out domain ablation, W6+W7 arm, RF tuned.</w:t>
      </w:r>
    </w:p>
    <w:tbl>
      <w:tblPr>
        <w:tblStyle w:val="LightGrid-Accent1"/>
        <w:tblW w:type="auto" w:w="0"/>
        <w:jc w:val="left"/>
        <w:tblLayout w:type="autofit"/>
        <w:tblLook w:firstColumn="1" w:firstRow="1" w:lastColumn="0" w:lastRow="0" w:noHBand="0" w:noVBand="1" w:val="04A0"/>
      </w:tblPr>
      <w:tblGrid>
        <w:gridCol w:w="2436"/>
        <w:gridCol w:w="2436"/>
        <w:gridCol w:w="2436"/>
        <w:gridCol w:w="2436"/>
      </w:tblGrid>
      <w:tr>
        <w:tc>
          <w:tcPr>
            <w:tcW w:type="dxa" w:w="2436"/>
            <w:vAlign w:val="center"/>
            <w:shd w:val="clear" w:color="auto" w:fill="1F2D5C"/>
          </w:tcPr>
          <w:p>
            <w:r/>
            <w:r>
              <w:rPr>
                <w:rFonts w:ascii="Calibri" w:hAnsi="Calibri"/>
                <w:b/>
                <w:color w:val="FFFFFF"/>
                <w:sz w:val="21"/>
              </w:rPr>
              <w:t>Domain removed</w:t>
            </w:r>
          </w:p>
        </w:tc>
        <w:tc>
          <w:tcPr>
            <w:tcW w:type="dxa" w:w="2436"/>
            <w:vAlign w:val="center"/>
            <w:shd w:val="clear" w:color="auto" w:fill="1F2D5C"/>
          </w:tcPr>
          <w:p>
            <w:r/>
            <w:r>
              <w:rPr>
                <w:rFonts w:ascii="Calibri" w:hAnsi="Calibri"/>
                <w:b/>
                <w:color w:val="FFFFFF"/>
                <w:sz w:val="21"/>
              </w:rPr>
              <w:t>AUC</w:t>
            </w:r>
          </w:p>
        </w:tc>
        <w:tc>
          <w:tcPr>
            <w:tcW w:type="dxa" w:w="2436"/>
            <w:vAlign w:val="center"/>
            <w:shd w:val="clear" w:color="auto" w:fill="1F2D5C"/>
          </w:tcPr>
          <w:p>
            <w:r/>
            <w:r>
              <w:rPr>
                <w:rFonts w:ascii="Calibri" w:hAnsi="Calibri"/>
                <w:b/>
                <w:color w:val="FFFFFF"/>
                <w:sz w:val="21"/>
              </w:rPr>
              <w:t>AUC drop</w:t>
            </w:r>
          </w:p>
        </w:tc>
        <w:tc>
          <w:tcPr>
            <w:tcW w:type="dxa" w:w="2436"/>
            <w:vAlign w:val="center"/>
            <w:shd w:val="clear" w:color="auto" w:fill="1F2D5C"/>
          </w:tcPr>
          <w:p>
            <w:r/>
            <w:r>
              <w:rPr>
                <w:rFonts w:ascii="Calibri" w:hAnsi="Calibri"/>
                <w:b/>
                <w:color w:val="FFFFFF"/>
                <w:sz w:val="21"/>
              </w:rPr>
              <w:t>Interpretation</w:t>
            </w:r>
          </w:p>
        </w:tc>
      </w:tr>
      <w:tr>
        <w:tc>
          <w:tcPr>
            <w:tcW w:type="dxa" w:w="2436"/>
            <w:vAlign w:val="center"/>
          </w:tcPr>
          <w:p>
            <w:r/>
            <w:r>
              <w:rPr>
                <w:rFonts w:ascii="Calibri" w:hAnsi="Calibri"/>
                <w:color w:val="222632"/>
                <w:sz w:val="20"/>
              </w:rPr>
              <w:t>None (full model)</w:t>
            </w:r>
          </w:p>
        </w:tc>
        <w:tc>
          <w:tcPr>
            <w:tcW w:type="dxa" w:w="2436"/>
            <w:vAlign w:val="center"/>
          </w:tcPr>
          <w:p>
            <w:r/>
            <w:r>
              <w:rPr>
                <w:rFonts w:ascii="Calibri" w:hAnsi="Calibri"/>
                <w:color w:val="222632"/>
                <w:sz w:val="20"/>
              </w:rPr>
              <w:t>0.848</w:t>
            </w:r>
          </w:p>
        </w:tc>
        <w:tc>
          <w:tcPr>
            <w:tcW w:type="dxa" w:w="2436"/>
            <w:vAlign w:val="center"/>
          </w:tcPr>
          <w:p>
            <w:r/>
            <w:r>
              <w:rPr>
                <w:rFonts w:ascii="Calibri" w:hAnsi="Calibri"/>
                <w:color w:val="222632"/>
                <w:sz w:val="20"/>
              </w:rPr>
              <w:t>0.000</w:t>
            </w:r>
          </w:p>
        </w:tc>
        <w:tc>
          <w:tcPr>
            <w:tcW w:type="dxa" w:w="2436"/>
            <w:vAlign w:val="center"/>
          </w:tcPr>
          <w:p>
            <w:r/>
            <w:r>
              <w:rPr>
                <w:rFonts w:ascii="Calibri" w:hAnsi="Calibri"/>
                <w:color w:val="222632"/>
                <w:sz w:val="20"/>
              </w:rPr>
              <w:t>Baseline</w:t>
            </w:r>
          </w:p>
        </w:tc>
      </w:tr>
      <w:tr>
        <w:tc>
          <w:tcPr>
            <w:tcW w:type="dxa" w:w="2436"/>
            <w:vAlign w:val="center"/>
          </w:tcPr>
          <w:p>
            <w:r/>
            <w:r>
              <w:rPr>
                <w:rFonts w:ascii="Calibri" w:hAnsi="Calibri"/>
                <w:b/>
                <w:color w:val="222632"/>
                <w:sz w:val="20"/>
              </w:rPr>
              <w:t>Prior depression</w:t>
            </w:r>
          </w:p>
        </w:tc>
        <w:tc>
          <w:tcPr>
            <w:tcW w:type="dxa" w:w="2436"/>
            <w:vAlign w:val="center"/>
          </w:tcPr>
          <w:p>
            <w:r/>
            <w:r>
              <w:rPr>
                <w:rFonts w:ascii="Calibri" w:hAnsi="Calibri"/>
                <w:b/>
                <w:color w:val="222632"/>
                <w:sz w:val="20"/>
              </w:rPr>
              <w:t>0.771</w:t>
            </w:r>
          </w:p>
        </w:tc>
        <w:tc>
          <w:tcPr>
            <w:tcW w:type="dxa" w:w="2436"/>
            <w:vAlign w:val="center"/>
          </w:tcPr>
          <w:p>
            <w:r/>
            <w:r>
              <w:rPr>
                <w:rFonts w:ascii="Calibri" w:hAnsi="Calibri"/>
                <w:b/>
                <w:color w:val="222632"/>
                <w:sz w:val="20"/>
              </w:rPr>
              <w:t>+0.077</w:t>
            </w:r>
          </w:p>
        </w:tc>
        <w:tc>
          <w:tcPr>
            <w:tcW w:type="dxa" w:w="2436"/>
            <w:vAlign w:val="center"/>
          </w:tcPr>
          <w:p>
            <w:r/>
            <w:r>
              <w:rPr>
                <w:rFonts w:ascii="Calibri" w:hAnsi="Calibri"/>
                <w:b/>
                <w:color w:val="222632"/>
                <w:sz w:val="20"/>
              </w:rPr>
              <w:t>Dominant predictor</w:t>
            </w:r>
          </w:p>
        </w:tc>
      </w:tr>
      <w:tr>
        <w:tc>
          <w:tcPr>
            <w:tcW w:type="dxa" w:w="2436"/>
            <w:vAlign w:val="center"/>
          </w:tcPr>
          <w:p>
            <w:r/>
            <w:r>
              <w:rPr>
                <w:rFonts w:ascii="Calibri" w:hAnsi="Calibri"/>
                <w:color w:val="222632"/>
                <w:sz w:val="20"/>
              </w:rPr>
              <w:t>Self-rated health</w:t>
            </w:r>
          </w:p>
        </w:tc>
        <w:tc>
          <w:tcPr>
            <w:tcW w:type="dxa" w:w="2436"/>
            <w:vAlign w:val="center"/>
          </w:tcPr>
          <w:p>
            <w:r/>
            <w:r>
              <w:rPr>
                <w:rFonts w:ascii="Calibri" w:hAnsi="Calibri"/>
                <w:color w:val="222632"/>
                <w:sz w:val="20"/>
              </w:rPr>
              <w:t>0.843</w:t>
            </w:r>
          </w:p>
        </w:tc>
        <w:tc>
          <w:tcPr>
            <w:tcW w:type="dxa" w:w="2436"/>
            <w:vAlign w:val="center"/>
          </w:tcPr>
          <w:p>
            <w:r/>
            <w:r>
              <w:rPr>
                <w:rFonts w:ascii="Calibri" w:hAnsi="Calibri"/>
                <w:color w:val="222632"/>
                <w:sz w:val="20"/>
              </w:rPr>
              <w:t>+0.005</w:t>
            </w:r>
          </w:p>
        </w:tc>
        <w:tc>
          <w:tcPr>
            <w:tcW w:type="dxa" w:w="2436"/>
            <w:vAlign w:val="center"/>
          </w:tcPr>
          <w:p>
            <w:r/>
            <w:r>
              <w:rPr>
                <w:rFonts w:ascii="Calibri" w:hAnsi="Calibri"/>
                <w:color w:val="222632"/>
                <w:sz w:val="20"/>
              </w:rPr>
              <w:t>Second most informative unique signal</w:t>
            </w:r>
          </w:p>
        </w:tc>
      </w:tr>
      <w:tr>
        <w:tc>
          <w:tcPr>
            <w:tcW w:type="dxa" w:w="2436"/>
            <w:vAlign w:val="center"/>
          </w:tcPr>
          <w:p>
            <w:r/>
            <w:r>
              <w:rPr>
                <w:rFonts w:ascii="Calibri" w:hAnsi="Calibri"/>
                <w:color w:val="222632"/>
                <w:sz w:val="20"/>
              </w:rPr>
              <w:t>Demographics</w:t>
            </w:r>
          </w:p>
        </w:tc>
        <w:tc>
          <w:tcPr>
            <w:tcW w:type="dxa" w:w="2436"/>
            <w:vAlign w:val="center"/>
          </w:tcPr>
          <w:p>
            <w:r/>
            <w:r>
              <w:rPr>
                <w:rFonts w:ascii="Calibri" w:hAnsi="Calibri"/>
                <w:color w:val="222632"/>
                <w:sz w:val="20"/>
              </w:rPr>
              <w:t>0.848</w:t>
            </w:r>
          </w:p>
        </w:tc>
        <w:tc>
          <w:tcPr>
            <w:tcW w:type="dxa" w:w="2436"/>
            <w:vAlign w:val="center"/>
          </w:tcPr>
          <w:p>
            <w:r/>
            <w:r>
              <w:rPr>
                <w:rFonts w:ascii="Calibri" w:hAnsi="Calibri"/>
                <w:color w:val="222632"/>
                <w:sz w:val="20"/>
              </w:rPr>
              <w:t>+0.000</w:t>
            </w:r>
          </w:p>
        </w:tc>
        <w:tc>
          <w:tcPr>
            <w:tcW w:type="dxa" w:w="2436"/>
            <w:vAlign w:val="center"/>
          </w:tcPr>
          <w:p>
            <w:r/>
            <w:r>
              <w:rPr>
                <w:rFonts w:ascii="Calibri" w:hAnsi="Calibri"/>
                <w:color w:val="222632"/>
                <w:sz w:val="20"/>
              </w:rPr>
              <w:t>Redundant with health features</w:t>
            </w:r>
          </w:p>
        </w:tc>
      </w:tr>
      <w:tr>
        <w:tc>
          <w:tcPr>
            <w:tcW w:type="dxa" w:w="2436"/>
            <w:vAlign w:val="center"/>
          </w:tcPr>
          <w:p>
            <w:r/>
            <w:r>
              <w:rPr>
                <w:rFonts w:ascii="Calibri" w:hAnsi="Calibri"/>
                <w:color w:val="222632"/>
                <w:sz w:val="20"/>
              </w:rPr>
              <w:t>Chronic conditions</w:t>
            </w:r>
          </w:p>
        </w:tc>
        <w:tc>
          <w:tcPr>
            <w:tcW w:type="dxa" w:w="2436"/>
            <w:vAlign w:val="center"/>
          </w:tcPr>
          <w:p>
            <w:r/>
            <w:r>
              <w:rPr>
                <w:rFonts w:ascii="Calibri" w:hAnsi="Calibri"/>
                <w:color w:val="222632"/>
                <w:sz w:val="20"/>
              </w:rPr>
              <w:t>0.849</w:t>
            </w:r>
          </w:p>
        </w:tc>
        <w:tc>
          <w:tcPr>
            <w:tcW w:type="dxa" w:w="2436"/>
            <w:vAlign w:val="center"/>
          </w:tcPr>
          <w:p>
            <w:r/>
            <w:r>
              <w:rPr>
                <w:rFonts w:ascii="Calibri" w:hAnsi="Calibri"/>
                <w:color w:val="222632"/>
                <w:sz w:val="20"/>
              </w:rPr>
              <w:t>−0.001</w:t>
            </w:r>
          </w:p>
        </w:tc>
        <w:tc>
          <w:tcPr>
            <w:tcW w:type="dxa" w:w="2436"/>
            <w:vAlign w:val="center"/>
          </w:tcPr>
          <w:p>
            <w:r/>
            <w:r>
              <w:rPr>
                <w:rFonts w:ascii="Calibri" w:hAnsi="Calibri"/>
                <w:color w:val="222632"/>
                <w:sz w:val="20"/>
              </w:rPr>
              <w:t>Signal captured by self-rated health</w:t>
            </w:r>
          </w:p>
        </w:tc>
      </w:tr>
      <w:tr>
        <w:tc>
          <w:tcPr>
            <w:tcW w:type="dxa" w:w="2436"/>
            <w:vAlign w:val="center"/>
          </w:tcPr>
          <w:p>
            <w:r/>
            <w:r>
              <w:rPr>
                <w:rFonts w:ascii="Calibri" w:hAnsi="Calibri"/>
                <w:color w:val="222632"/>
                <w:sz w:val="20"/>
              </w:rPr>
              <w:t>Mobility/function</w:t>
            </w:r>
          </w:p>
        </w:tc>
        <w:tc>
          <w:tcPr>
            <w:tcW w:type="dxa" w:w="2436"/>
            <w:vAlign w:val="center"/>
          </w:tcPr>
          <w:p>
            <w:r/>
            <w:r>
              <w:rPr>
                <w:rFonts w:ascii="Calibri" w:hAnsi="Calibri"/>
                <w:color w:val="222632"/>
                <w:sz w:val="20"/>
              </w:rPr>
              <w:t>0.849</w:t>
            </w:r>
          </w:p>
        </w:tc>
        <w:tc>
          <w:tcPr>
            <w:tcW w:type="dxa" w:w="2436"/>
            <w:vAlign w:val="center"/>
          </w:tcPr>
          <w:p>
            <w:r/>
            <w:r>
              <w:rPr>
                <w:rFonts w:ascii="Calibri" w:hAnsi="Calibri"/>
                <w:color w:val="222632"/>
                <w:sz w:val="20"/>
              </w:rPr>
              <w:t>−0.001</w:t>
            </w:r>
          </w:p>
        </w:tc>
        <w:tc>
          <w:tcPr>
            <w:tcW w:type="dxa" w:w="2436"/>
            <w:vAlign w:val="center"/>
          </w:tcPr>
          <w:p>
            <w:r/>
            <w:r>
              <w:rPr>
                <w:rFonts w:ascii="Calibri" w:hAnsi="Calibri"/>
                <w:color w:val="222632"/>
                <w:sz w:val="20"/>
              </w:rPr>
              <w:t>Signal captured by correlated features</w:t>
            </w:r>
          </w:p>
        </w:tc>
      </w:tr>
      <w:tr>
        <w:tc>
          <w:tcPr>
            <w:tcW w:type="dxa" w:w="2436"/>
            <w:vAlign w:val="center"/>
          </w:tcPr>
          <w:p>
            <w:r/>
            <w:r>
              <w:rPr>
                <w:rFonts w:ascii="Calibri" w:hAnsi="Calibri"/>
                <w:color w:val="222632"/>
                <w:sz w:val="20"/>
              </w:rPr>
              <w:t>Cognition</w:t>
            </w:r>
          </w:p>
        </w:tc>
        <w:tc>
          <w:tcPr>
            <w:tcW w:type="dxa" w:w="2436"/>
            <w:vAlign w:val="center"/>
          </w:tcPr>
          <w:p>
            <w:r/>
            <w:r>
              <w:rPr>
                <w:rFonts w:ascii="Calibri" w:hAnsi="Calibri"/>
                <w:color w:val="222632"/>
                <w:sz w:val="20"/>
              </w:rPr>
              <w:t>0.849</w:t>
            </w:r>
          </w:p>
        </w:tc>
        <w:tc>
          <w:tcPr>
            <w:tcW w:type="dxa" w:w="2436"/>
            <w:vAlign w:val="center"/>
          </w:tcPr>
          <w:p>
            <w:r/>
            <w:r>
              <w:rPr>
                <w:rFonts w:ascii="Calibri" w:hAnsi="Calibri"/>
                <w:color w:val="222632"/>
                <w:sz w:val="20"/>
              </w:rPr>
              <w:t>−0.000</w:t>
            </w:r>
          </w:p>
        </w:tc>
        <w:tc>
          <w:tcPr>
            <w:tcW w:type="dxa" w:w="2436"/>
            <w:vAlign w:val="center"/>
          </w:tcPr>
          <w:p>
            <w:r/>
            <w:r>
              <w:rPr>
                <w:rFonts w:ascii="Calibri" w:hAnsi="Calibri"/>
                <w:color w:val="222632"/>
                <w:sz w:val="20"/>
              </w:rPr>
              <w:t>Near-zero unique contribution</w:t>
            </w:r>
          </w:p>
        </w:tc>
      </w:tr>
      <w:tr>
        <w:tc>
          <w:tcPr>
            <w:tcW w:type="dxa" w:w="2436"/>
            <w:vAlign w:val="center"/>
          </w:tcPr>
          <w:p>
            <w:r/>
            <w:r>
              <w:rPr>
                <w:rFonts w:ascii="Calibri" w:hAnsi="Calibri"/>
                <w:color w:val="222632"/>
                <w:sz w:val="20"/>
              </w:rPr>
              <w:t>Socioeconomic</w:t>
            </w:r>
          </w:p>
        </w:tc>
        <w:tc>
          <w:tcPr>
            <w:tcW w:type="dxa" w:w="2436"/>
            <w:vAlign w:val="center"/>
          </w:tcPr>
          <w:p>
            <w:r/>
            <w:r>
              <w:rPr>
                <w:rFonts w:ascii="Calibri" w:hAnsi="Calibri"/>
                <w:color w:val="222632"/>
                <w:sz w:val="20"/>
              </w:rPr>
              <w:t>0.849</w:t>
            </w:r>
          </w:p>
        </w:tc>
        <w:tc>
          <w:tcPr>
            <w:tcW w:type="dxa" w:w="2436"/>
            <w:vAlign w:val="center"/>
          </w:tcPr>
          <w:p>
            <w:r/>
            <w:r>
              <w:rPr>
                <w:rFonts w:ascii="Calibri" w:hAnsi="Calibri"/>
                <w:color w:val="222632"/>
                <w:sz w:val="20"/>
              </w:rPr>
              <w:t>−0.001</w:t>
            </w:r>
          </w:p>
        </w:tc>
        <w:tc>
          <w:tcPr>
            <w:tcW w:type="dxa" w:w="2436"/>
            <w:vAlign w:val="center"/>
          </w:tcPr>
          <w:p>
            <w:r/>
            <w:r>
              <w:rPr>
                <w:rFonts w:ascii="Calibri" w:hAnsi="Calibri"/>
                <w:color w:val="222632"/>
                <w:sz w:val="20"/>
              </w:rPr>
              <w:t>Signal captured by health and mobility</w:t>
            </w:r>
          </w:p>
        </w:tc>
      </w:tr>
      <w:tr>
        <w:tc>
          <w:tcPr>
            <w:tcW w:type="dxa" w:w="2436"/>
            <w:vAlign w:val="center"/>
          </w:tcPr>
          <w:p>
            <w:r/>
            <w:r>
              <w:rPr>
                <w:rFonts w:ascii="Calibri" w:hAnsi="Calibri"/>
                <w:color w:val="222632"/>
                <w:sz w:val="20"/>
              </w:rPr>
              <w:t>Social/housing</w:t>
            </w:r>
          </w:p>
        </w:tc>
        <w:tc>
          <w:tcPr>
            <w:tcW w:type="dxa" w:w="2436"/>
            <w:vAlign w:val="center"/>
          </w:tcPr>
          <w:p>
            <w:r/>
            <w:r>
              <w:rPr>
                <w:rFonts w:ascii="Calibri" w:hAnsi="Calibri"/>
                <w:color w:val="222632"/>
                <w:sz w:val="20"/>
              </w:rPr>
              <w:t>0.850</w:t>
            </w:r>
          </w:p>
        </w:tc>
        <w:tc>
          <w:tcPr>
            <w:tcW w:type="dxa" w:w="2436"/>
            <w:vAlign w:val="center"/>
          </w:tcPr>
          <w:p>
            <w:r/>
            <w:r>
              <w:rPr>
                <w:rFonts w:ascii="Calibri" w:hAnsi="Calibri"/>
                <w:color w:val="222632"/>
                <w:sz w:val="20"/>
              </w:rPr>
              <w:t>−0.001</w:t>
            </w:r>
          </w:p>
        </w:tc>
        <w:tc>
          <w:tcPr>
            <w:tcW w:type="dxa" w:w="2436"/>
            <w:vAlign w:val="center"/>
          </w:tcPr>
          <w:p>
            <w:r/>
            <w:r>
              <w:rPr>
                <w:rFonts w:ascii="Calibri" w:hAnsi="Calibri"/>
                <w:color w:val="222632"/>
                <w:sz w:val="20"/>
              </w:rPr>
              <w:t>Near-zero unique contribution</w:t>
            </w:r>
          </w:p>
        </w:tc>
      </w:tr>
      <w:tr>
        <w:tc>
          <w:tcPr>
            <w:tcW w:type="dxa" w:w="2436"/>
            <w:vAlign w:val="center"/>
          </w:tcPr>
          <w:p>
            <w:r/>
            <w:r>
              <w:rPr>
                <w:rFonts w:ascii="Calibri" w:hAnsi="Calibri"/>
                <w:color w:val="222632"/>
                <w:sz w:val="20"/>
              </w:rPr>
              <w:t>Lifestyle/digital</w:t>
            </w:r>
          </w:p>
        </w:tc>
        <w:tc>
          <w:tcPr>
            <w:tcW w:type="dxa" w:w="2436"/>
            <w:vAlign w:val="center"/>
          </w:tcPr>
          <w:p>
            <w:r/>
            <w:r>
              <w:rPr>
                <w:rFonts w:ascii="Calibri" w:hAnsi="Calibri"/>
                <w:color w:val="222632"/>
                <w:sz w:val="20"/>
              </w:rPr>
              <w:t>0.849</w:t>
            </w:r>
          </w:p>
        </w:tc>
        <w:tc>
          <w:tcPr>
            <w:tcW w:type="dxa" w:w="2436"/>
            <w:vAlign w:val="center"/>
          </w:tcPr>
          <w:p>
            <w:r/>
            <w:r>
              <w:rPr>
                <w:rFonts w:ascii="Calibri" w:hAnsi="Calibri"/>
                <w:color w:val="222632"/>
                <w:sz w:val="20"/>
              </w:rPr>
              <w:t>−0.000</w:t>
            </w:r>
          </w:p>
        </w:tc>
        <w:tc>
          <w:tcPr>
            <w:tcW w:type="dxa" w:w="2436"/>
            <w:vAlign w:val="center"/>
          </w:tcPr>
          <w:p>
            <w:r/>
            <w:r>
              <w:rPr>
                <w:rFonts w:ascii="Calibri" w:hAnsi="Calibri"/>
                <w:color w:val="222632"/>
                <w:sz w:val="20"/>
              </w:rPr>
              <w:t>Near-zero unique contribution</w:t>
            </w:r>
          </w:p>
        </w:tc>
      </w:tr>
    </w:tbl>
    <w:p>
      <w:pPr>
        <w:spacing w:after="120" w:line="300" w:lineRule="auto"/>
      </w:pPr>
      <w:r>
        <w:rPr>
          <w:rFonts w:ascii="Calibri" w:hAnsi="Calibri"/>
          <w:color w:val="222632"/>
          <w:sz w:val="22"/>
        </w:rPr>
        <w:t xml:space="preserve">The near-zero AUC drops for most domains require careful interpretation. They do </w:t>
      </w:r>
      <w:r>
        <w:rPr>
          <w:rFonts w:ascii="Calibri" w:hAnsi="Calibri"/>
          <w:b/>
          <w:color w:val="222632"/>
          <w:sz w:val="22"/>
        </w:rPr>
        <w:t>not</w:t>
      </w:r>
      <w:r>
        <w:rPr>
          <w:rFonts w:ascii="Calibri" w:hAnsi="Calibri"/>
          <w:color w:val="222632"/>
          <w:sz w:val="22"/>
        </w:rPr>
        <w:t xml:space="preserve"> mean those domains are unimportant. The domain correlation heatmap reveals why: mobility/function and self-rated health share a mean absolute Pearson correlation of approximately 0.45; chronic conditions and self-rated health correlate at approximately 0.38. When one domain is removed, the model reconstructs its signal from correlated neighbours. </w:t>
      </w:r>
      <w:r>
        <w:rPr>
          <w:rFonts w:ascii="Calibri" w:hAnsi="Calibri"/>
          <w:b/>
          <w:color w:val="222632"/>
          <w:sz w:val="22"/>
        </w:rPr>
        <w:t>Domain ablation measures unique contribution given all other features are present, not total contribution.</w:t>
      </w:r>
    </w:p>
    <w:p>
      <w:pPr>
        <w:spacing w:after="120" w:line="300" w:lineRule="auto"/>
      </w:pPr>
      <w:r>
        <w:rPr>
          <w:rFonts w:ascii="Calibri" w:hAnsi="Calibri"/>
          <w:color w:val="222632"/>
          <w:sz w:val="22"/>
        </w:rPr>
        <w:t xml:space="preserve">The top 25 features by raw point-biserial correlation with </w:t>
      </w:r>
      <w:r>
        <w:rPr>
          <w:rFonts w:ascii="Consolas" w:hAnsi="Consolas"/>
          <w:color w:val="1F2D5C"/>
          <w:sz w:val="20"/>
        </w:rPr>
        <w:t>depressed_w8</w:t>
      </w:r>
      <w:r>
        <w:rPr>
          <w:rFonts w:ascii="Calibri" w:hAnsi="Calibri"/>
          <w:color w:val="222632"/>
          <w:sz w:val="22"/>
        </w:rPr>
        <w:t xml:space="preserve"> confirm the domain-level findings independently: </w:t>
      </w:r>
      <w:r>
        <w:rPr>
          <w:rFonts w:ascii="Consolas" w:hAnsi="Consolas"/>
          <w:color w:val="1F2D5C"/>
          <w:sz w:val="20"/>
        </w:rPr>
        <w:t>cesd_sc_w7</w:t>
      </w:r>
      <w:r>
        <w:rPr>
          <w:rFonts w:ascii="Calibri" w:hAnsi="Calibri"/>
          <w:color w:val="222632"/>
          <w:sz w:val="22"/>
        </w:rPr>
        <w:t xml:space="preserve"> and </w:t>
      </w:r>
      <w:r>
        <w:rPr>
          <w:rFonts w:ascii="Consolas" w:hAnsi="Consolas"/>
          <w:color w:val="1F2D5C"/>
          <w:sz w:val="20"/>
        </w:rPr>
        <w:t>cesd_sc_w6</w:t>
      </w:r>
      <w:r>
        <w:rPr>
          <w:rFonts w:ascii="Calibri" w:hAnsi="Calibri"/>
          <w:color w:val="222632"/>
          <w:sz w:val="22"/>
        </w:rPr>
        <w:t xml:space="preserve"> have the highest positive correlations; </w:t>
      </w:r>
      <w:r>
        <w:rPr>
          <w:rFonts w:ascii="Consolas" w:hAnsi="Consolas"/>
          <w:color w:val="1F2D5C"/>
          <w:sz w:val="20"/>
        </w:rPr>
        <w:t>hemob96_w6</w:t>
      </w:r>
      <w:r>
        <w:rPr>
          <w:rFonts w:ascii="Calibri" w:hAnsi="Calibri"/>
          <w:color w:val="222632"/>
          <w:sz w:val="22"/>
        </w:rPr>
        <w:t xml:space="preserve"> (no mobility difficulties flag) shows strong negative correlation; </w:t>
      </w:r>
      <w:r>
        <w:rPr>
          <w:rFonts w:ascii="Consolas" w:hAnsi="Consolas"/>
          <w:color w:val="1F2D5C"/>
          <w:sz w:val="20"/>
        </w:rPr>
        <w:t>findiff</w:t>
      </w:r>
      <w:r>
        <w:rPr>
          <w:rFonts w:ascii="Calibri" w:hAnsi="Calibri"/>
          <w:color w:val="222632"/>
          <w:sz w:val="22"/>
        </w:rPr>
        <w:t xml:space="preserve"> (financial difficulty) shows positive correlation; </w:t>
      </w:r>
      <w:r>
        <w:rPr>
          <w:rFonts w:ascii="Consolas" w:hAnsi="Consolas"/>
          <w:color w:val="1F2D5C"/>
          <w:sz w:val="20"/>
        </w:rPr>
        <w:t>totwq5_bu_s</w:t>
      </w:r>
      <w:r>
        <w:rPr>
          <w:rFonts w:ascii="Calibri" w:hAnsi="Calibri"/>
          <w:color w:val="222632"/>
          <w:sz w:val="22"/>
        </w:rPr>
        <w:t xml:space="preserve"> (wealth quintile) shows negative correlation. These rankings are consistent with the post-modelling SHAP results, providing convergent pre-modelling and post-modelling evidence.</w:t>
      </w:r>
    </w:p>
    <w:p>
      <w:pPr>
        <w:keepNext/>
        <w:spacing w:before="240" w:after="120"/>
      </w:pPr>
      <w:r>
        <w:rPr>
          <w:rFonts w:ascii="Calibri" w:hAnsi="Calibri"/>
          <w:b/>
          <w:color w:val="186F82"/>
          <w:sz w:val="26"/>
        </w:rPr>
        <w:t>6.6 Leakage sensitivity and SHAP (RQ3 answer)</w:t>
      </w:r>
    </w:p>
    <w:p>
      <w:pPr>
        <w:spacing w:after="120" w:line="300" w:lineRule="auto"/>
      </w:pPr>
      <w:r>
        <w:rPr>
          <w:rFonts w:ascii="Calibri" w:hAnsi="Calibri"/>
          <w:b/>
          <w:color w:val="222632"/>
          <w:sz w:val="22"/>
        </w:rPr>
        <w:t>Table 9. Leakage sensitivity analysis across all three arms.</w:t>
      </w:r>
    </w:p>
    <w:tbl>
      <w:tblPr>
        <w:tblStyle w:val="LightGrid-Accent1"/>
        <w:tblW w:type="auto" w:w="0"/>
        <w:jc w:val="left"/>
        <w:tblLayout w:type="autofit"/>
        <w:tblLook w:firstColumn="1" w:firstRow="1" w:lastColumn="0" w:lastRow="0" w:noHBand="0" w:noVBand="1" w:val="04A0"/>
      </w:tblPr>
      <w:tblGrid>
        <w:gridCol w:w="2436"/>
        <w:gridCol w:w="2436"/>
        <w:gridCol w:w="2436"/>
        <w:gridCol w:w="2436"/>
      </w:tblGrid>
      <w:tr>
        <w:tc>
          <w:tcPr>
            <w:tcW w:type="dxa" w:w="2436"/>
            <w:vAlign w:val="center"/>
            <w:shd w:val="clear" w:color="auto" w:fill="1F2D5C"/>
          </w:tcPr>
          <w:p>
            <w:r/>
            <w:r>
              <w:rPr>
                <w:rFonts w:ascii="Calibri" w:hAnsi="Calibri"/>
                <w:b/>
                <w:color w:val="FFFFFF"/>
                <w:sz w:val="21"/>
              </w:rPr>
              <w:t>Arm</w:t>
            </w:r>
          </w:p>
        </w:tc>
        <w:tc>
          <w:tcPr>
            <w:tcW w:type="dxa" w:w="2436"/>
            <w:vAlign w:val="center"/>
            <w:shd w:val="clear" w:color="auto" w:fill="1F2D5C"/>
          </w:tcPr>
          <w:p>
            <w:r/>
            <w:r>
              <w:rPr>
                <w:rFonts w:ascii="Calibri" w:hAnsi="Calibri"/>
                <w:b/>
                <w:color w:val="FFFFFF"/>
                <w:sz w:val="21"/>
              </w:rPr>
              <w:t>AUC with CES-D</w:t>
            </w:r>
          </w:p>
        </w:tc>
        <w:tc>
          <w:tcPr>
            <w:tcW w:type="dxa" w:w="2436"/>
            <w:vAlign w:val="center"/>
            <w:shd w:val="clear" w:color="auto" w:fill="1F2D5C"/>
          </w:tcPr>
          <w:p>
            <w:r/>
            <w:r>
              <w:rPr>
                <w:rFonts w:ascii="Calibri" w:hAnsi="Calibri"/>
                <w:b/>
                <w:color w:val="FFFFFF"/>
                <w:sz w:val="21"/>
              </w:rPr>
              <w:t>AUC without CES-D</w:t>
            </w:r>
          </w:p>
        </w:tc>
        <w:tc>
          <w:tcPr>
            <w:tcW w:type="dxa" w:w="2436"/>
            <w:vAlign w:val="center"/>
            <w:shd w:val="clear" w:color="auto" w:fill="1F2D5C"/>
          </w:tcPr>
          <w:p>
            <w:r/>
            <w:r>
              <w:rPr>
                <w:rFonts w:ascii="Calibri" w:hAnsi="Calibri"/>
                <w:b/>
                <w:color w:val="FFFFFF"/>
                <w:sz w:val="21"/>
              </w:rPr>
              <w:t>AUC retained</w:t>
            </w:r>
          </w:p>
        </w:tc>
      </w:tr>
      <w:tr>
        <w:tc>
          <w:tcPr>
            <w:tcW w:type="dxa" w:w="2436"/>
            <w:vAlign w:val="center"/>
          </w:tcPr>
          <w:p>
            <w:r/>
            <w:r>
              <w:rPr>
                <w:rFonts w:ascii="Calibri" w:hAnsi="Calibri"/>
                <w:color w:val="222632"/>
                <w:sz w:val="20"/>
              </w:rPr>
              <w:t>W6 only (LGBM)</w:t>
            </w:r>
          </w:p>
        </w:tc>
        <w:tc>
          <w:tcPr>
            <w:tcW w:type="dxa" w:w="2436"/>
            <w:vAlign w:val="center"/>
          </w:tcPr>
          <w:p>
            <w:r/>
            <w:r>
              <w:rPr>
                <w:rFonts w:ascii="Calibri" w:hAnsi="Calibri"/>
                <w:color w:val="222632"/>
                <w:sz w:val="20"/>
              </w:rPr>
              <w:t>0.819</w:t>
            </w:r>
          </w:p>
        </w:tc>
        <w:tc>
          <w:tcPr>
            <w:tcW w:type="dxa" w:w="2436"/>
            <w:vAlign w:val="center"/>
          </w:tcPr>
          <w:p>
            <w:r/>
            <w:r>
              <w:rPr>
                <w:rFonts w:ascii="Calibri" w:hAnsi="Calibri"/>
                <w:color w:val="222632"/>
                <w:sz w:val="20"/>
              </w:rPr>
              <w:t>0.739</w:t>
            </w:r>
          </w:p>
        </w:tc>
        <w:tc>
          <w:tcPr>
            <w:tcW w:type="dxa" w:w="2436"/>
            <w:vAlign w:val="center"/>
          </w:tcPr>
          <w:p>
            <w:r/>
            <w:r>
              <w:rPr>
                <w:rFonts w:ascii="Calibri" w:hAnsi="Calibri"/>
                <w:color w:val="222632"/>
                <w:sz w:val="20"/>
              </w:rPr>
              <w:t>90.2%</w:t>
            </w:r>
          </w:p>
        </w:tc>
      </w:tr>
      <w:tr>
        <w:tc>
          <w:tcPr>
            <w:tcW w:type="dxa" w:w="2436"/>
            <w:vAlign w:val="center"/>
          </w:tcPr>
          <w:p>
            <w:r/>
            <w:r>
              <w:rPr>
                <w:rFonts w:ascii="Calibri" w:hAnsi="Calibri"/>
                <w:color w:val="222632"/>
                <w:sz w:val="20"/>
              </w:rPr>
              <w:t>W7 only (RF)</w:t>
            </w:r>
          </w:p>
        </w:tc>
        <w:tc>
          <w:tcPr>
            <w:tcW w:type="dxa" w:w="2436"/>
            <w:vAlign w:val="center"/>
          </w:tcPr>
          <w:p>
            <w:r/>
            <w:r>
              <w:rPr>
                <w:rFonts w:ascii="Calibri" w:hAnsi="Calibri"/>
                <w:color w:val="222632"/>
                <w:sz w:val="20"/>
              </w:rPr>
              <w:t>0.824</w:t>
            </w:r>
          </w:p>
        </w:tc>
        <w:tc>
          <w:tcPr>
            <w:tcW w:type="dxa" w:w="2436"/>
            <w:vAlign w:val="center"/>
          </w:tcPr>
          <w:p>
            <w:r/>
            <w:r>
              <w:rPr>
                <w:rFonts w:ascii="Calibri" w:hAnsi="Calibri"/>
                <w:color w:val="222632"/>
                <w:sz w:val="20"/>
              </w:rPr>
              <w:t>0.769</w:t>
            </w:r>
          </w:p>
        </w:tc>
        <w:tc>
          <w:tcPr>
            <w:tcW w:type="dxa" w:w="2436"/>
            <w:vAlign w:val="center"/>
          </w:tcPr>
          <w:p>
            <w:r/>
            <w:r>
              <w:rPr>
                <w:rFonts w:ascii="Calibri" w:hAnsi="Calibri"/>
                <w:color w:val="222632"/>
                <w:sz w:val="20"/>
              </w:rPr>
              <w:t>93.3%</w:t>
            </w:r>
          </w:p>
        </w:tc>
      </w:tr>
      <w:tr>
        <w:tc>
          <w:tcPr>
            <w:tcW w:type="dxa" w:w="2436"/>
            <w:vAlign w:val="center"/>
          </w:tcPr>
          <w:p>
            <w:r/>
            <w:r>
              <w:rPr>
                <w:rFonts w:ascii="Calibri" w:hAnsi="Calibri"/>
                <w:b/>
                <w:color w:val="222632"/>
                <w:sz w:val="20"/>
              </w:rPr>
              <w:t>W6+W7 (RF)</w:t>
            </w:r>
          </w:p>
        </w:tc>
        <w:tc>
          <w:tcPr>
            <w:tcW w:type="dxa" w:w="2436"/>
            <w:vAlign w:val="center"/>
          </w:tcPr>
          <w:p>
            <w:r/>
            <w:r>
              <w:rPr>
                <w:rFonts w:ascii="Calibri" w:hAnsi="Calibri"/>
                <w:b/>
                <w:color w:val="222632"/>
                <w:sz w:val="20"/>
              </w:rPr>
              <w:t>0.848</w:t>
            </w:r>
          </w:p>
        </w:tc>
        <w:tc>
          <w:tcPr>
            <w:tcW w:type="dxa" w:w="2436"/>
            <w:vAlign w:val="center"/>
          </w:tcPr>
          <w:p>
            <w:r/>
            <w:r>
              <w:rPr>
                <w:rFonts w:ascii="Calibri" w:hAnsi="Calibri"/>
                <w:b/>
                <w:color w:val="222632"/>
                <w:sz w:val="20"/>
              </w:rPr>
              <w:t>0.773</w:t>
            </w:r>
          </w:p>
        </w:tc>
        <w:tc>
          <w:tcPr>
            <w:tcW w:type="dxa" w:w="2436"/>
            <w:vAlign w:val="center"/>
          </w:tcPr>
          <w:p>
            <w:r/>
            <w:r>
              <w:rPr>
                <w:rFonts w:ascii="Calibri" w:hAnsi="Calibri"/>
                <w:b/>
                <w:color w:val="222632"/>
                <w:sz w:val="20"/>
              </w:rPr>
              <w:t>91.2%</w:t>
            </w:r>
          </w:p>
        </w:tc>
      </w:tr>
    </w:tbl>
    <w:p>
      <w:pPr>
        <w:spacing w:after="120" w:line="300" w:lineRule="auto"/>
      </w:pPr>
      <w:r>
        <w:rPr>
          <w:rFonts w:ascii="Calibri" w:hAnsi="Calibri"/>
          <w:b/>
          <w:color w:val="222632"/>
          <w:sz w:val="22"/>
        </w:rPr>
        <w:t>RQ3 answer.</w:t>
      </w:r>
      <w:r>
        <w:rPr>
          <w:rFonts w:ascii="Calibri" w:hAnsi="Calibri"/>
          <w:color w:val="222632"/>
          <w:sz w:val="22"/>
        </w:rPr>
        <w:t xml:space="preserve"> Across all three arms, removing all prior CES-D retains over </w:t>
      </w:r>
      <w:r>
        <w:rPr>
          <w:rFonts w:ascii="Calibri" w:hAnsi="Calibri"/>
          <w:b/>
          <w:color w:val="222632"/>
          <w:sz w:val="22"/>
        </w:rPr>
        <w:t>90 percent</w:t>
      </w:r>
      <w:r>
        <w:rPr>
          <w:rFonts w:ascii="Calibri" w:hAnsi="Calibri"/>
          <w:color w:val="222632"/>
          <w:sz w:val="22"/>
        </w:rPr>
        <w:t xml:space="preserve"> of the original AUC. The W6+W7 arm retains AUC 0.773 (91 percent) without any depression history. </w:t>
      </w:r>
      <w:r>
        <w:rPr>
          <w:rFonts w:ascii="Calibri" w:hAnsi="Calibri"/>
          <w:b/>
          <w:color w:val="222632"/>
          <w:sz w:val="22"/>
        </w:rPr>
        <w:t>The model is genuinely learning from health, functional, and social risk factors rather than simply tracking depression persistence.</w:t>
      </w:r>
    </w:p>
    <w:p>
      <w:pPr>
        <w:spacing w:after="120" w:line="300" w:lineRule="auto"/>
      </w:pPr>
      <w:r>
        <w:rPr>
          <w:rFonts w:ascii="Calibri" w:hAnsi="Calibri"/>
          <w:b/>
          <w:color w:val="222632"/>
          <w:sz w:val="22"/>
        </w:rPr>
        <w:t>SHAP — Act 1 (full model, W6+W7, RF tuned).</w:t>
      </w:r>
      <w:r>
        <w:rPr>
          <w:rFonts w:ascii="Calibri" w:hAnsi="Calibri"/>
          <w:color w:val="222632"/>
          <w:sz w:val="22"/>
        </w:rPr>
        <w:t xml:space="preserve"> </w:t>
      </w:r>
      <w:r>
        <w:rPr>
          <w:rFonts w:ascii="Consolas" w:hAnsi="Consolas"/>
          <w:color w:val="1F2D5C"/>
          <w:sz w:val="20"/>
        </w:rPr>
        <w:t>cesd_sc</w:t>
      </w:r>
      <w:r>
        <w:rPr>
          <w:rFonts w:ascii="Calibri" w:hAnsi="Calibri"/>
          <w:color w:val="222632"/>
          <w:sz w:val="22"/>
        </w:rPr>
        <w:t xml:space="preserve"> at Waves 7 and 6 dominate by a wide margin, with SHAP values extending from −0.15 to +0.25. The scale of non-CES-D features is substantially smaller. After the CES-D features: </w:t>
      </w:r>
      <w:r>
        <w:rPr>
          <w:rFonts w:ascii="Consolas" w:hAnsi="Consolas"/>
          <w:color w:val="1F2D5C"/>
          <w:sz w:val="20"/>
        </w:rPr>
        <w:t>mobility_count</w:t>
      </w:r>
      <w:r>
        <w:rPr>
          <w:rFonts w:ascii="Calibri" w:hAnsi="Calibri"/>
          <w:color w:val="222632"/>
          <w:sz w:val="22"/>
        </w:rPr>
        <w:t xml:space="preserve"> (W7) ranks third, </w:t>
      </w:r>
      <w:r>
        <w:rPr>
          <w:rFonts w:ascii="Consolas" w:hAnsi="Consolas"/>
          <w:color w:val="1F2D5C"/>
          <w:sz w:val="20"/>
        </w:rPr>
        <w:t>srh_hrs</w:t>
      </w:r>
      <w:r>
        <w:rPr>
          <w:rFonts w:ascii="Calibri" w:hAnsi="Calibri"/>
          <w:color w:val="222632"/>
          <w:sz w:val="22"/>
        </w:rPr>
        <w:t xml:space="preserve"> (W7) fifth, and </w:t>
      </w:r>
      <w:r>
        <w:rPr>
          <w:rFonts w:ascii="Consolas" w:hAnsi="Consolas"/>
          <w:color w:val="1F2D5C"/>
          <w:sz w:val="20"/>
        </w:rPr>
        <w:t>cesd_change</w:t>
      </w:r>
      <w:r>
        <w:rPr>
          <w:rFonts w:ascii="Calibri" w:hAnsi="Calibri"/>
          <w:color w:val="222632"/>
          <w:sz w:val="22"/>
        </w:rPr>
        <w:t xml:space="preserve"> sixth.</w:t>
      </w:r>
    </w:p>
    <w:p>
      <w:pPr>
        <w:spacing w:after="120" w:line="300" w:lineRule="auto"/>
      </w:pPr>
      <w:r>
        <w:rPr>
          <w:rFonts w:ascii="Calibri" w:hAnsi="Calibri"/>
          <w:b/>
          <w:color w:val="222632"/>
          <w:sz w:val="22"/>
        </w:rPr>
        <w:t>SHAP — Act 2 (no prior CES-D, W6+W7, RF).</w:t>
      </w:r>
      <w:r>
        <w:rPr>
          <w:rFonts w:ascii="Calibri" w:hAnsi="Calibri"/>
          <w:color w:val="222632"/>
          <w:sz w:val="22"/>
        </w:rPr>
        <w:t xml:space="preserve"> The ranking changes substantially. </w:t>
      </w:r>
      <w:r>
        <w:rPr>
          <w:rFonts w:ascii="Calibri" w:hAnsi="Calibri"/>
          <w:b/>
          <w:color w:val="222632"/>
          <w:sz w:val="22"/>
        </w:rPr>
        <w:t>`srh_hrs` (self-rated health, W7) rises to rank 1</w:t>
      </w:r>
      <w:r>
        <w:rPr>
          <w:rFonts w:ascii="Calibri" w:hAnsi="Calibri"/>
          <w:color w:val="222632"/>
          <w:sz w:val="22"/>
        </w:rPr>
        <w:t xml:space="preserve">; </w:t>
      </w:r>
      <w:r>
        <w:rPr>
          <w:rFonts w:ascii="Consolas" w:hAnsi="Consolas"/>
          <w:color w:val="1F2D5C"/>
          <w:sz w:val="20"/>
        </w:rPr>
        <w:t>hehelf</w:t>
      </w:r>
      <w:r>
        <w:rPr>
          <w:rFonts w:ascii="Calibri" w:hAnsi="Calibri"/>
          <w:color w:val="222632"/>
          <w:sz w:val="22"/>
        </w:rPr>
        <w:t xml:space="preserve"> at both waves occupies ranks 2 and 3; </w:t>
      </w:r>
      <w:r>
        <w:rPr>
          <w:rFonts w:ascii="Consolas" w:hAnsi="Consolas"/>
          <w:color w:val="1F2D5C"/>
          <w:sz w:val="20"/>
        </w:rPr>
        <w:t>mobility_count</w:t>
      </w:r>
      <w:r>
        <w:rPr>
          <w:rFonts w:ascii="Calibri" w:hAnsi="Calibri"/>
          <w:color w:val="222632"/>
          <w:sz w:val="22"/>
        </w:rPr>
        <w:t xml:space="preserve"> (W7 and W6) ranks 4 and 5; financial difficulty (</w:t>
      </w:r>
      <w:r>
        <w:rPr>
          <w:rFonts w:ascii="Consolas" w:hAnsi="Consolas"/>
          <w:color w:val="1F2D5C"/>
          <w:sz w:val="20"/>
        </w:rPr>
        <w:t>findiff</w:t>
      </w:r>
      <w:r>
        <w:rPr>
          <w:rFonts w:ascii="Calibri" w:hAnsi="Calibri"/>
          <w:color w:val="222632"/>
          <w:sz w:val="22"/>
        </w:rPr>
        <w:t xml:space="preserve">) ranks 8 and 10; sex ranks 9. The overall SHAP value scale compresses to −0.06 to +0.06, indicating the model </w:t>
      </w:r>
      <w:r>
        <w:rPr>
          <w:rFonts w:ascii="Calibri" w:hAnsi="Calibri"/>
          <w:b/>
          <w:color w:val="222632"/>
          <w:sz w:val="22"/>
        </w:rPr>
        <w:t>distributes signal across many features rather than anchoring on one dominant predictor</w:t>
      </w:r>
      <w:r>
        <w:rPr>
          <w:rFonts w:ascii="Calibri" w:hAnsi="Calibri"/>
          <w:color w:val="222632"/>
          <w:sz w:val="22"/>
        </w:rPr>
        <w:t>. Sex emerging is consistent with the higher depression prevalence in women (Kessler, 2003). The Act 1 → Act 2 transition is consistent with Ohrnberger et al. (2017) on self-rated health and Zaninotto et al. (2019) on cognitive and social factors as independent predictors.</w:t>
      </w:r>
    </w:p>
    <w:p>
      <w:pPr>
        <w:spacing w:after="120" w:line="300" w:lineRule="auto"/>
      </w:pPr>
      <w:r>
        <w:rPr>
          <w:rFonts w:ascii="Calibri" w:hAnsi="Calibri"/>
          <w:b/>
          <w:color w:val="222632"/>
          <w:sz w:val="22"/>
        </w:rPr>
        <w:t>Why this matters scientifically.</w:t>
      </w:r>
      <w:r>
        <w:rPr>
          <w:rFonts w:ascii="Calibri" w:hAnsi="Calibri"/>
          <w:color w:val="222632"/>
          <w:sz w:val="22"/>
        </w:rPr>
        <w:t xml:space="preserve"> Act 2 is the clinically novel finding. It demonstrates that </w:t>
      </w:r>
      <w:r>
        <w:rPr>
          <w:rFonts w:ascii="Calibri" w:hAnsi="Calibri"/>
          <w:b/>
          <w:color w:val="222632"/>
          <w:sz w:val="22"/>
        </w:rPr>
        <w:t>depression risk leaves a measurable footprint in physical health, mobility, and economic circumstances 2–4 years before the depression itself manifests</w:t>
      </w:r>
      <w:r>
        <w:rPr>
          <w:rFonts w:ascii="Calibri" w:hAnsi="Calibri"/>
          <w:color w:val="222632"/>
          <w:sz w:val="22"/>
        </w:rPr>
        <w:t>. This aligns with the biopsychosocial model of late-life depression, where physical decline, social isolation, and financial stress are causal contributors, not just consequences.</w:t>
      </w:r>
    </w:p>
    <w:p>
      <w:pPr>
        <w:keepNext/>
        <w:spacing w:before="240" w:after="120"/>
      </w:pPr>
      <w:r>
        <w:rPr>
          <w:rFonts w:ascii="Calibri" w:hAnsi="Calibri"/>
          <w:b/>
          <w:color w:val="186F82"/>
          <w:sz w:val="26"/>
        </w:rPr>
        <w:t>6.7 Clinical interpretability — LR coefficients and LightGBM importance</w:t>
      </w:r>
    </w:p>
    <w:p>
      <w:pPr>
        <w:spacing w:after="120" w:line="300" w:lineRule="auto"/>
      </w:pPr>
      <w:r>
        <w:rPr>
          <w:rFonts w:ascii="Calibri" w:hAnsi="Calibri"/>
          <w:color w:val="222632"/>
          <w:sz w:val="22"/>
        </w:rPr>
        <w:t>Logistic Regression standardised coefficients (log-odds per 1 SD, W6+W7 full configuration):</w:t>
      </w:r>
    </w:p>
    <w:p>
      <w:pPr>
        <w:pStyle w:val="ListBullet"/>
        <w:spacing w:after="40" w:line="288" w:lineRule="auto"/>
      </w:pPr>
      <w:r>
        <w:rPr>
          <w:rFonts w:ascii="Consolas" w:hAnsi="Consolas"/>
          <w:color w:val="1F2D5C"/>
          <w:sz w:val="20"/>
        </w:rPr>
        <w:t>cesd_sc_w7</w:t>
      </w:r>
      <w:r>
        <w:rPr>
          <w:rFonts w:ascii="Calibri" w:hAnsi="Calibri"/>
          <w:color w:val="222632"/>
          <w:sz w:val="22"/>
        </w:rPr>
        <w:t xml:space="preserve"> has the largest positive coefficient.</w:t>
      </w:r>
    </w:p>
    <w:p>
      <w:pPr>
        <w:pStyle w:val="ListBullet"/>
        <w:spacing w:after="40" w:line="288" w:lineRule="auto"/>
      </w:pPr>
      <w:r>
        <w:rPr>
          <w:rFonts w:ascii="Consolas" w:hAnsi="Consolas"/>
          <w:color w:val="1F2D5C"/>
          <w:sz w:val="20"/>
        </w:rPr>
        <w:t>hemob96_w6</w:t>
      </w:r>
      <w:r>
        <w:rPr>
          <w:rFonts w:ascii="Calibri" w:hAnsi="Calibri"/>
          <w:color w:val="222632"/>
          <w:sz w:val="22"/>
        </w:rPr>
        <w:t xml:space="preserve"> (no mobility difficulties flag) has the largest negative coefficient, confirming it is strongly protective.</w:t>
      </w:r>
    </w:p>
    <w:p>
      <w:pPr>
        <w:pStyle w:val="ListBullet"/>
        <w:spacing w:after="40" w:line="288" w:lineRule="auto"/>
      </w:pPr>
      <w:r>
        <w:rPr>
          <w:rFonts w:ascii="Consolas" w:hAnsi="Consolas"/>
          <w:color w:val="1F2D5C"/>
          <w:sz w:val="20"/>
        </w:rPr>
        <w:t>totwq5_bu_s</w:t>
      </w:r>
      <w:r>
        <w:rPr>
          <w:rFonts w:ascii="Calibri" w:hAnsi="Calibri"/>
          <w:color w:val="222632"/>
          <w:sz w:val="22"/>
        </w:rPr>
        <w:t xml:space="preserve"> (wealth quintile) is negative — higher wealth is protective.</w:t>
      </w:r>
    </w:p>
    <w:p>
      <w:pPr>
        <w:pStyle w:val="ListBullet"/>
        <w:spacing w:after="40" w:line="288" w:lineRule="auto"/>
      </w:pPr>
      <w:r>
        <w:rPr>
          <w:rFonts w:ascii="Consolas" w:hAnsi="Consolas"/>
          <w:color w:val="1F2D5C"/>
          <w:sz w:val="20"/>
        </w:rPr>
        <w:t>findiff</w:t>
      </w:r>
      <w:r>
        <w:rPr>
          <w:rFonts w:ascii="Calibri" w:hAnsi="Calibri"/>
          <w:color w:val="222632"/>
          <w:sz w:val="22"/>
        </w:rPr>
        <w:t xml:space="preserve"> is positive — financial difficulty increases depression odds.</w:t>
      </w:r>
    </w:p>
    <w:p>
      <w:pPr>
        <w:pStyle w:val="ListBullet"/>
        <w:spacing w:after="40" w:line="288" w:lineRule="auto"/>
      </w:pPr>
      <w:r>
        <w:rPr>
          <w:rFonts w:ascii="Consolas" w:hAnsi="Consolas"/>
          <w:color w:val="1F2D5C"/>
          <w:sz w:val="20"/>
        </w:rPr>
        <w:t>sex</w:t>
      </w:r>
      <w:r>
        <w:rPr>
          <w:rFonts w:ascii="Calibri" w:hAnsi="Calibri"/>
          <w:color w:val="222632"/>
          <w:sz w:val="22"/>
        </w:rPr>
        <w:t xml:space="preserve"> is positive — female sex associated with higher risk.</w:t>
      </w:r>
    </w:p>
    <w:p>
      <w:pPr>
        <w:spacing w:after="120" w:line="300" w:lineRule="auto"/>
      </w:pPr>
      <w:r>
        <w:rPr>
          <w:rFonts w:ascii="Calibri" w:hAnsi="Calibri"/>
          <w:b/>
          <w:color w:val="222632"/>
          <w:sz w:val="22"/>
        </w:rPr>
        <w:t>Three independent interpretation methods — SHAP, LR coefficients, and LightGBM gain importance — tell the same story:</w:t>
      </w:r>
      <w:r>
        <w:rPr>
          <w:rFonts w:ascii="Calibri" w:hAnsi="Calibri"/>
          <w:color w:val="222632"/>
          <w:sz w:val="22"/>
        </w:rPr>
        <w:t xml:space="preserve"> prior CES-D features dominate; self-rated health and mobility are the leading non-depression predictors; financial difficulty and sex carry independent signal. Convergent evidence across methods strengthens confidence in the findings.</w:t>
      </w:r>
    </w:p>
    <w:p>
      <w:pPr>
        <w:spacing w:after="120" w:line="300" w:lineRule="auto"/>
      </w:pPr>
      <w:r>
        <w:rPr>
          <w:rFonts w:ascii="Calibri" w:hAnsi="Calibri"/>
          <w:color w:val="222632"/>
          <w:sz w:val="22"/>
        </w:rPr>
        <w:t>LightGBM achieves AUC 0.843 versus RF 0.848, a gap of only 0.005. However, LightGBM achieves the best recall (0.758) among individual models. The RF–LightGBM gap is discussed in Section 7.2.</w:t>
      </w:r>
    </w:p>
    <w:p>
      <w:pPr>
        <w:keepNext/>
        <w:spacing w:before="240" w:after="120"/>
      </w:pPr>
      <w:r>
        <w:rPr>
          <w:rFonts w:ascii="Calibri" w:hAnsi="Calibri"/>
          <w:b/>
          <w:color w:val="186F82"/>
          <w:sz w:val="26"/>
        </w:rPr>
        <w:t>6.8 Calibration</w:t>
      </w:r>
    </w:p>
    <w:p>
      <w:pPr>
        <w:spacing w:after="120" w:line="300" w:lineRule="auto"/>
      </w:pPr>
      <w:r>
        <w:rPr>
          <w:rFonts w:ascii="Calibri" w:hAnsi="Calibri"/>
          <w:color w:val="222632"/>
          <w:sz w:val="22"/>
        </w:rPr>
        <w:t xml:space="preserve">All three tree models are </w:t>
      </w:r>
      <w:r>
        <w:rPr>
          <w:rFonts w:ascii="Calibri" w:hAnsi="Calibri"/>
          <w:b/>
          <w:color w:val="222632"/>
          <w:sz w:val="22"/>
        </w:rPr>
        <w:t>underconfident at low predicted probabilities</w:t>
      </w:r>
      <w:r>
        <w:rPr>
          <w:rFonts w:ascii="Calibri" w:hAnsi="Calibri"/>
          <w:color w:val="222632"/>
          <w:sz w:val="22"/>
        </w:rPr>
        <w:t xml:space="preserve"> — when the model predicts 20 percent probability of depression, the actual rate is higher. Logistic Regression is better calibrated across the probability range, consistent with its known property as a well-calibrated probability estimator.</w:t>
      </w:r>
    </w:p>
    <w:p>
      <w:pPr>
        <w:spacing w:after="120" w:line="300" w:lineRule="auto"/>
      </w:pPr>
      <w:r>
        <w:rPr>
          <w:rFonts w:ascii="Calibri" w:hAnsi="Calibri"/>
          <w:b/>
          <w:color w:val="222632"/>
          <w:sz w:val="22"/>
        </w:rPr>
        <w:t>Isotonic regression calibration</w:t>
      </w:r>
      <w:r>
        <w:rPr>
          <w:rFonts w:ascii="Calibri" w:hAnsi="Calibri"/>
          <w:color w:val="222632"/>
          <w:sz w:val="22"/>
        </w:rPr>
        <w:t xml:space="preserve"> applied to the tuned RF model substantially improves calibration in the 0.2–0.6 probability range with negligible AUC change (0.850 → 0.848). The calibrated RF model is recommended for any deployment context where the predicted probability is used as a clinical risk score rather than simply a binary classification.</w:t>
      </w:r>
    </w:p>
    <w:p>
      <w:pPr>
        <w:spacing w:before="120" w:after="120"/>
        <w:pBdr>
          <w:bottom w:val="single" w:sz="6" w:space="1" w:color="AAAAAA"/>
        </w:pBdr>
      </w:pPr>
    </w:p>
    <w:p>
      <w:pPr>
        <w:keepNext/>
        <w:spacing w:before="240" w:after="120"/>
      </w:pPr>
      <w:r>
        <w:rPr>
          <w:rFonts w:ascii="Calibri" w:hAnsi="Calibri"/>
          <w:b/>
          <w:color w:val="1F2D5C"/>
          <w:sz w:val="32"/>
        </w:rPr>
        <w:t>7. Discussion</w:t>
      </w:r>
    </w:p>
    <w:p>
      <w:pPr>
        <w:keepNext/>
        <w:spacing w:before="240" w:after="120"/>
      </w:pPr>
      <w:r>
        <w:rPr>
          <w:rFonts w:ascii="Calibri" w:hAnsi="Calibri"/>
          <w:b/>
          <w:color w:val="186F82"/>
          <w:sz w:val="26"/>
        </w:rPr>
        <w:t>7.1 Performance in clinical context</w:t>
      </w:r>
    </w:p>
    <w:p>
      <w:pPr>
        <w:spacing w:after="120" w:line="300" w:lineRule="auto"/>
      </w:pPr>
      <w:r>
        <w:rPr>
          <w:rFonts w:ascii="Calibri" w:hAnsi="Calibri"/>
          <w:color w:val="222632"/>
          <w:sz w:val="22"/>
        </w:rPr>
        <w:t xml:space="preserve">The strongest model achieves AUC 0.848. </w:t>
      </w:r>
      <w:r>
        <w:rPr>
          <w:rFonts w:ascii="Calibri" w:hAnsi="Calibri"/>
          <w:b/>
          <w:color w:val="222632"/>
          <w:sz w:val="22"/>
        </w:rPr>
        <w:t>In a population screening scenario applied to 10,000 adults aged 50 and over with 19% prevalence</w:t>
      </w:r>
      <w:r>
        <w:rPr>
          <w:rFonts w:ascii="Calibri" w:hAnsi="Calibri"/>
          <w:color w:val="222632"/>
          <w:sz w:val="22"/>
        </w:rPr>
        <w:t>, the RF model at default threshold would correctly flag approximately 1,358 of the 1,900 individuals who will develop depression (recall 71.4%) while generating approximately 1,392 false alarms (17.3% of 8,100 non-depressed individuals). At the optimal threshold of 0.58, this shifts to fewer but higher-confidence positive predictions, achieving F1 0.606.</w:t>
      </w:r>
    </w:p>
    <w:p>
      <w:pPr>
        <w:spacing w:after="120" w:line="300" w:lineRule="auto"/>
      </w:pPr>
      <w:r>
        <w:rPr>
          <w:rFonts w:ascii="Calibri" w:hAnsi="Calibri"/>
          <w:b/>
          <w:color w:val="222632"/>
          <w:sz w:val="22"/>
        </w:rPr>
        <w:t>Different clinical objectives call for different model choices:</w:t>
      </w:r>
    </w:p>
    <w:p>
      <w:pPr>
        <w:pStyle w:val="ListBullet"/>
        <w:spacing w:after="40" w:line="288" w:lineRule="auto"/>
      </w:pPr>
      <w:r>
        <w:rPr>
          <w:rFonts w:ascii="Calibri" w:hAnsi="Calibri"/>
          <w:b/>
          <w:color w:val="222632"/>
          <w:sz w:val="22"/>
        </w:rPr>
        <w:t>RF tuned</w:t>
      </w:r>
      <w:r>
        <w:rPr>
          <w:rFonts w:ascii="Calibri" w:hAnsi="Calibri"/>
          <w:color w:val="222632"/>
          <w:sz w:val="22"/>
        </w:rPr>
        <w:t xml:space="preserve"> for best overall discrimination.</w:t>
      </w:r>
    </w:p>
    <w:p>
      <w:pPr>
        <w:pStyle w:val="ListBullet"/>
        <w:spacing w:after="40" w:line="288" w:lineRule="auto"/>
      </w:pPr>
      <w:r>
        <w:rPr>
          <w:rFonts w:ascii="Calibri" w:hAnsi="Calibri"/>
          <w:b/>
          <w:color w:val="222632"/>
          <w:sz w:val="22"/>
        </w:rPr>
        <w:t>Stacking ensemble</w:t>
      </w:r>
      <w:r>
        <w:rPr>
          <w:rFonts w:ascii="Calibri" w:hAnsi="Calibri"/>
          <w:color w:val="222632"/>
          <w:sz w:val="22"/>
        </w:rPr>
        <w:t xml:space="preserve"> or </w:t>
      </w:r>
      <w:r>
        <w:rPr>
          <w:rFonts w:ascii="Calibri" w:hAnsi="Calibri"/>
          <w:b/>
          <w:color w:val="222632"/>
          <w:sz w:val="22"/>
        </w:rPr>
        <w:t>LightGBM</w:t>
      </w:r>
      <w:r>
        <w:rPr>
          <w:rFonts w:ascii="Calibri" w:hAnsi="Calibri"/>
          <w:color w:val="222632"/>
          <w:sz w:val="22"/>
        </w:rPr>
        <w:t xml:space="preserve"> for maximum case detection (highest recall).</w:t>
      </w:r>
    </w:p>
    <w:p>
      <w:pPr>
        <w:pStyle w:val="ListBullet"/>
        <w:spacing w:after="40" w:line="288" w:lineRule="auto"/>
      </w:pPr>
      <w:r>
        <w:rPr>
          <w:rFonts w:ascii="Calibri" w:hAnsi="Calibri"/>
          <w:b/>
          <w:color w:val="222632"/>
          <w:sz w:val="22"/>
        </w:rPr>
        <w:t>LR</w:t>
      </w:r>
      <w:r>
        <w:rPr>
          <w:rFonts w:ascii="Calibri" w:hAnsi="Calibri"/>
          <w:color w:val="222632"/>
          <w:sz w:val="22"/>
        </w:rPr>
        <w:t xml:space="preserve"> for clinical explainability (transparent coefficients).</w:t>
      </w:r>
    </w:p>
    <w:p>
      <w:pPr>
        <w:pStyle w:val="ListBullet"/>
        <w:spacing w:after="40" w:line="288" w:lineRule="auto"/>
      </w:pPr>
      <w:r>
        <w:rPr>
          <w:rFonts w:ascii="Calibri" w:hAnsi="Calibri"/>
          <w:b/>
          <w:color w:val="222632"/>
          <w:sz w:val="22"/>
        </w:rPr>
        <w:t>Calibrated RF</w:t>
      </w:r>
      <w:r>
        <w:rPr>
          <w:rFonts w:ascii="Calibri" w:hAnsi="Calibri"/>
          <w:color w:val="222632"/>
          <w:sz w:val="22"/>
        </w:rPr>
        <w:t xml:space="preserve"> when the probability value itself is used for risk stratification.</w:t>
      </w:r>
    </w:p>
    <w:p>
      <w:pPr>
        <w:spacing w:after="120" w:line="300" w:lineRule="auto"/>
      </w:pPr>
      <w:r>
        <w:rPr>
          <w:rFonts w:ascii="Calibri" w:hAnsi="Calibri"/>
          <w:color w:val="222632"/>
          <w:sz w:val="22"/>
        </w:rPr>
        <w:t>A more concrete deployment scenario: imagine a GP practice that already records ELSA-style data through routine over-50 health checks. The model could flag, say, the 200 patients out of 1,000 with the highest predicted depression risk. Those 200 would be invited for a 15-minute clinical interview using a validated diagnostic tool (e.g. PHQ-9 or structured clinical interview). Roughly 100 of them (precision ~50%) would meet criteria for early intervention; the other 900 patients are not screened in detail, saving substantial clinician time. Of the 1,000, about 142 would actually develop depression in the next 2-4 years; the model catches ~100 of them (71% recall). Compared to no targeted screening, this is a meaningful improvement in early detection.</w:t>
      </w:r>
    </w:p>
    <w:p>
      <w:pPr>
        <w:keepNext/>
        <w:spacing w:before="240" w:after="120"/>
      </w:pPr>
      <w:r>
        <w:rPr>
          <w:rFonts w:ascii="Calibri" w:hAnsi="Calibri"/>
          <w:b/>
          <w:color w:val="186F82"/>
          <w:sz w:val="26"/>
        </w:rPr>
        <w:t>7.2 Why RF outperforms LightGBM</w:t>
      </w:r>
    </w:p>
    <w:p>
      <w:pPr>
        <w:spacing w:after="120" w:line="300" w:lineRule="auto"/>
      </w:pPr>
      <w:r>
        <w:rPr>
          <w:rFonts w:ascii="Calibri" w:hAnsi="Calibri"/>
          <w:color w:val="222632"/>
          <w:sz w:val="22"/>
        </w:rPr>
        <w:t>RF performing marginally better than LightGBM is contrary to Zhao et al. (2025) but explicable on three grounds:</w:t>
      </w:r>
    </w:p>
    <w:p>
      <w:pPr>
        <w:pStyle w:val="ListBullet"/>
        <w:spacing w:after="40" w:line="288" w:lineRule="auto"/>
      </w:pPr>
      <w:r>
        <w:rPr>
          <w:rFonts w:ascii="Calibri" w:hAnsi="Calibri"/>
          <w:b/>
          <w:color w:val="222632"/>
          <w:sz w:val="22"/>
        </w:rPr>
        <w:t>Sample size.</w:t>
      </w:r>
      <w:r>
        <w:rPr>
          <w:rFonts w:ascii="Calibri" w:hAnsi="Calibri"/>
          <w:color w:val="222632"/>
          <w:sz w:val="22"/>
        </w:rPr>
        <w:t xml:space="preserve"> Our training sample of approximately 5,400 participants is at the lower end for gradient boosting to show its full advantage over bagging. RF's variance-reduction strategy is more robust at this scale.</w:t>
      </w:r>
    </w:p>
    <w:p>
      <w:pPr>
        <w:pStyle w:val="ListBullet"/>
        <w:spacing w:after="40" w:line="288" w:lineRule="auto"/>
      </w:pPr>
      <w:r>
        <w:rPr>
          <w:rFonts w:ascii="Calibri" w:hAnsi="Calibri"/>
          <w:b/>
          <w:color w:val="222632"/>
          <w:sz w:val="22"/>
        </w:rPr>
        <w:t>Feature complexity.</w:t>
      </w:r>
      <w:r>
        <w:rPr>
          <w:rFonts w:ascii="Calibri" w:hAnsi="Calibri"/>
          <w:color w:val="222632"/>
          <w:sz w:val="22"/>
        </w:rPr>
        <w:t xml:space="preserve"> Our feature set consists of integer-coded survey responses with limited deep non-linearity, which suits RF's bagging approach over the deeper tree-on-tree boosting that LightGBM exploits best.</w:t>
      </w:r>
    </w:p>
    <w:p>
      <w:pPr>
        <w:pStyle w:val="ListBullet"/>
        <w:spacing w:after="40" w:line="288" w:lineRule="auto"/>
      </w:pPr>
      <w:r>
        <w:rPr>
          <w:rFonts w:ascii="Calibri" w:hAnsi="Calibri"/>
          <w:b/>
          <w:color w:val="222632"/>
          <w:sz w:val="22"/>
        </w:rPr>
        <w:t>Hyperparameter exploration.</w:t>
      </w:r>
      <w:r>
        <w:rPr>
          <w:rFonts w:ascii="Calibri" w:hAnsi="Calibri"/>
          <w:color w:val="222632"/>
          <w:sz w:val="22"/>
        </w:rPr>
        <w:t xml:space="preserve"> Thirty-iteration </w:t>
      </w:r>
      <w:r>
        <w:rPr>
          <w:rFonts w:ascii="Consolas" w:hAnsi="Consolas"/>
          <w:color w:val="1F2D5C"/>
          <w:sz w:val="20"/>
        </w:rPr>
        <w:t>RandomizedSearchCV</w:t>
      </w:r>
      <w:r>
        <w:rPr>
          <w:rFonts w:ascii="Calibri" w:hAnsi="Calibri"/>
          <w:color w:val="222632"/>
          <w:sz w:val="22"/>
        </w:rPr>
        <w:t xml:space="preserve"> may under-explore LightGBM's sensitive hyperparameter space (learning rate, leaves, regularisation interact). A larger search budget (≥100 iterations) might recover the gap.</w:t>
      </w:r>
    </w:p>
    <w:p>
      <w:pPr>
        <w:spacing w:after="120" w:line="300" w:lineRule="auto"/>
      </w:pPr>
      <w:r>
        <w:rPr>
          <w:rFonts w:ascii="Calibri" w:hAnsi="Calibri"/>
          <w:color w:val="222632"/>
          <w:sz w:val="22"/>
        </w:rPr>
        <w:t>Zhao et al. used a larger cross-sectional sample without longitudinal attrition constraints — an approximately 30% larger effective sample — which favours boosting.</w:t>
      </w:r>
    </w:p>
    <w:p>
      <w:pPr>
        <w:keepNext/>
        <w:spacing w:before="240" w:after="120"/>
      </w:pPr>
      <w:r>
        <w:rPr>
          <w:rFonts w:ascii="Calibri" w:hAnsi="Calibri"/>
          <w:b/>
          <w:color w:val="186F82"/>
          <w:sz w:val="26"/>
        </w:rPr>
        <w:t>7.3 What the model's output means</w:t>
      </w:r>
    </w:p>
    <w:p>
      <w:pPr>
        <w:spacing w:after="120" w:line="300" w:lineRule="auto"/>
      </w:pPr>
      <w:r>
        <w:rPr>
          <w:rFonts w:ascii="Calibri" w:hAnsi="Calibri"/>
          <w:color w:val="222632"/>
          <w:sz w:val="22"/>
        </w:rPr>
        <w:t>For any person aged 50+ whose Wave 6 and Wave 7 ELSA-style answers are available, the model produces:</w:t>
      </w:r>
    </w:p>
    <w:p>
      <w:pPr>
        <w:pStyle w:val="ListBullet"/>
        <w:spacing w:after="40" w:line="288" w:lineRule="auto"/>
      </w:pPr>
      <w:r>
        <w:rPr>
          <w:rFonts w:ascii="Calibri" w:hAnsi="Calibri"/>
          <w:b/>
          <w:color w:val="222632"/>
          <w:sz w:val="22"/>
        </w:rPr>
        <w:t>A probability between 0 and 1</w:t>
      </w:r>
      <w:r>
        <w:rPr>
          <w:rFonts w:ascii="Calibri" w:hAnsi="Calibri"/>
          <w:color w:val="222632"/>
          <w:sz w:val="22"/>
        </w:rPr>
        <w:t xml:space="preserve"> — the model's estimate of the chance this person will score CES-D ≥ 3 at Wave 8 (i.e. show clinically significant depressive symptoms 2–4 years from now).</w:t>
      </w:r>
    </w:p>
    <w:p>
      <w:pPr>
        <w:pStyle w:val="ListBullet"/>
        <w:spacing w:after="40" w:line="288" w:lineRule="auto"/>
      </w:pPr>
      <w:r>
        <w:rPr>
          <w:rFonts w:ascii="Calibri" w:hAnsi="Calibri"/>
          <w:b/>
          <w:color w:val="222632"/>
          <w:sz w:val="22"/>
        </w:rPr>
        <w:t>A binary label</w:t>
      </w:r>
      <w:r>
        <w:rPr>
          <w:rFonts w:ascii="Calibri" w:hAnsi="Calibri"/>
          <w:color w:val="222632"/>
          <w:sz w:val="22"/>
        </w:rPr>
        <w:t xml:space="preserve"> — depressed (1) or not depressed (0), thresholded at 0.5 by default or 0.58 at the F1-optimal point.</w:t>
      </w:r>
    </w:p>
    <w:p>
      <w:pPr>
        <w:pStyle w:val="ListBullet"/>
        <w:spacing w:after="40" w:line="288" w:lineRule="auto"/>
      </w:pPr>
      <w:r>
        <w:rPr>
          <w:rFonts w:ascii="Calibri" w:hAnsi="Calibri"/>
          <w:b/>
          <w:color w:val="222632"/>
          <w:sz w:val="22"/>
        </w:rPr>
        <w:t>Calibrated probabilities</w:t>
      </w:r>
      <w:r>
        <w:rPr>
          <w:rFonts w:ascii="Calibri" w:hAnsi="Calibri"/>
          <w:color w:val="222632"/>
          <w:sz w:val="22"/>
        </w:rPr>
        <w:t xml:space="preserve"> — after isotonic regression, these are trustworthy: a "30% chance" really means 30 in 100 such people will develop depression.</w:t>
      </w:r>
    </w:p>
    <w:p>
      <w:pPr>
        <w:spacing w:after="120" w:line="300" w:lineRule="auto"/>
      </w:pPr>
      <w:r>
        <w:rPr>
          <w:rFonts w:ascii="Calibri" w:hAnsi="Calibri"/>
          <w:color w:val="222632"/>
          <w:sz w:val="22"/>
        </w:rPr>
        <w:t xml:space="preserve">What it </w:t>
      </w:r>
      <w:r>
        <w:rPr>
          <w:rFonts w:ascii="Calibri" w:hAnsi="Calibri"/>
          <w:b/>
          <w:color w:val="222632"/>
          <w:sz w:val="22"/>
        </w:rPr>
        <w:t>is</w:t>
      </w:r>
      <w:r>
        <w:rPr>
          <w:rFonts w:ascii="Calibri" w:hAnsi="Calibri"/>
          <w:color w:val="222632"/>
          <w:sz w:val="22"/>
        </w:rPr>
        <w:t xml:space="preserve"> vs what it </w:t>
      </w:r>
      <w:r>
        <w:rPr>
          <w:rFonts w:ascii="Calibri" w:hAnsi="Calibri"/>
          <w:b/>
          <w:color w:val="222632"/>
          <w:sz w:val="22"/>
        </w:rPr>
        <w:t>is not</w:t>
      </w:r>
      <w:r>
        <w:rPr>
          <w:rFonts w:ascii="Calibri" w:hAnsi="Calibri"/>
          <w:color w:val="222632"/>
          <w:sz w:val="22"/>
        </w:rPr>
        <w:t>:</w:t>
      </w:r>
    </w:p>
    <w:tbl>
      <w:tblPr>
        <w:tblStyle w:val="LightGrid-Accent1"/>
        <w:tblW w:type="auto" w:w="0"/>
        <w:jc w:val="left"/>
        <w:tblLayout w:type="autofit"/>
        <w:tblLook w:firstColumn="1" w:firstRow="1" w:lastColumn="0" w:lastRow="0" w:noHBand="0" w:noVBand="1" w:val="04A0"/>
      </w:tblPr>
      <w:tblGrid>
        <w:gridCol w:w="4873"/>
        <w:gridCol w:w="4873"/>
      </w:tblGrid>
      <w:tr>
        <w:tc>
          <w:tcPr>
            <w:tcW w:type="dxa" w:w="4873"/>
            <w:vAlign w:val="center"/>
            <w:shd w:val="clear" w:color="auto" w:fill="1F2D5C"/>
          </w:tcPr>
          <w:p>
            <w:r/>
            <w:r>
              <w:rPr>
                <w:rFonts w:ascii="Calibri" w:hAnsi="Calibri"/>
                <w:b/>
                <w:color w:val="FFFFFF"/>
                <w:sz w:val="21"/>
              </w:rPr>
              <w:t>It is</w:t>
            </w:r>
          </w:p>
        </w:tc>
        <w:tc>
          <w:tcPr>
            <w:tcW w:type="dxa" w:w="4873"/>
            <w:vAlign w:val="center"/>
            <w:shd w:val="clear" w:color="auto" w:fill="1F2D5C"/>
          </w:tcPr>
          <w:p>
            <w:r/>
            <w:r>
              <w:rPr>
                <w:rFonts w:ascii="Calibri" w:hAnsi="Calibri"/>
                <w:b/>
                <w:color w:val="FFFFFF"/>
                <w:sz w:val="21"/>
              </w:rPr>
              <w:t>It is not</w:t>
            </w:r>
          </w:p>
        </w:tc>
      </w:tr>
      <w:tr>
        <w:tc>
          <w:tcPr>
            <w:tcW w:type="dxa" w:w="4873"/>
            <w:vAlign w:val="center"/>
          </w:tcPr>
          <w:p>
            <w:r/>
            <w:r>
              <w:rPr>
                <w:rFonts w:ascii="Calibri" w:hAnsi="Calibri"/>
                <w:color w:val="222632"/>
                <w:sz w:val="20"/>
              </w:rPr>
              <w:t xml:space="preserve">A risk </w:t>
            </w:r>
            <w:r>
              <w:rPr>
                <w:rFonts w:ascii="Calibri" w:hAnsi="Calibri"/>
                <w:i/>
                <w:color w:val="222632"/>
                <w:sz w:val="20"/>
              </w:rPr>
              <w:t>probability</w:t>
            </w:r>
            <w:r>
              <w:rPr>
                <w:rFonts w:ascii="Calibri" w:hAnsi="Calibri"/>
                <w:color w:val="222632"/>
                <w:sz w:val="20"/>
              </w:rPr>
              <w:t xml:space="preserve"> for elevated depressive symptomatology</w:t>
            </w:r>
          </w:p>
        </w:tc>
        <w:tc>
          <w:tcPr>
            <w:tcW w:type="dxa" w:w="4873"/>
            <w:vAlign w:val="center"/>
          </w:tcPr>
          <w:p>
            <w:r/>
            <w:r>
              <w:rPr>
                <w:rFonts w:ascii="Calibri" w:hAnsi="Calibri"/>
                <w:color w:val="222632"/>
                <w:sz w:val="20"/>
              </w:rPr>
              <w:t>A diagnosis of Major Depressive Disorder</w:t>
            </w:r>
          </w:p>
        </w:tc>
      </w:tr>
      <w:tr>
        <w:tc>
          <w:tcPr>
            <w:tcW w:type="dxa" w:w="4873"/>
            <w:vAlign w:val="center"/>
          </w:tcPr>
          <w:p>
            <w:r/>
            <w:r>
              <w:rPr>
                <w:rFonts w:ascii="Calibri" w:hAnsi="Calibri"/>
                <w:color w:val="222632"/>
                <w:sz w:val="20"/>
              </w:rPr>
              <w:t>A correlation-based predictor</w:t>
            </w:r>
          </w:p>
        </w:tc>
        <w:tc>
          <w:tcPr>
            <w:tcW w:type="dxa" w:w="4873"/>
            <w:vAlign w:val="center"/>
          </w:tcPr>
          <w:p>
            <w:r/>
            <w:r>
              <w:rPr>
                <w:rFonts w:ascii="Calibri" w:hAnsi="Calibri"/>
                <w:color w:val="222632"/>
                <w:sz w:val="20"/>
              </w:rPr>
              <w:t>A causal model</w:t>
            </w:r>
          </w:p>
        </w:tc>
      </w:tr>
      <w:tr>
        <w:tc>
          <w:tcPr>
            <w:tcW w:type="dxa" w:w="4873"/>
            <w:vAlign w:val="center"/>
          </w:tcPr>
          <w:p>
            <w:r/>
            <w:r>
              <w:rPr>
                <w:rFonts w:ascii="Calibri" w:hAnsi="Calibri"/>
                <w:color w:val="222632"/>
                <w:sz w:val="20"/>
              </w:rPr>
              <w:t>Validated on the English population aged 50+</w:t>
            </w:r>
          </w:p>
        </w:tc>
        <w:tc>
          <w:tcPr>
            <w:tcW w:type="dxa" w:w="4873"/>
            <w:vAlign w:val="center"/>
          </w:tcPr>
          <w:p>
            <w:r/>
            <w:r>
              <w:rPr>
                <w:rFonts w:ascii="Calibri" w:hAnsi="Calibri"/>
                <w:color w:val="222632"/>
                <w:sz w:val="20"/>
              </w:rPr>
              <w:t>Validated on younger adults, non-English populations, or institutionalised individuals</w:t>
            </w:r>
          </w:p>
        </w:tc>
      </w:tr>
      <w:tr>
        <w:tc>
          <w:tcPr>
            <w:tcW w:type="dxa" w:w="4873"/>
            <w:vAlign w:val="center"/>
          </w:tcPr>
          <w:p>
            <w:r/>
            <w:r>
              <w:rPr>
                <w:rFonts w:ascii="Calibri" w:hAnsi="Calibri"/>
                <w:color w:val="222632"/>
                <w:sz w:val="20"/>
              </w:rPr>
              <w:t>Useful as a population-screening prioritisation tool</w:t>
            </w:r>
          </w:p>
        </w:tc>
        <w:tc>
          <w:tcPr>
            <w:tcW w:type="dxa" w:w="4873"/>
            <w:vAlign w:val="center"/>
          </w:tcPr>
          <w:p>
            <w:r/>
            <w:r>
              <w:rPr>
                <w:rFonts w:ascii="Calibri" w:hAnsi="Calibri"/>
                <w:color w:val="222632"/>
                <w:sz w:val="20"/>
              </w:rPr>
              <w:t>Useful as a standalone clinical instrument</w:t>
            </w:r>
          </w:p>
        </w:tc>
      </w:tr>
      <w:tr>
        <w:tc>
          <w:tcPr>
            <w:tcW w:type="dxa" w:w="4873"/>
            <w:vAlign w:val="center"/>
          </w:tcPr>
          <w:p>
            <w:r/>
            <w:r>
              <w:rPr>
                <w:rFonts w:ascii="Calibri" w:hAnsi="Calibri"/>
                <w:color w:val="222632"/>
                <w:sz w:val="20"/>
              </w:rPr>
              <w:t>Honest about uncertainty (calibrated probabilities)</w:t>
            </w:r>
          </w:p>
        </w:tc>
        <w:tc>
          <w:tcPr>
            <w:tcW w:type="dxa" w:w="4873"/>
            <w:vAlign w:val="center"/>
          </w:tcPr>
          <w:p>
            <w:r/>
            <w:r>
              <w:rPr>
                <w:rFonts w:ascii="Calibri" w:hAnsi="Calibri"/>
                <w:color w:val="222632"/>
                <w:sz w:val="20"/>
              </w:rPr>
              <w:t>A black-box "yes/no" verdict</w:t>
            </w:r>
          </w:p>
        </w:tc>
      </w:tr>
    </w:tbl>
    <w:p>
      <w:pPr>
        <w:spacing w:before="120" w:after="120"/>
        <w:pBdr>
          <w:bottom w:val="single" w:sz="6" w:space="1" w:color="AAAAAA"/>
        </w:pBdr>
      </w:pPr>
    </w:p>
    <w:p>
      <w:pPr>
        <w:keepNext/>
        <w:spacing w:before="240" w:after="120"/>
      </w:pPr>
      <w:r>
        <w:rPr>
          <w:rFonts w:ascii="Calibri" w:hAnsi="Calibri"/>
          <w:b/>
          <w:color w:val="1F2D5C"/>
          <w:sz w:val="32"/>
        </w:rPr>
        <w:t>8. Limitations</w:t>
      </w:r>
    </w:p>
    <w:p>
      <w:pPr>
        <w:keepNext/>
        <w:spacing w:before="240" w:after="120"/>
      </w:pPr>
      <w:r>
        <w:rPr>
          <w:rFonts w:ascii="Calibri" w:hAnsi="Calibri"/>
          <w:b/>
          <w:color w:val="186F82"/>
          <w:sz w:val="26"/>
        </w:rPr>
        <w:t>Methodological</w:t>
      </w:r>
    </w:p>
    <w:p>
      <w:pPr>
        <w:pStyle w:val="ListBullet"/>
        <w:spacing w:after="40" w:line="288" w:lineRule="auto"/>
      </w:pPr>
      <w:r>
        <w:rPr>
          <w:rFonts w:ascii="Calibri" w:hAnsi="Calibri"/>
          <w:b/>
          <w:color w:val="222632"/>
          <w:sz w:val="22"/>
        </w:rPr>
        <w:t>Prior depression dominates.</w:t>
      </w:r>
      <w:r>
        <w:rPr>
          <w:rFonts w:ascii="Calibri" w:hAnsi="Calibri"/>
          <w:color w:val="222632"/>
          <w:sz w:val="22"/>
        </w:rPr>
        <w:t xml:space="preserve"> Removing CES-D drops AUC from 0.848 to 0.773. The model's main signal is depression history (state dependence). The leakage sensitivity is what rescues the clinical novelty claim.</w:t>
      </w:r>
    </w:p>
    <w:p>
      <w:pPr>
        <w:pStyle w:val="ListBullet"/>
        <w:spacing w:after="40" w:line="288" w:lineRule="auto"/>
      </w:pPr>
      <w:r>
        <w:rPr>
          <w:rFonts w:ascii="Calibri" w:hAnsi="Calibri"/>
          <w:b/>
          <w:color w:val="222632"/>
          <w:sz w:val="22"/>
        </w:rPr>
        <w:t>Survivorship / attrition bias.</w:t>
      </w:r>
      <w:r>
        <w:rPr>
          <w:rFonts w:ascii="Calibri" w:hAnsi="Calibri"/>
          <w:color w:val="222632"/>
          <w:sz w:val="22"/>
        </w:rPr>
        <w:t xml:space="preserve"> Our analytic sample requires presence in all three waves. About 30% of Wave 6 respondents are excluded — and those people may be older, sicker, more isolated, or institutionalised, exactly the population at highest risk. The model likely underestimates true population risk.</w:t>
      </w:r>
    </w:p>
    <w:p>
      <w:pPr>
        <w:pStyle w:val="ListBullet"/>
        <w:spacing w:after="40" w:line="288" w:lineRule="auto"/>
      </w:pPr>
      <w:r>
        <w:rPr>
          <w:rFonts w:ascii="Calibri" w:hAnsi="Calibri"/>
          <w:b/>
          <w:color w:val="222632"/>
          <w:sz w:val="22"/>
        </w:rPr>
        <w:t>CES-D ≥ 3 is screening, not diagnosis.</w:t>
      </w:r>
      <w:r>
        <w:rPr>
          <w:rFonts w:ascii="Calibri" w:hAnsi="Calibri"/>
          <w:color w:val="222632"/>
          <w:sz w:val="22"/>
        </w:rPr>
        <w:t xml:space="preserve"> It captures elevated depressive symptomatology, not Major Depressive Disorder. The CES-D threshold of 3 is a convenient binary cutoff applied to a continuous scale; regression models predicting the continuous score would provide richer characterisation. A person flagged by the model needs clinical confirmation before any treatment decision.</w:t>
      </w:r>
    </w:p>
    <w:p>
      <w:pPr>
        <w:pStyle w:val="ListBullet"/>
        <w:spacing w:after="40" w:line="288" w:lineRule="auto"/>
      </w:pPr>
      <w:r>
        <w:rPr>
          <w:rFonts w:ascii="Calibri" w:hAnsi="Calibri"/>
          <w:b/>
          <w:color w:val="222632"/>
          <w:sz w:val="22"/>
        </w:rPr>
        <w:t>Observational design.</w:t>
      </w:r>
      <w:r>
        <w:rPr>
          <w:rFonts w:ascii="Calibri" w:hAnsi="Calibri"/>
          <w:color w:val="222632"/>
          <w:sz w:val="22"/>
        </w:rPr>
        <w:t xml:space="preserve"> We identify </w:t>
      </w:r>
      <w:r>
        <w:rPr>
          <w:rFonts w:ascii="Calibri" w:hAnsi="Calibri"/>
          <w:i/>
          <w:color w:val="222632"/>
          <w:sz w:val="22"/>
        </w:rPr>
        <w:t>predictors</w:t>
      </w:r>
      <w:r>
        <w:rPr>
          <w:rFonts w:ascii="Calibri" w:hAnsi="Calibri"/>
          <w:color w:val="222632"/>
          <w:sz w:val="22"/>
        </w:rPr>
        <w:t xml:space="preserve">, not </w:t>
      </w:r>
      <w:r>
        <w:rPr>
          <w:rFonts w:ascii="Calibri" w:hAnsi="Calibri"/>
          <w:i/>
          <w:color w:val="222632"/>
          <w:sz w:val="22"/>
        </w:rPr>
        <w:t>causes</w:t>
      </w:r>
      <w:r>
        <w:rPr>
          <w:rFonts w:ascii="Calibri" w:hAnsi="Calibri"/>
          <w:color w:val="222632"/>
          <w:sz w:val="22"/>
        </w:rPr>
        <w:t>. Low wealth predicts depression; we cannot say poverty causes depression from this analysis alone — there may be unmeasured confounders (childhood adversity, undiagnosed physical illness, social network).</w:t>
      </w:r>
    </w:p>
    <w:p>
      <w:pPr>
        <w:pStyle w:val="ListBullet"/>
        <w:spacing w:after="40" w:line="288" w:lineRule="auto"/>
      </w:pPr>
      <w:r>
        <w:rPr>
          <w:rFonts w:ascii="Calibri" w:hAnsi="Calibri"/>
          <w:b/>
          <w:color w:val="222632"/>
          <w:sz w:val="22"/>
        </w:rPr>
        <w:t>Class imbalance trade-off.</w:t>
      </w:r>
      <w:r>
        <w:rPr>
          <w:rFonts w:ascii="Calibri" w:hAnsi="Calibri"/>
          <w:color w:val="222632"/>
          <w:sz w:val="22"/>
        </w:rPr>
        <w:t xml:space="preserve"> Precision for the depressed class is moderate (~49%). About half of model-flagged people would not develop depression. In a screening context this is acceptable; in a confirmatory context it is not.</w:t>
      </w:r>
    </w:p>
    <w:p>
      <w:pPr>
        <w:pStyle w:val="ListBullet"/>
        <w:spacing w:after="40" w:line="288" w:lineRule="auto"/>
      </w:pPr>
      <w:r>
        <w:rPr>
          <w:rFonts w:ascii="Calibri" w:hAnsi="Calibri"/>
          <w:b/>
          <w:color w:val="222632"/>
          <w:sz w:val="22"/>
        </w:rPr>
        <w:t>Excluded variables.</w:t>
      </w:r>
      <w:r>
        <w:rPr>
          <w:rFonts w:ascii="Calibri" w:hAnsi="Calibri"/>
          <w:color w:val="222632"/>
          <w:sz w:val="22"/>
        </w:rPr>
        <w:t xml:space="preserve"> The neighbourhood deprivation index (</w:t>
      </w:r>
      <w:r>
        <w:rPr>
          <w:rFonts w:ascii="Consolas" w:hAnsi="Consolas"/>
          <w:color w:val="1F2D5C"/>
          <w:sz w:val="20"/>
        </w:rPr>
        <w:t>ndepriv</w:t>
      </w:r>
      <w:r>
        <w:rPr>
          <w:rFonts w:ascii="Calibri" w:hAnsi="Calibri"/>
          <w:color w:val="222632"/>
          <w:sz w:val="22"/>
        </w:rPr>
        <w:t>) was excluded due to wave-symmetry enforcement. It may carry independent area-level socioeconomic signal beyond household-level financial difficulty.</w:t>
      </w:r>
    </w:p>
    <w:p>
      <w:pPr>
        <w:pStyle w:val="ListBullet"/>
        <w:spacing w:after="40" w:line="288" w:lineRule="auto"/>
      </w:pPr>
      <w:r>
        <w:rPr>
          <w:rFonts w:ascii="Calibri" w:hAnsi="Calibri"/>
          <w:b/>
          <w:color w:val="222632"/>
          <w:sz w:val="22"/>
        </w:rPr>
        <w:t>Hyperparameter budget.</w:t>
      </w:r>
      <w:r>
        <w:rPr>
          <w:rFonts w:ascii="Calibri" w:hAnsi="Calibri"/>
          <w:color w:val="222632"/>
          <w:sz w:val="22"/>
        </w:rPr>
        <w:t xml:space="preserve"> Thirty-iteration </w:t>
      </w:r>
      <w:r>
        <w:rPr>
          <w:rFonts w:ascii="Consolas" w:hAnsi="Consolas"/>
          <w:color w:val="1F2D5C"/>
          <w:sz w:val="20"/>
        </w:rPr>
        <w:t>RandomizedSearchCV</w:t>
      </w:r>
      <w:r>
        <w:rPr>
          <w:rFonts w:ascii="Calibri" w:hAnsi="Calibri"/>
          <w:color w:val="222632"/>
          <w:sz w:val="22"/>
        </w:rPr>
        <w:t xml:space="preserve"> may under-explore LightGBM's hyperparameter space, partially explaining the RF vs LGBM AUC gap.</w:t>
      </w:r>
    </w:p>
    <w:p>
      <w:pPr>
        <w:pStyle w:val="ListBullet"/>
        <w:spacing w:after="40" w:line="288" w:lineRule="auto"/>
      </w:pPr>
      <w:r>
        <w:rPr>
          <w:rFonts w:ascii="Calibri" w:hAnsi="Calibri"/>
          <w:b/>
          <w:color w:val="222632"/>
          <w:sz w:val="22"/>
        </w:rPr>
        <w:t>Generalisability boundaries.</w:t>
      </w:r>
      <w:r>
        <w:rPr>
          <w:rFonts w:ascii="Calibri" w:hAnsi="Calibri"/>
          <w:color w:val="222632"/>
          <w:sz w:val="22"/>
        </w:rPr>
        <w:t xml:space="preserve"> ELSA samples English adults aged 50 and over. Findings may not generalise to younger populations, non-English contexts, or institutionalised residents. ELSA cohort effects also mean today's 50-year-olds are not the 50-year-olds in our sample.</w:t>
      </w:r>
    </w:p>
    <w:p>
      <w:pPr>
        <w:keepNext/>
        <w:spacing w:before="240" w:after="120"/>
      </w:pPr>
      <w:r>
        <w:rPr>
          <w:rFonts w:ascii="Calibri" w:hAnsi="Calibri"/>
          <w:b/>
          <w:color w:val="186F82"/>
          <w:sz w:val="26"/>
        </w:rPr>
        <w:t>Technical (acknowledged from PR review process)</w:t>
      </w:r>
    </w:p>
    <w:p>
      <w:pPr>
        <w:pStyle w:val="ListBullet"/>
        <w:spacing w:after="40" w:line="288" w:lineRule="auto"/>
      </w:pPr>
      <w:r>
        <w:rPr>
          <w:rFonts w:ascii="Calibri" w:hAnsi="Calibri"/>
          <w:b/>
          <w:color w:val="222632"/>
          <w:sz w:val="22"/>
        </w:rPr>
        <w:t>Missingness filter is computed once on a training split, not within each CV fold.</w:t>
      </w:r>
      <w:r>
        <w:rPr>
          <w:rFonts w:ascii="Calibri" w:hAnsi="Calibri"/>
          <w:color w:val="222632"/>
          <w:sz w:val="22"/>
        </w:rPr>
        <w:t xml:space="preserve"> The gold standard for nested validation would wrap the missingness gate inside a custom transformer fit per fold. In practice the only column dropped (</w:t>
      </w:r>
      <w:r>
        <w:rPr>
          <w:rFonts w:ascii="Consolas" w:hAnsi="Consolas"/>
          <w:color w:val="1F2D5C"/>
          <w:sz w:val="20"/>
        </w:rPr>
        <w:t>ndepriv_w7</w:t>
      </w:r>
      <w:r>
        <w:rPr>
          <w:rFonts w:ascii="Calibri" w:hAnsi="Calibri"/>
          <w:color w:val="222632"/>
          <w:sz w:val="22"/>
        </w:rPr>
        <w:t xml:space="preserve"> at 56%) would be dropped under any reasonable split, so the simplification has no practical impact.</w:t>
      </w:r>
    </w:p>
    <w:p>
      <w:pPr>
        <w:pStyle w:val="ListBullet"/>
        <w:spacing w:after="40" w:line="288" w:lineRule="auto"/>
      </w:pPr>
      <w:r>
        <w:rPr>
          <w:rFonts w:ascii="Calibri" w:hAnsi="Calibri"/>
          <w:b/>
          <w:color w:val="222632"/>
          <w:sz w:val="22"/>
        </w:rPr>
        <w:t>Engineered features bypass the missingness gate.</w:t>
      </w:r>
      <w:r>
        <w:rPr>
          <w:rFonts w:ascii="Calibri" w:hAnsi="Calibri"/>
          <w:color w:val="222632"/>
          <w:sz w:val="22"/>
        </w:rPr>
        <w:t xml:space="preserve"> All 10 derived features have &lt;0.3% missingness in our data, so this is theoretical only — but a production pipeline should apply the same gate uniformly.</w:t>
      </w:r>
    </w:p>
    <w:p>
      <w:pPr>
        <w:pStyle w:val="ListBullet"/>
        <w:spacing w:after="40" w:line="288" w:lineRule="auto"/>
      </w:pPr>
      <w:r>
        <w:rPr>
          <w:rFonts w:ascii="Calibri" w:hAnsi="Calibri"/>
          <w:b/>
          <w:color w:val="222632"/>
          <w:sz w:val="22"/>
        </w:rPr>
        <w:t>Logistic regression coefficients are on a standardised scale.</w:t>
      </w:r>
      <w:r>
        <w:rPr>
          <w:rFonts w:ascii="Calibri" w:hAnsi="Calibri"/>
          <w:color w:val="222632"/>
          <w:sz w:val="22"/>
        </w:rPr>
        <w:t xml:space="preserve"> Because features pass through </w:t>
      </w:r>
      <w:r>
        <w:rPr>
          <w:rFonts w:ascii="Consolas" w:hAnsi="Consolas"/>
          <w:color w:val="1F2D5C"/>
          <w:sz w:val="20"/>
        </w:rPr>
        <w:t>StandardScaler</w:t>
      </w:r>
      <w:r>
        <w:rPr>
          <w:rFonts w:ascii="Calibri" w:hAnsi="Calibri"/>
          <w:color w:val="222632"/>
          <w:sz w:val="22"/>
        </w:rPr>
        <w:t xml:space="preserve"> before LR, the reported coefficients are log-odds per 1 SD change, not per 1 raw unit. This is labelled correctly on the plot but should be noted when interpreting.</w:t>
      </w:r>
    </w:p>
    <w:p>
      <w:pPr>
        <w:pStyle w:val="ListBullet"/>
        <w:spacing w:after="40" w:line="288" w:lineRule="auto"/>
      </w:pPr>
      <w:r>
        <w:rPr>
          <w:rFonts w:ascii="Calibri" w:hAnsi="Calibri"/>
          <w:b/>
          <w:color w:val="222632"/>
          <w:sz w:val="22"/>
        </w:rPr>
        <w:t>`functional_burden` uses `+` rather than `sum(..., min_count=1)`</w:t>
      </w:r>
      <w:r>
        <w:rPr>
          <w:rFonts w:ascii="Calibri" w:hAnsi="Calibri"/>
          <w:color w:val="222632"/>
          <w:sz w:val="22"/>
        </w:rPr>
        <w:t xml:space="preserve"> — meaning if either ADL or IADL is fully missing, the burden score is NaN even if the other component is present. In our data this scenario does not occur (ADL and IADL come from the same questionnaire block) but the implementation is not maximally NaN-tolerant.</w:t>
      </w:r>
    </w:p>
    <w:p>
      <w:pPr>
        <w:spacing w:before="120" w:after="120"/>
        <w:pBdr>
          <w:bottom w:val="single" w:sz="6" w:space="1" w:color="AAAAAA"/>
        </w:pBdr>
      </w:pPr>
    </w:p>
    <w:p>
      <w:pPr>
        <w:keepNext/>
        <w:spacing w:before="240" w:after="120"/>
      </w:pPr>
      <w:r>
        <w:rPr>
          <w:rFonts w:ascii="Calibri" w:hAnsi="Calibri"/>
          <w:b/>
          <w:color w:val="1F2D5C"/>
          <w:sz w:val="32"/>
        </w:rPr>
        <w:t>9. Future Directions</w:t>
      </w:r>
    </w:p>
    <w:p>
      <w:pPr>
        <w:pStyle w:val="ListBullet"/>
        <w:spacing w:after="40" w:line="288" w:lineRule="auto"/>
      </w:pPr>
      <w:r>
        <w:rPr>
          <w:rFonts w:ascii="Calibri" w:hAnsi="Calibri"/>
          <w:b/>
          <w:color w:val="222632"/>
          <w:sz w:val="22"/>
        </w:rPr>
        <w:t>Incident depression model.</w:t>
      </w:r>
      <w:r>
        <w:rPr>
          <w:rFonts w:ascii="Calibri" w:hAnsi="Calibri"/>
          <w:color w:val="222632"/>
          <w:sz w:val="22"/>
        </w:rPr>
        <w:t xml:space="preserve"> Exclude participants with CES-D ≥ 3 at baseline (W6) and predict only first-onset depression at W8. This is harder but more clinically meaningful.</w:t>
      </w:r>
    </w:p>
    <w:p>
      <w:pPr>
        <w:pStyle w:val="ListBullet"/>
        <w:spacing w:after="40" w:line="288" w:lineRule="auto"/>
      </w:pPr>
      <w:r>
        <w:rPr>
          <w:rFonts w:ascii="Calibri" w:hAnsi="Calibri"/>
          <w:b/>
          <w:color w:val="222632"/>
          <w:sz w:val="22"/>
        </w:rPr>
        <w:t>External validation.</w:t>
      </w:r>
      <w:r>
        <w:rPr>
          <w:rFonts w:ascii="Calibri" w:hAnsi="Calibri"/>
          <w:color w:val="222632"/>
          <w:sz w:val="22"/>
        </w:rPr>
        <w:t xml:space="preserve"> Test the trained pipeline on the US Health and Retirement Study (HRS), the Survey of Health, Ageing and Retirement in Europe (SHARE), and the Irish Longitudinal Study on Ageing (TILDA). All three use harmonised CES-D measures and could test cross-population generalisability.</w:t>
      </w:r>
    </w:p>
    <w:p>
      <w:pPr>
        <w:pStyle w:val="ListBullet"/>
        <w:spacing w:after="40" w:line="288" w:lineRule="auto"/>
      </w:pPr>
      <w:r>
        <w:rPr>
          <w:rFonts w:ascii="Calibri" w:hAnsi="Calibri"/>
          <w:b/>
          <w:color w:val="222632"/>
          <w:sz w:val="22"/>
        </w:rPr>
        <w:t>Nurse visit biomarkers.</w:t>
      </w:r>
      <w:r>
        <w:rPr>
          <w:rFonts w:ascii="Calibri" w:hAnsi="Calibri"/>
          <w:color w:val="222632"/>
          <w:sz w:val="22"/>
        </w:rPr>
        <w:t xml:space="preserve"> ELSA collects blood pressure, BMI, grip strength, and inflammatory markers (CRP, fibrinogen) from nurse visits at Waves 2, 4, 6, and 8. None were used here. Adding biological signal could distinguish physical-decline-driven depression from socially-driven depression.</w:t>
      </w:r>
    </w:p>
    <w:p>
      <w:pPr>
        <w:pStyle w:val="ListBullet"/>
        <w:spacing w:after="40" w:line="288" w:lineRule="auto"/>
      </w:pPr>
      <w:r>
        <w:rPr>
          <w:rFonts w:ascii="Calibri" w:hAnsi="Calibri"/>
          <w:b/>
          <w:color w:val="222632"/>
          <w:sz w:val="22"/>
        </w:rPr>
        <w:t>Multi-wave trajectory modelling.</w:t>
      </w:r>
      <w:r>
        <w:rPr>
          <w:rFonts w:ascii="Calibri" w:hAnsi="Calibri"/>
          <w:color w:val="222632"/>
          <w:sz w:val="22"/>
        </w:rPr>
        <w:t xml:space="preserve"> Rather than two snapshots (W6, W7), latent growth curve models or recurrent neural networks could capture richer temporal patterns across many waves.</w:t>
      </w:r>
    </w:p>
    <w:p>
      <w:pPr>
        <w:pStyle w:val="ListBullet"/>
        <w:spacing w:after="40" w:line="288" w:lineRule="auto"/>
      </w:pPr>
      <w:r>
        <w:rPr>
          <w:rFonts w:ascii="Calibri" w:hAnsi="Calibri"/>
          <w:b/>
          <w:color w:val="222632"/>
          <w:sz w:val="22"/>
        </w:rPr>
        <w:t>Subgroup fairness analysis.</w:t>
      </w:r>
      <w:r>
        <w:rPr>
          <w:rFonts w:ascii="Calibri" w:hAnsi="Calibri"/>
          <w:color w:val="222632"/>
          <w:sz w:val="22"/>
        </w:rPr>
        <w:t xml:space="preserve"> Are the predictors equally informative across sex, ethnicity, and socioeconomic strata? Differential calibration is a major fairness concern in clinical ML and was not evaluated here.</w:t>
      </w:r>
    </w:p>
    <w:p>
      <w:pPr>
        <w:pStyle w:val="ListBullet"/>
        <w:spacing w:after="40" w:line="288" w:lineRule="auto"/>
      </w:pPr>
      <w:r>
        <w:rPr>
          <w:rFonts w:ascii="Calibri" w:hAnsi="Calibri"/>
          <w:b/>
          <w:color w:val="222632"/>
          <w:sz w:val="22"/>
        </w:rPr>
        <w:t>Cost-effectiveness modelling.</w:t>
      </w:r>
      <w:r>
        <w:rPr>
          <w:rFonts w:ascii="Calibri" w:hAnsi="Calibri"/>
          <w:color w:val="222632"/>
          <w:sz w:val="22"/>
        </w:rPr>
        <w:t xml:space="preserve"> Combined with intervention efficacy data (e.g. CBT acceptance and remission rates in this population), the model's outputs could feed a Markov decision-process analysis estimating quality-adjusted life-years (QALYs) gained per pound of screening cost.</w:t>
      </w:r>
    </w:p>
    <w:p>
      <w:pPr>
        <w:pStyle w:val="ListBullet"/>
        <w:spacing w:after="40" w:line="288" w:lineRule="auto"/>
      </w:pPr>
      <w:r>
        <w:rPr>
          <w:rFonts w:ascii="Calibri" w:hAnsi="Calibri"/>
          <w:b/>
          <w:color w:val="222632"/>
          <w:sz w:val="22"/>
        </w:rPr>
        <w:t>Wider hyperparameter sweep for LightGBM</w:t>
      </w:r>
      <w:r>
        <w:rPr>
          <w:rFonts w:ascii="Calibri" w:hAnsi="Calibri"/>
          <w:color w:val="222632"/>
          <w:sz w:val="22"/>
        </w:rPr>
        <w:t xml:space="preserve"> with at least 100 iterations to confirm or close the RF–LGBM gap.</w:t>
      </w:r>
    </w:p>
    <w:p>
      <w:pPr>
        <w:spacing w:before="120" w:after="120"/>
        <w:pBdr>
          <w:bottom w:val="single" w:sz="6" w:space="1" w:color="AAAAAA"/>
        </w:pBdr>
      </w:pPr>
    </w:p>
    <w:p>
      <w:pPr>
        <w:keepNext/>
        <w:spacing w:before="240" w:after="120"/>
      </w:pPr>
      <w:r>
        <w:rPr>
          <w:rFonts w:ascii="Calibri" w:hAnsi="Calibri"/>
          <w:b/>
          <w:color w:val="1F2D5C"/>
          <w:sz w:val="32"/>
        </w:rPr>
        <w:t>10. Pipeline Summary</w:t>
      </w:r>
    </w:p>
    <w:p>
      <w:pPr>
        <w:spacing w:before="80" w:after="160"/>
        <w:ind w:left="283"/>
        <w:shd w:val="clear" w:color="auto" w:fill="F4F5F7"/>
      </w:pPr>
      <w:r>
        <w:rPr>
          <w:rFonts w:ascii="Consolas" w:hAnsi="Consolas"/>
          <w:color w:val="1F2D5C"/>
          <w:sz w:val="19"/>
        </w:rPr>
        <w:t>ELSA UKDA-5050 Stata files</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[1. Audit] — Akeeb</w:t>
      </w:r>
      <w:r>
        <w:br/>
      </w:r>
      <w:r>
        <w:rPr>
          <w:rFonts w:ascii="Consolas" w:hAnsi="Consolas"/>
          <w:color w:val="1F2D5C"/>
          <w:sz w:val="19"/>
        </w:rPr>
        <w:t xml:space="preserve">   waves, CES-D quality, feature overlap, attrition</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[2. Wave selection] — W6, W7, W8 (highest consecutive overlap)</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[3. Data load + merge] — IFS + Core + Financial, inner join on idauniq</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[4. Outcome] — cesd_sc_w8 ≥ 3 → binary label</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[5. Preprocessing]</w:t>
      </w:r>
      <w:r>
        <w:br/>
      </w:r>
      <w:r>
        <w:rPr>
          <w:rFonts w:ascii="Consolas" w:hAnsi="Consolas"/>
          <w:color w:val="1F2D5C"/>
          <w:sz w:val="19"/>
        </w:rPr>
        <w:t xml:space="preserve">   • Recode survey missing codes (-1, -2, -8, -9 → NaN)</w:t>
      </w:r>
      <w:r>
        <w:br/>
      </w:r>
      <w:r>
        <w:rPr>
          <w:rFonts w:ascii="Consolas" w:hAnsi="Consolas"/>
          <w:color w:val="1F2D5C"/>
          <w:sz w:val="19"/>
        </w:rPr>
        <w:t xml:space="preserve">   • Drop columns &gt;40% missing (training-only estimate)</w:t>
      </w:r>
      <w:r>
        <w:br/>
      </w:r>
      <w:r>
        <w:rPr>
          <w:rFonts w:ascii="Consolas" w:hAnsi="Consolas"/>
          <w:color w:val="1F2D5C"/>
          <w:sz w:val="19"/>
        </w:rPr>
        <w:t xml:space="preserve">   • Wave-symmetry enforcement</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[6. Feature engineering]</w:t>
      </w:r>
      <w:r>
        <w:br/>
      </w:r>
      <w:r>
        <w:rPr>
          <w:rFonts w:ascii="Consolas" w:hAnsi="Consolas"/>
          <w:color w:val="1F2D5C"/>
          <w:sz w:val="19"/>
        </w:rPr>
        <w:t xml:space="preserve">   • cesd_change, mobility/ADL/IADL counts</w:t>
      </w:r>
      <w:r>
        <w:br/>
      </w:r>
      <w:r>
        <w:rPr>
          <w:rFonts w:ascii="Consolas" w:hAnsi="Consolas"/>
          <w:color w:val="1F2D5C"/>
          <w:sz w:val="19"/>
        </w:rPr>
        <w:t xml:space="preserve">   • functional_burden, mobility_change</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[7. Three prediction arms]</w:t>
      </w:r>
      <w:r>
        <w:br/>
      </w:r>
      <w:r>
        <w:rPr>
          <w:rFonts w:ascii="Consolas" w:hAnsi="Consolas"/>
          <w:color w:val="1F2D5C"/>
          <w:sz w:val="19"/>
        </w:rPr>
        <w:t xml:space="preserve">   • W6 only (~4yr)  • W7 only (~2yr)  • W6+W7 (combined)</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[8. Five configs per arm]</w:t>
      </w:r>
      <w:r>
        <w:br/>
      </w:r>
      <w:r>
        <w:rPr>
          <w:rFonts w:ascii="Consolas" w:hAnsi="Consolas"/>
          <w:color w:val="1F2D5C"/>
          <w:sz w:val="19"/>
        </w:rPr>
        <w:t xml:space="preserve">   • full • no_cesd • health_only • function_cog • socioeconomic</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[9. Four models per config]</w:t>
      </w:r>
      <w:r>
        <w:br/>
      </w:r>
      <w:r>
        <w:rPr>
          <w:rFonts w:ascii="Consolas" w:hAnsi="Consolas"/>
          <w:color w:val="1F2D5C"/>
          <w:sz w:val="19"/>
        </w:rPr>
        <w:t xml:space="preserve">   • LR • RF • XGBoost • LightGBM (60 baseline experiments)</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[10. Tune best config per arm]</w:t>
      </w:r>
      <w:r>
        <w:br/>
      </w:r>
      <w:r>
        <w:rPr>
          <w:rFonts w:ascii="Consolas" w:hAnsi="Consolas"/>
          <w:color w:val="1F2D5C"/>
          <w:sz w:val="19"/>
        </w:rPr>
        <w:t xml:space="preserve">   • RandomizedSearchCV (30 iter, 5-fold CV) on RF/XGB/LGBM</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[11. Evaluate on held-out test set]</w:t>
      </w:r>
      <w:r>
        <w:br/>
      </w:r>
      <w:r>
        <w:rPr>
          <w:rFonts w:ascii="Consolas" w:hAnsi="Consolas"/>
          <w:color w:val="1F2D5C"/>
          <w:sz w:val="19"/>
        </w:rPr>
        <w:t xml:space="preserve">   • ROC-AUC, F1, Precision, Recall, Confusion matrix, Calibration</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[12. Interpretation]</w:t>
      </w:r>
      <w:r>
        <w:br/>
      </w:r>
      <w:r>
        <w:rPr>
          <w:rFonts w:ascii="Consolas" w:hAnsi="Consolas"/>
          <w:color w:val="1F2D5C"/>
          <w:sz w:val="19"/>
        </w:rPr>
        <w:t xml:space="preserve">   • Domain ablation • SHAP Act 1 (full) • SHAP Act 2 (no CES-D)</w:t>
      </w:r>
      <w:r>
        <w:br/>
      </w:r>
      <w:r>
        <w:rPr>
          <w:rFonts w:ascii="Consolas" w:hAnsi="Consolas"/>
          <w:color w:val="1F2D5C"/>
          <w:sz w:val="19"/>
        </w:rPr>
        <w:t xml:space="preserve">   • LR coefs • LightGBM gain • Feature correlation</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[13. Sensitivity + ensembles]</w:t>
      </w:r>
      <w:r>
        <w:br/>
      </w:r>
      <w:r>
        <w:rPr>
          <w:rFonts w:ascii="Consolas" w:hAnsi="Consolas"/>
          <w:color w:val="1F2D5C"/>
          <w:sz w:val="19"/>
        </w:rPr>
        <w:t xml:space="preserve">   • Leakage analysis (with vs without prior CES-D, all 3 arms)</w:t>
      </w:r>
      <w:r>
        <w:br/>
      </w:r>
      <w:r>
        <w:rPr>
          <w:rFonts w:ascii="Consolas" w:hAnsi="Consolas"/>
          <w:color w:val="1F2D5C"/>
          <w:sz w:val="19"/>
        </w:rPr>
        <w:t xml:space="preserve">   • Soft-vote (RF+XGB+LGBM) • Stacking (RF+LGBM, LR meta)</w:t>
      </w:r>
      <w:r>
        <w:br/>
      </w:r>
      <w:r>
        <w:rPr>
          <w:rFonts w:ascii="Consolas" w:hAnsi="Consolas"/>
          <w:color w:val="1F2D5C"/>
          <w:sz w:val="19"/>
        </w:rPr>
        <w:t xml:space="preserve">   • Threshold optimisation</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[14. Reporting]</w:t>
      </w:r>
      <w:r>
        <w:br/>
      </w:r>
      <w:r>
        <w:rPr>
          <w:rFonts w:ascii="Consolas" w:hAnsi="Consolas"/>
          <w:color w:val="1F2D5C"/>
          <w:sz w:val="19"/>
        </w:rPr>
        <w:t xml:space="preserve">   • 16 figures, 6 results CSVs, this report, presentation</w:t>
      </w:r>
    </w:p>
    <w:p>
      <w:pPr>
        <w:spacing w:before="120" w:after="120"/>
        <w:pBdr>
          <w:bottom w:val="single" w:sz="6" w:space="1" w:color="AAAAAA"/>
        </w:pBdr>
      </w:pPr>
    </w:p>
    <w:p>
      <w:pPr>
        <w:keepNext/>
        <w:spacing w:before="240" w:after="120"/>
      </w:pPr>
      <w:r>
        <w:rPr>
          <w:rFonts w:ascii="Calibri" w:hAnsi="Calibri"/>
          <w:b/>
          <w:color w:val="1F2D5C"/>
          <w:sz w:val="32"/>
        </w:rPr>
        <w:t>11. Reproducibility</w:t>
      </w:r>
    </w:p>
    <w:p>
      <w:pPr>
        <w:spacing w:after="120" w:line="300" w:lineRule="auto"/>
      </w:pPr>
      <w:r>
        <w:rPr>
          <w:rFonts w:ascii="Calibri" w:hAnsi="Calibri"/>
          <w:color w:val="222632"/>
          <w:sz w:val="22"/>
        </w:rPr>
        <w:t>The submission notebook (</w:t>
      </w:r>
      <w:r>
        <w:rPr>
          <w:rFonts w:ascii="Consolas" w:hAnsi="Consolas"/>
          <w:color w:val="1F2D5C"/>
          <w:sz w:val="20"/>
        </w:rPr>
        <w:t>submission/ELSA_Depression_Prediction.ipynb</w:t>
      </w:r>
      <w:r>
        <w:rPr>
          <w:rFonts w:ascii="Calibri" w:hAnsi="Calibri"/>
          <w:color w:val="222632"/>
          <w:sz w:val="22"/>
        </w:rPr>
        <w:t>) is designed to run end-to-end in a single Colab session. The user sets one path variable (</w:t>
      </w:r>
      <w:r>
        <w:rPr>
          <w:rFonts w:ascii="Consolas" w:hAnsi="Consolas"/>
          <w:color w:val="1F2D5C"/>
          <w:sz w:val="20"/>
        </w:rPr>
        <w:t>ELSA_PATH</w:t>
      </w:r>
      <w:r>
        <w:rPr>
          <w:rFonts w:ascii="Calibri" w:hAnsi="Calibri"/>
          <w:color w:val="222632"/>
          <w:sz w:val="22"/>
        </w:rPr>
        <w:t>) pointing to either a downloaded UKDA-5050 zip file or the extracted folder. The notebook installs missing dependencies, locates the Stata files, runs all 60 baseline experiments + 9 tuning rounds + ensembles + threshold optimisation + calibration, and exports figures and CSVs to Google Drive.</w:t>
      </w:r>
    </w:p>
    <w:p>
      <w:pPr>
        <w:spacing w:after="120" w:line="300" w:lineRule="auto"/>
      </w:pPr>
      <w:r>
        <w:rPr>
          <w:rFonts w:ascii="Calibri" w:hAnsi="Calibri"/>
          <w:color w:val="222632"/>
          <w:sz w:val="22"/>
        </w:rPr>
        <w:t xml:space="preserve">A </w:t>
      </w:r>
      <w:r>
        <w:rPr>
          <w:rFonts w:ascii="Consolas" w:hAnsi="Consolas"/>
          <w:color w:val="1F2D5C"/>
          <w:sz w:val="20"/>
        </w:rPr>
        <w:t>FAST_MODE</w:t>
      </w:r>
      <w:r>
        <w:rPr>
          <w:rFonts w:ascii="Calibri" w:hAnsi="Calibri"/>
          <w:color w:val="222632"/>
          <w:sz w:val="22"/>
        </w:rPr>
        <w:t xml:space="preserve"> flag in Section 0.4 of the notebook controls the runtime/precision trade-off. With </w:t>
      </w:r>
      <w:r>
        <w:rPr>
          <w:rFonts w:ascii="Consolas" w:hAnsi="Consolas"/>
          <w:color w:val="1F2D5C"/>
          <w:sz w:val="20"/>
        </w:rPr>
        <w:t>FAST_MODE = True</w:t>
      </w:r>
      <w:r>
        <w:rPr>
          <w:rFonts w:ascii="Calibri" w:hAnsi="Calibri"/>
          <w:color w:val="222632"/>
          <w:sz w:val="22"/>
        </w:rPr>
        <w:t xml:space="preserve"> (default) the tuning sweep uses 10 iterations × 3-fold CV and SHAP samples 200 rows, completing in ~15-25 min on a Colab CPU runtime. With </w:t>
      </w:r>
      <w:r>
        <w:rPr>
          <w:rFonts w:ascii="Consolas" w:hAnsi="Consolas"/>
          <w:color w:val="1F2D5C"/>
          <w:sz w:val="20"/>
        </w:rPr>
        <w:t>FAST_MODE = False</w:t>
      </w:r>
      <w:r>
        <w:rPr>
          <w:rFonts w:ascii="Calibri" w:hAnsi="Calibri"/>
          <w:color w:val="222632"/>
          <w:sz w:val="22"/>
        </w:rPr>
        <w:t xml:space="preserve"> the full 30-iteration × 5-fold tuning and 500-row SHAP run, reproducing the exact headline AUCs in this report at a cost of ~60-90 min on Colab CPU. The fast-mode AUCs typically land within 0.005-0.010 of the values reported in Tables 4 and 6; the cross-arm ordering, leakage drop, SHAP rankings, and clinical conclusions are unchanged.</w:t>
      </w:r>
    </w:p>
    <w:p>
      <w:pPr>
        <w:spacing w:after="120" w:line="300" w:lineRule="auto"/>
      </w:pPr>
      <w:r>
        <w:rPr>
          <w:rFonts w:ascii="Calibri" w:hAnsi="Calibri"/>
          <w:color w:val="222632"/>
          <w:sz w:val="22"/>
        </w:rPr>
        <w:t>A fixed random seed (</w:t>
      </w:r>
      <w:r>
        <w:rPr>
          <w:rFonts w:ascii="Consolas" w:hAnsi="Consolas"/>
          <w:color w:val="1F2D5C"/>
          <w:sz w:val="20"/>
        </w:rPr>
        <w:t>SEED=42</w:t>
      </w:r>
      <w:r>
        <w:rPr>
          <w:rFonts w:ascii="Calibri" w:hAnsi="Calibri"/>
          <w:color w:val="222632"/>
          <w:sz w:val="22"/>
        </w:rPr>
        <w:t>) is used throughout. All splits, CV folds, hyperparameter searches, and SHAP samples are deterministic. Any user with UKDS access can reproduce every figure and every number in this report.</w:t>
      </w:r>
    </w:p>
    <w:p>
      <w:pPr>
        <w:spacing w:before="120" w:after="120"/>
        <w:pBdr>
          <w:bottom w:val="single" w:sz="6" w:space="1" w:color="AAAAAA"/>
        </w:pBdr>
      </w:pPr>
    </w:p>
    <w:p>
      <w:pPr>
        <w:keepNext/>
        <w:spacing w:before="240" w:after="120"/>
      </w:pPr>
      <w:r>
        <w:rPr>
          <w:rFonts w:ascii="Calibri" w:hAnsi="Calibri"/>
          <w:b/>
          <w:color w:val="1F2D5C"/>
          <w:sz w:val="32"/>
        </w:rPr>
        <w:t>12. Team Contributions</w:t>
      </w:r>
    </w:p>
    <w:p>
      <w:pPr>
        <w:spacing w:after="120" w:line="300" w:lineRule="auto"/>
      </w:pPr>
      <w:r>
        <w:rPr>
          <w:rFonts w:ascii="Calibri" w:hAnsi="Calibri"/>
          <w:color w:val="222632"/>
          <w:sz w:val="22"/>
        </w:rPr>
        <w:t>See [</w:t>
      </w:r>
      <w:r>
        <w:rPr>
          <w:rFonts w:ascii="Consolas" w:hAnsi="Consolas"/>
          <w:color w:val="1F2D5C"/>
          <w:sz w:val="20"/>
        </w:rPr>
        <w:t>team_contributions.md</w:t>
      </w:r>
      <w:r>
        <w:rPr>
          <w:rFonts w:ascii="Calibri" w:hAnsi="Calibri"/>
          <w:color w:val="222632"/>
          <w:sz w:val="22"/>
        </w:rPr>
        <w:t>](team_contributions.md) for the full per-member narrative. Brief summary:</w:t>
      </w:r>
    </w:p>
    <w:p>
      <w:pPr>
        <w:pStyle w:val="ListBullet"/>
        <w:spacing w:after="40" w:line="288" w:lineRule="auto"/>
      </w:pPr>
      <w:r>
        <w:rPr>
          <w:rFonts w:ascii="Calibri" w:hAnsi="Calibri"/>
          <w:b/>
          <w:color w:val="222632"/>
          <w:sz w:val="22"/>
        </w:rPr>
        <w:t>Akeeb Lawel</w:t>
      </w:r>
      <w:r>
        <w:rPr>
          <w:rFonts w:ascii="Calibri" w:hAnsi="Calibri"/>
          <w:color w:val="222632"/>
          <w:sz w:val="22"/>
        </w:rPr>
        <w:t xml:space="preserve"> — Data audit, wave selection, feature funnel</w:t>
      </w:r>
    </w:p>
    <w:p>
      <w:pPr>
        <w:pStyle w:val="ListBullet"/>
        <w:spacing w:after="40" w:line="288" w:lineRule="auto"/>
      </w:pPr>
      <w:r>
        <w:rPr>
          <w:rFonts w:ascii="Calibri" w:hAnsi="Calibri"/>
          <w:b/>
          <w:color w:val="222632"/>
          <w:sz w:val="22"/>
        </w:rPr>
        <w:t>Fiyin Akano</w:t>
      </w:r>
      <w:r>
        <w:rPr>
          <w:rFonts w:ascii="Calibri" w:hAnsi="Calibri"/>
          <w:color w:val="222632"/>
          <w:sz w:val="22"/>
        </w:rPr>
        <w:t xml:space="preserve"> — Original W6+W7 pipeline, CES-D fix, leakage analysis, project report, presentation deck, PR review process</w:t>
      </w:r>
    </w:p>
    <w:p>
      <w:pPr>
        <w:pStyle w:val="ListBullet"/>
        <w:spacing w:after="40" w:line="288" w:lineRule="auto"/>
      </w:pPr>
      <w:r>
        <w:rPr>
          <w:rFonts w:ascii="Calibri" w:hAnsi="Calibri"/>
          <w:b/>
          <w:color w:val="222632"/>
          <w:sz w:val="22"/>
        </w:rPr>
        <w:t>Zannat Chowdhury Sagar</w:t>
      </w:r>
      <w:r>
        <w:rPr>
          <w:rFonts w:ascii="Calibri" w:hAnsi="Calibri"/>
          <w:color w:val="222632"/>
          <w:sz w:val="22"/>
        </w:rPr>
        <w:t xml:space="preserve"> — Preprocessing baseline, enhanced pipeline (XGBoost/LightGBM/tuning/SHAP/calibration/stacking), final submission notebook, methods &amp; findings report</w:t>
      </w:r>
    </w:p>
    <w:p>
      <w:pPr>
        <w:pStyle w:val="ListBullet"/>
        <w:spacing w:after="40" w:line="288" w:lineRule="auto"/>
      </w:pPr>
      <w:r>
        <w:rPr>
          <w:rFonts w:ascii="Calibri" w:hAnsi="Calibri"/>
          <w:b/>
          <w:color w:val="222632"/>
          <w:sz w:val="22"/>
        </w:rPr>
        <w:t>Giridhar Nampally, Pushkar Jadhav, Poorna Golla</w:t>
      </w:r>
      <w:r>
        <w:rPr>
          <w:rFonts w:ascii="Calibri" w:hAnsi="Calibri"/>
          <w:color w:val="222632"/>
          <w:sz w:val="22"/>
        </w:rPr>
        <w:t xml:space="preserve"> — see contributions doc</w:t>
      </w:r>
    </w:p>
    <w:p>
      <w:pPr>
        <w:spacing w:before="120" w:after="120"/>
        <w:pBdr>
          <w:bottom w:val="single" w:sz="6" w:space="1" w:color="AAAAAA"/>
        </w:pBdr>
      </w:pPr>
    </w:p>
    <w:p>
      <w:pPr>
        <w:keepNext/>
        <w:spacing w:before="240" w:after="120"/>
      </w:pPr>
      <w:r>
        <w:rPr>
          <w:rFonts w:ascii="Calibri" w:hAnsi="Calibri"/>
          <w:b/>
          <w:color w:val="1F2D5C"/>
          <w:sz w:val="32"/>
        </w:rPr>
        <w:t>13. References</w:t>
      </w:r>
    </w:p>
    <w:p>
      <w:pPr>
        <w:spacing w:after="120" w:line="300" w:lineRule="auto"/>
      </w:pPr>
      <w:r>
        <w:rPr>
          <w:rFonts w:ascii="Calibri" w:hAnsi="Calibri"/>
          <w:color w:val="222632"/>
          <w:sz w:val="22"/>
        </w:rPr>
        <w:t xml:space="preserve">Banks, J., Breeze, E., Lessof, C., and Nazroo, J. (Eds.). (2006). </w:t>
      </w:r>
      <w:r>
        <w:rPr>
          <w:rFonts w:ascii="Calibri" w:hAnsi="Calibri"/>
          <w:i/>
          <w:color w:val="222632"/>
          <w:sz w:val="22"/>
        </w:rPr>
        <w:t>Retirement, health and relationships of the older population in England: The 2004 English Longitudinal Study of Ageing</w:t>
      </w:r>
      <w:r>
        <w:rPr>
          <w:rFonts w:ascii="Calibri" w:hAnsi="Calibri"/>
          <w:color w:val="222632"/>
          <w:sz w:val="22"/>
        </w:rPr>
        <w:t>. London: Institute for Fiscal Studies.</w:t>
      </w:r>
    </w:p>
    <w:p>
      <w:pPr>
        <w:spacing w:after="120" w:line="300" w:lineRule="auto"/>
      </w:pPr>
      <w:r>
        <w:rPr>
          <w:rFonts w:ascii="Calibri" w:hAnsi="Calibri"/>
          <w:color w:val="222632"/>
          <w:sz w:val="22"/>
        </w:rPr>
        <w:t xml:space="preserve">Bergstra, J., and Bengio, Y. (2012). Random search for hyper-parameter optimization. </w:t>
      </w:r>
      <w:r>
        <w:rPr>
          <w:rFonts w:ascii="Calibri" w:hAnsi="Calibri"/>
          <w:i/>
          <w:color w:val="222632"/>
          <w:sz w:val="22"/>
        </w:rPr>
        <w:t>Journal of Machine Learning Research</w:t>
      </w:r>
      <w:r>
        <w:rPr>
          <w:rFonts w:ascii="Calibri" w:hAnsi="Calibri"/>
          <w:color w:val="222632"/>
          <w:sz w:val="22"/>
        </w:rPr>
        <w:t>, 13, 281–305.</w:t>
      </w:r>
    </w:p>
    <w:p>
      <w:pPr>
        <w:spacing w:after="120" w:line="300" w:lineRule="auto"/>
      </w:pPr>
      <w:r>
        <w:rPr>
          <w:rFonts w:ascii="Calibri" w:hAnsi="Calibri"/>
          <w:color w:val="222632"/>
          <w:sz w:val="22"/>
        </w:rPr>
        <w:t xml:space="preserve">Ke, G., Meng, Q., Finley, T., Wang, T., Chen, W., Ma, W., Ye, Q., and Liu, T. Y. (2017). LightGBM: A highly efficient gradient boosting decision tree. </w:t>
      </w:r>
      <w:r>
        <w:rPr>
          <w:rFonts w:ascii="Calibri" w:hAnsi="Calibri"/>
          <w:i/>
          <w:color w:val="222632"/>
          <w:sz w:val="22"/>
        </w:rPr>
        <w:t>Advances in Neural Information Processing Systems</w:t>
      </w:r>
      <w:r>
        <w:rPr>
          <w:rFonts w:ascii="Calibri" w:hAnsi="Calibri"/>
          <w:color w:val="222632"/>
          <w:sz w:val="22"/>
        </w:rPr>
        <w:t>, 30.</w:t>
      </w:r>
    </w:p>
    <w:p>
      <w:pPr>
        <w:spacing w:after="120" w:line="300" w:lineRule="auto"/>
      </w:pPr>
      <w:r>
        <w:rPr>
          <w:rFonts w:ascii="Calibri" w:hAnsi="Calibri"/>
          <w:color w:val="222632"/>
          <w:sz w:val="22"/>
        </w:rPr>
        <w:t xml:space="preserve">Kessler, R. C. (2003). Epidemiology of women and depression. </w:t>
      </w:r>
      <w:r>
        <w:rPr>
          <w:rFonts w:ascii="Calibri" w:hAnsi="Calibri"/>
          <w:i/>
          <w:color w:val="222632"/>
          <w:sz w:val="22"/>
        </w:rPr>
        <w:t>Journal of Affective Disorders</w:t>
      </w:r>
      <w:r>
        <w:rPr>
          <w:rFonts w:ascii="Calibri" w:hAnsi="Calibri"/>
          <w:color w:val="222632"/>
          <w:sz w:val="22"/>
        </w:rPr>
        <w:t>, 74(1), 5–13.</w:t>
      </w:r>
    </w:p>
    <w:p>
      <w:pPr>
        <w:spacing w:after="120" w:line="300" w:lineRule="auto"/>
      </w:pPr>
      <w:r>
        <w:rPr>
          <w:rFonts w:ascii="Calibri" w:hAnsi="Calibri"/>
          <w:color w:val="222632"/>
          <w:sz w:val="22"/>
        </w:rPr>
        <w:t xml:space="preserve">Lundberg, S. M., and Lee, S.-I. (2017). A unified approach to interpreting model predictions. </w:t>
      </w:r>
      <w:r>
        <w:rPr>
          <w:rFonts w:ascii="Calibri" w:hAnsi="Calibri"/>
          <w:i/>
          <w:color w:val="222632"/>
          <w:sz w:val="22"/>
        </w:rPr>
        <w:t>Advances in Neural Information Processing Systems</w:t>
      </w:r>
      <w:r>
        <w:rPr>
          <w:rFonts w:ascii="Calibri" w:hAnsi="Calibri"/>
          <w:color w:val="222632"/>
          <w:sz w:val="22"/>
        </w:rPr>
        <w:t>, 30.</w:t>
      </w:r>
    </w:p>
    <w:p>
      <w:pPr>
        <w:spacing w:after="120" w:line="300" w:lineRule="auto"/>
      </w:pPr>
      <w:r>
        <w:rPr>
          <w:rFonts w:ascii="Calibri" w:hAnsi="Calibri"/>
          <w:color w:val="222632"/>
          <w:sz w:val="22"/>
        </w:rPr>
        <w:t xml:space="preserve">Ohrnberger, J., Fichera, E., and Sutton, M. (2017). The relationship between physical and mental health: A mediation analysis. </w:t>
      </w:r>
      <w:r>
        <w:rPr>
          <w:rFonts w:ascii="Calibri" w:hAnsi="Calibri"/>
          <w:i/>
          <w:color w:val="222632"/>
          <w:sz w:val="22"/>
        </w:rPr>
        <w:t>Social Science and Medicine</w:t>
      </w:r>
      <w:r>
        <w:rPr>
          <w:rFonts w:ascii="Calibri" w:hAnsi="Calibri"/>
          <w:color w:val="222632"/>
          <w:sz w:val="22"/>
        </w:rPr>
        <w:t>, 195, 42–49.</w:t>
      </w:r>
    </w:p>
    <w:p>
      <w:pPr>
        <w:spacing w:after="120" w:line="300" w:lineRule="auto"/>
      </w:pPr>
      <w:r>
        <w:rPr>
          <w:rFonts w:ascii="Calibri" w:hAnsi="Calibri"/>
          <w:color w:val="222632"/>
          <w:sz w:val="22"/>
        </w:rPr>
        <w:t xml:space="preserve">Radloff, L. S. (1977). The CES-D scale: A self-report depression scale for research in the general population. </w:t>
      </w:r>
      <w:r>
        <w:rPr>
          <w:rFonts w:ascii="Calibri" w:hAnsi="Calibri"/>
          <w:i/>
          <w:color w:val="222632"/>
          <w:sz w:val="22"/>
        </w:rPr>
        <w:t>Applied Psychological Measurement</w:t>
      </w:r>
      <w:r>
        <w:rPr>
          <w:rFonts w:ascii="Calibri" w:hAnsi="Calibri"/>
          <w:color w:val="222632"/>
          <w:sz w:val="22"/>
        </w:rPr>
        <w:t>, 1(3), 385–401.</w:t>
      </w:r>
    </w:p>
    <w:p>
      <w:pPr>
        <w:spacing w:after="120" w:line="300" w:lineRule="auto"/>
      </w:pPr>
      <w:r>
        <w:rPr>
          <w:rFonts w:ascii="Calibri" w:hAnsi="Calibri"/>
          <w:color w:val="222632"/>
          <w:sz w:val="22"/>
        </w:rPr>
        <w:t xml:space="preserve">Steffick, D. E. (2000). </w:t>
      </w:r>
      <w:r>
        <w:rPr>
          <w:rFonts w:ascii="Calibri" w:hAnsi="Calibri"/>
          <w:i/>
          <w:color w:val="222632"/>
          <w:sz w:val="22"/>
        </w:rPr>
        <w:t>Documentation of affective functioning measures in the Health and Retirement Study</w:t>
      </w:r>
      <w:r>
        <w:rPr>
          <w:rFonts w:ascii="Calibri" w:hAnsi="Calibri"/>
          <w:color w:val="222632"/>
          <w:sz w:val="22"/>
        </w:rPr>
        <w:t>. HRS Documentation Report DR-005. Ann Arbor: University of Michigan.</w:t>
      </w:r>
    </w:p>
    <w:p>
      <w:pPr>
        <w:spacing w:after="120" w:line="300" w:lineRule="auto"/>
      </w:pPr>
      <w:r>
        <w:rPr>
          <w:rFonts w:ascii="Calibri" w:hAnsi="Calibri"/>
          <w:color w:val="222632"/>
          <w:sz w:val="22"/>
        </w:rPr>
        <w:t xml:space="preserve">Turvey, C. L., Wallace, R. B., and Herzog, R. (1999). A revised CES-D measure of depressive symptoms and a DSM-based measure of major depressive episodes in the elderly. </w:t>
      </w:r>
      <w:r>
        <w:rPr>
          <w:rFonts w:ascii="Calibri" w:hAnsi="Calibri"/>
          <w:i/>
          <w:color w:val="222632"/>
          <w:sz w:val="22"/>
        </w:rPr>
        <w:t>International Psychogeriatrics</w:t>
      </w:r>
      <w:r>
        <w:rPr>
          <w:rFonts w:ascii="Calibri" w:hAnsi="Calibri"/>
          <w:color w:val="222632"/>
          <w:sz w:val="22"/>
        </w:rPr>
        <w:t>, 11(2), 139–148.</w:t>
      </w:r>
    </w:p>
    <w:p>
      <w:pPr>
        <w:spacing w:after="120" w:line="300" w:lineRule="auto"/>
      </w:pPr>
      <w:r>
        <w:rPr>
          <w:rFonts w:ascii="Calibri" w:hAnsi="Calibri"/>
          <w:color w:val="222632"/>
          <w:sz w:val="22"/>
        </w:rPr>
        <w:t xml:space="preserve">Zaninotto, P., Sommerlad, A., Kivimaki, M., and Steptoe, A. (2019). The bidirectional association between depressive symptoms and cognitive decline in adults aged over 50. </w:t>
      </w:r>
      <w:r>
        <w:rPr>
          <w:rFonts w:ascii="Calibri" w:hAnsi="Calibri"/>
          <w:i/>
          <w:color w:val="222632"/>
          <w:sz w:val="22"/>
        </w:rPr>
        <w:t>Psychological Medicine</w:t>
      </w:r>
      <w:r>
        <w:rPr>
          <w:rFonts w:ascii="Calibri" w:hAnsi="Calibri"/>
          <w:color w:val="222632"/>
          <w:sz w:val="22"/>
        </w:rPr>
        <w:t>, 47(7), 1321–1334.</w:t>
      </w:r>
    </w:p>
    <w:p>
      <w:pPr>
        <w:spacing w:after="120" w:line="300" w:lineRule="auto"/>
      </w:pPr>
      <w:r>
        <w:rPr>
          <w:rFonts w:ascii="Calibri" w:hAnsi="Calibri"/>
          <w:color w:val="222632"/>
          <w:sz w:val="22"/>
        </w:rPr>
        <w:t xml:space="preserve">Zhao, Y., Wan, X., and Liu, Z. (2025). Machine learning identifies determinants of depressive symptoms in multinational middle-aged and older adults. </w:t>
      </w:r>
      <w:r>
        <w:rPr>
          <w:rFonts w:ascii="Calibri" w:hAnsi="Calibri"/>
          <w:i/>
          <w:color w:val="222632"/>
          <w:sz w:val="22"/>
        </w:rPr>
        <w:t>npj Digital Medicine</w:t>
      </w:r>
      <w:r>
        <w:rPr>
          <w:rFonts w:ascii="Calibri" w:hAnsi="Calibri"/>
          <w:color w:val="222632"/>
          <w:sz w:val="22"/>
        </w:rPr>
        <w:t>.</w:t>
      </w:r>
    </w:p>
    <w:p>
      <w:pPr>
        <w:spacing w:before="120" w:after="120"/>
        <w:pBdr>
          <w:bottom w:val="single" w:sz="6" w:space="1" w:color="AAAAAA"/>
        </w:pBdr>
      </w:pPr>
    </w:p>
    <w:p>
      <w:pPr>
        <w:keepNext/>
        <w:spacing w:before="240" w:after="120"/>
      </w:pPr>
      <w:r>
        <w:rPr>
          <w:rFonts w:ascii="Calibri" w:hAnsi="Calibri"/>
          <w:b/>
          <w:color w:val="1F2D5C"/>
          <w:sz w:val="32"/>
        </w:rPr>
        <w:t>Appendix A — Figures Index</w:t>
      </w:r>
    </w:p>
    <w:p>
      <w:pPr>
        <w:spacing w:after="120" w:line="300" w:lineRule="auto"/>
      </w:pPr>
      <w:r>
        <w:rPr>
          <w:rFonts w:ascii="Calibri" w:hAnsi="Calibri"/>
          <w:color w:val="222632"/>
          <w:sz w:val="22"/>
        </w:rPr>
        <w:t xml:space="preserve">All saved to </w:t>
      </w:r>
      <w:r>
        <w:rPr>
          <w:rFonts w:ascii="Consolas" w:hAnsi="Consolas"/>
          <w:color w:val="1F2D5C"/>
          <w:sz w:val="20"/>
        </w:rPr>
        <w:t>outputs/figures/</w:t>
      </w:r>
      <w:r>
        <w:rPr>
          <w:rFonts w:ascii="Calibri" w:hAnsi="Calibri"/>
          <w:color w:val="222632"/>
          <w:sz w:val="22"/>
        </w:rPr>
        <w:t xml:space="preserve"> and copied to the submission Drive output folder.</w:t>
      </w:r>
    </w:p>
    <w:tbl>
      <w:tblPr>
        <w:tblStyle w:val="LightGrid-Accent1"/>
        <w:tblW w:type="auto" w:w="0"/>
        <w:jc w:val="left"/>
        <w:tblLayout w:type="autofit"/>
        <w:tblLook w:firstColumn="1" w:firstRow="1" w:lastColumn="0" w:lastRow="0" w:noHBand="0" w:noVBand="1" w:val="04A0"/>
      </w:tblPr>
      <w:tblGrid>
        <w:gridCol w:w="3249"/>
        <w:gridCol w:w="3249"/>
        <w:gridCol w:w="3249"/>
      </w:tblGrid>
      <w:tr>
        <w:tc>
          <w:tcPr>
            <w:tcW w:type="dxa" w:w="3249"/>
            <w:vAlign w:val="center"/>
            <w:shd w:val="clear" w:color="auto" w:fill="1F2D5C"/>
          </w:tcPr>
          <w:p>
            <w:r/>
            <w:r>
              <w:rPr>
                <w:rFonts w:ascii="Calibri" w:hAnsi="Calibri"/>
                <w:b/>
                <w:color w:val="FFFFFF"/>
                <w:sz w:val="21"/>
              </w:rPr>
              <w:t>File</w:t>
            </w:r>
          </w:p>
        </w:tc>
        <w:tc>
          <w:tcPr>
            <w:tcW w:type="dxa" w:w="3249"/>
            <w:vAlign w:val="center"/>
            <w:shd w:val="clear" w:color="auto" w:fill="1F2D5C"/>
          </w:tcPr>
          <w:p>
            <w:r/>
            <w:r>
              <w:rPr>
                <w:rFonts w:ascii="Calibri" w:hAnsi="Calibri"/>
                <w:b/>
                <w:color w:val="FFFFFF"/>
                <w:sz w:val="21"/>
              </w:rPr>
              <w:t>Section</w:t>
            </w:r>
          </w:p>
        </w:tc>
        <w:tc>
          <w:tcPr>
            <w:tcW w:type="dxa" w:w="3249"/>
            <w:vAlign w:val="center"/>
            <w:shd w:val="clear" w:color="auto" w:fill="1F2D5C"/>
          </w:tcPr>
          <w:p>
            <w:r/>
            <w:r>
              <w:rPr>
                <w:rFonts w:ascii="Calibri" w:hAnsi="Calibri"/>
                <w:b/>
                <w:color w:val="FFFFFF"/>
                <w:sz w:val="21"/>
              </w:rPr>
              <w:t>Purpose</w:t>
            </w:r>
          </w:p>
        </w:tc>
      </w:tr>
      <w:tr>
        <w:tc>
          <w:tcPr>
            <w:tcW w:type="dxa" w:w="3249"/>
            <w:vAlign w:val="center"/>
          </w:tcPr>
          <w:p>
            <w:r/>
            <w:r>
              <w:rPr>
                <w:rFonts w:ascii="Consolas" w:hAnsi="Consolas"/>
                <w:color w:val="1F2D5C"/>
                <w:sz w:val="18"/>
              </w:rPr>
              <w:t>01_data/outcome_distribution.png</w:t>
            </w:r>
          </w:p>
        </w:tc>
        <w:tc>
          <w:tcPr>
            <w:tcW w:type="dxa" w:w="3249"/>
            <w:vAlign w:val="center"/>
          </w:tcPr>
          <w:p>
            <w:r/>
            <w:r>
              <w:rPr>
                <w:rFonts w:ascii="Calibri" w:hAnsi="Calibri"/>
                <w:color w:val="222632"/>
                <w:sz w:val="20"/>
              </w:rPr>
              <w:t>Background</w:t>
            </w:r>
          </w:p>
        </w:tc>
        <w:tc>
          <w:tcPr>
            <w:tcW w:type="dxa" w:w="3249"/>
            <w:vAlign w:val="center"/>
          </w:tcPr>
          <w:p>
            <w:r/>
            <w:r>
              <w:rPr>
                <w:rFonts w:ascii="Calibri" w:hAnsi="Calibri"/>
                <w:color w:val="222632"/>
                <w:sz w:val="20"/>
              </w:rPr>
              <w:t>CES-D histogram, class balance</w:t>
            </w:r>
          </w:p>
        </w:tc>
      </w:tr>
      <w:tr>
        <w:tc>
          <w:tcPr>
            <w:tcW w:type="dxa" w:w="3249"/>
            <w:vAlign w:val="center"/>
          </w:tcPr>
          <w:p>
            <w:r/>
            <w:r>
              <w:rPr>
                <w:rFonts w:ascii="Consolas" w:hAnsi="Consolas"/>
                <w:color w:val="1F2D5C"/>
                <w:sz w:val="18"/>
              </w:rPr>
              <w:t>02_experiments/auc_all_arms_configs.png</w:t>
            </w:r>
          </w:p>
        </w:tc>
        <w:tc>
          <w:tcPr>
            <w:tcW w:type="dxa" w:w="3249"/>
            <w:vAlign w:val="center"/>
          </w:tcPr>
          <w:p>
            <w:r/>
            <w:r>
              <w:rPr>
                <w:rFonts w:ascii="Calibri" w:hAnsi="Calibri"/>
                <w:color w:val="222632"/>
                <w:sz w:val="20"/>
              </w:rPr>
              <w:t>Experiment</w:t>
            </w:r>
          </w:p>
        </w:tc>
        <w:tc>
          <w:tcPr>
            <w:tcW w:type="dxa" w:w="3249"/>
            <w:vAlign w:val="center"/>
          </w:tcPr>
          <w:p>
            <w:r/>
            <w:r>
              <w:rPr>
                <w:rFonts w:ascii="Calibri" w:hAnsi="Calibri"/>
                <w:color w:val="222632"/>
                <w:sz w:val="20"/>
              </w:rPr>
              <w:t>AUC across all 60 baseline experiments</w:t>
            </w:r>
          </w:p>
        </w:tc>
      </w:tr>
      <w:tr>
        <w:tc>
          <w:tcPr>
            <w:tcW w:type="dxa" w:w="3249"/>
            <w:vAlign w:val="center"/>
          </w:tcPr>
          <w:p>
            <w:r/>
            <w:r>
              <w:rPr>
                <w:rFonts w:ascii="Consolas" w:hAnsi="Consolas"/>
                <w:color w:val="1F2D5C"/>
                <w:sz w:val="18"/>
              </w:rPr>
              <w:t>03_results/arm_comparison.png</w:t>
            </w:r>
          </w:p>
        </w:tc>
        <w:tc>
          <w:tcPr>
            <w:tcW w:type="dxa" w:w="3249"/>
            <w:vAlign w:val="center"/>
          </w:tcPr>
          <w:p>
            <w:r/>
            <w:r>
              <w:rPr>
                <w:rFonts w:ascii="Calibri" w:hAnsi="Calibri"/>
                <w:color w:val="222632"/>
                <w:sz w:val="20"/>
              </w:rPr>
              <w:t>Results</w:t>
            </w:r>
          </w:p>
        </w:tc>
        <w:tc>
          <w:tcPr>
            <w:tcW w:type="dxa" w:w="3249"/>
            <w:vAlign w:val="center"/>
          </w:tcPr>
          <w:p>
            <w:r/>
            <w:r>
              <w:rPr>
                <w:rFonts w:ascii="Calibri" w:hAnsi="Calibri"/>
                <w:color w:val="222632"/>
                <w:sz w:val="20"/>
              </w:rPr>
              <w:t>Cross-arm AUC comparison</w:t>
            </w:r>
          </w:p>
        </w:tc>
      </w:tr>
      <w:tr>
        <w:tc>
          <w:tcPr>
            <w:tcW w:type="dxa" w:w="3249"/>
            <w:vAlign w:val="center"/>
          </w:tcPr>
          <w:p>
            <w:r/>
            <w:r>
              <w:rPr>
                <w:rFonts w:ascii="Consolas" w:hAnsi="Consolas"/>
                <w:color w:val="1F2D5C"/>
                <w:sz w:val="18"/>
              </w:rPr>
              <w:t>03_results/roc_curves.png</w:t>
            </w:r>
          </w:p>
        </w:tc>
        <w:tc>
          <w:tcPr>
            <w:tcW w:type="dxa" w:w="3249"/>
            <w:vAlign w:val="center"/>
          </w:tcPr>
          <w:p>
            <w:r/>
            <w:r>
              <w:rPr>
                <w:rFonts w:ascii="Calibri" w:hAnsi="Calibri"/>
                <w:color w:val="222632"/>
                <w:sz w:val="20"/>
              </w:rPr>
              <w:t>Results</w:t>
            </w:r>
          </w:p>
        </w:tc>
        <w:tc>
          <w:tcPr>
            <w:tcW w:type="dxa" w:w="3249"/>
            <w:vAlign w:val="center"/>
          </w:tcPr>
          <w:p>
            <w:r/>
            <w:r>
              <w:rPr>
                <w:rFonts w:ascii="Calibri" w:hAnsi="Calibri"/>
                <w:color w:val="222632"/>
                <w:sz w:val="20"/>
              </w:rPr>
              <w:t>ROC curves, best model per arm</w:t>
            </w:r>
          </w:p>
        </w:tc>
      </w:tr>
      <w:tr>
        <w:tc>
          <w:tcPr>
            <w:tcW w:type="dxa" w:w="3249"/>
            <w:vAlign w:val="center"/>
          </w:tcPr>
          <w:p>
            <w:r/>
            <w:r>
              <w:rPr>
                <w:rFonts w:ascii="Consolas" w:hAnsi="Consolas"/>
                <w:color w:val="1F2D5C"/>
                <w:sz w:val="18"/>
              </w:rPr>
              <w:t>03_results/pr_curves.png</w:t>
            </w:r>
          </w:p>
        </w:tc>
        <w:tc>
          <w:tcPr>
            <w:tcW w:type="dxa" w:w="3249"/>
            <w:vAlign w:val="center"/>
          </w:tcPr>
          <w:p>
            <w:r/>
            <w:r>
              <w:rPr>
                <w:rFonts w:ascii="Calibri" w:hAnsi="Calibri"/>
                <w:color w:val="222632"/>
                <w:sz w:val="20"/>
              </w:rPr>
              <w:t>Results</w:t>
            </w:r>
          </w:p>
        </w:tc>
        <w:tc>
          <w:tcPr>
            <w:tcW w:type="dxa" w:w="3249"/>
            <w:vAlign w:val="center"/>
          </w:tcPr>
          <w:p>
            <w:r/>
            <w:r>
              <w:rPr>
                <w:rFonts w:ascii="Calibri" w:hAnsi="Calibri"/>
                <w:color w:val="222632"/>
                <w:sz w:val="20"/>
              </w:rPr>
              <w:t>Precision-recall curves</w:t>
            </w:r>
          </w:p>
        </w:tc>
      </w:tr>
      <w:tr>
        <w:tc>
          <w:tcPr>
            <w:tcW w:type="dxa" w:w="3249"/>
            <w:vAlign w:val="center"/>
          </w:tcPr>
          <w:p>
            <w:r/>
            <w:r>
              <w:rPr>
                <w:rFonts w:ascii="Consolas" w:hAnsi="Consolas"/>
                <w:color w:val="1F2D5C"/>
                <w:sz w:val="18"/>
              </w:rPr>
              <w:t>03_results/confusion_matrices.png</w:t>
            </w:r>
          </w:p>
        </w:tc>
        <w:tc>
          <w:tcPr>
            <w:tcW w:type="dxa" w:w="3249"/>
            <w:vAlign w:val="center"/>
          </w:tcPr>
          <w:p>
            <w:r/>
            <w:r>
              <w:rPr>
                <w:rFonts w:ascii="Calibri" w:hAnsi="Calibri"/>
                <w:color w:val="222632"/>
                <w:sz w:val="20"/>
              </w:rPr>
              <w:t>Results</w:t>
            </w:r>
          </w:p>
        </w:tc>
        <w:tc>
          <w:tcPr>
            <w:tcW w:type="dxa" w:w="3249"/>
            <w:vAlign w:val="center"/>
          </w:tcPr>
          <w:p>
            <w:r/>
            <w:r>
              <w:rPr>
                <w:rFonts w:ascii="Calibri" w:hAnsi="Calibri"/>
                <w:color w:val="222632"/>
                <w:sz w:val="20"/>
              </w:rPr>
              <w:t>Test-set confusion matrices</w:t>
            </w:r>
          </w:p>
        </w:tc>
      </w:tr>
      <w:tr>
        <w:tc>
          <w:tcPr>
            <w:tcW w:type="dxa" w:w="3249"/>
            <w:vAlign w:val="center"/>
          </w:tcPr>
          <w:p>
            <w:r/>
            <w:r>
              <w:rPr>
                <w:rFonts w:ascii="Consolas" w:hAnsi="Consolas"/>
                <w:color w:val="1F2D5C"/>
                <w:sz w:val="18"/>
              </w:rPr>
              <w:t>03_results/threshold_optimisation.png</w:t>
            </w:r>
          </w:p>
        </w:tc>
        <w:tc>
          <w:tcPr>
            <w:tcW w:type="dxa" w:w="3249"/>
            <w:vAlign w:val="center"/>
          </w:tcPr>
          <w:p>
            <w:r/>
            <w:r>
              <w:rPr>
                <w:rFonts w:ascii="Calibri" w:hAnsi="Calibri"/>
                <w:color w:val="222632"/>
                <w:sz w:val="20"/>
              </w:rPr>
              <w:t>Results</w:t>
            </w:r>
          </w:p>
        </w:tc>
        <w:tc>
          <w:tcPr>
            <w:tcW w:type="dxa" w:w="3249"/>
            <w:vAlign w:val="center"/>
          </w:tcPr>
          <w:p>
            <w:r/>
            <w:r>
              <w:rPr>
                <w:rFonts w:ascii="Calibri" w:hAnsi="Calibri"/>
                <w:color w:val="222632"/>
                <w:sz w:val="20"/>
              </w:rPr>
              <w:t>F1 vs threshold sweep</w:t>
            </w:r>
          </w:p>
        </w:tc>
      </w:tr>
      <w:tr>
        <w:tc>
          <w:tcPr>
            <w:tcW w:type="dxa" w:w="3249"/>
            <w:vAlign w:val="center"/>
          </w:tcPr>
          <w:p>
            <w:r/>
            <w:r>
              <w:rPr>
                <w:rFonts w:ascii="Consolas" w:hAnsi="Consolas"/>
                <w:color w:val="1F2D5C"/>
                <w:sz w:val="18"/>
              </w:rPr>
              <w:t>03_results/ensemble_roc.png</w:t>
            </w:r>
          </w:p>
        </w:tc>
        <w:tc>
          <w:tcPr>
            <w:tcW w:type="dxa" w:w="3249"/>
            <w:vAlign w:val="center"/>
          </w:tcPr>
          <w:p>
            <w:r/>
            <w:r>
              <w:rPr>
                <w:rFonts w:ascii="Calibri" w:hAnsi="Calibri"/>
                <w:color w:val="222632"/>
                <w:sz w:val="20"/>
              </w:rPr>
              <w:t>Results</w:t>
            </w:r>
          </w:p>
        </w:tc>
        <w:tc>
          <w:tcPr>
            <w:tcW w:type="dxa" w:w="3249"/>
            <w:vAlign w:val="center"/>
          </w:tcPr>
          <w:p>
            <w:r/>
            <w:r>
              <w:rPr>
                <w:rFonts w:ascii="Calibri" w:hAnsi="Calibri"/>
                <w:color w:val="222632"/>
                <w:sz w:val="20"/>
              </w:rPr>
              <w:t>Soft-vote ensemble vs individual models</w:t>
            </w:r>
          </w:p>
        </w:tc>
      </w:tr>
      <w:tr>
        <w:tc>
          <w:tcPr>
            <w:tcW w:type="dxa" w:w="3249"/>
            <w:vAlign w:val="center"/>
          </w:tcPr>
          <w:p>
            <w:r/>
            <w:r>
              <w:rPr>
                <w:rFonts w:ascii="Consolas" w:hAnsi="Consolas"/>
                <w:color w:val="1F2D5C"/>
                <w:sz w:val="18"/>
              </w:rPr>
              <w:t>03_results/stacking_ensemble_roc.png</w:t>
            </w:r>
          </w:p>
        </w:tc>
        <w:tc>
          <w:tcPr>
            <w:tcW w:type="dxa" w:w="3249"/>
            <w:vAlign w:val="center"/>
          </w:tcPr>
          <w:p>
            <w:r/>
            <w:r>
              <w:rPr>
                <w:rFonts w:ascii="Calibri" w:hAnsi="Calibri"/>
                <w:color w:val="222632"/>
                <w:sz w:val="20"/>
              </w:rPr>
              <w:t>Results</w:t>
            </w:r>
          </w:p>
        </w:tc>
        <w:tc>
          <w:tcPr>
            <w:tcW w:type="dxa" w:w="3249"/>
            <w:vAlign w:val="center"/>
          </w:tcPr>
          <w:p>
            <w:r/>
            <w:r>
              <w:rPr>
                <w:rFonts w:ascii="Calibri" w:hAnsi="Calibri"/>
                <w:color w:val="222632"/>
                <w:sz w:val="20"/>
              </w:rPr>
              <w:t>Stacking ensemble vs individual models</w:t>
            </w:r>
          </w:p>
        </w:tc>
      </w:tr>
      <w:tr>
        <w:tc>
          <w:tcPr>
            <w:tcW w:type="dxa" w:w="3249"/>
            <w:vAlign w:val="center"/>
          </w:tcPr>
          <w:p>
            <w:r/>
            <w:r>
              <w:rPr>
                <w:rFonts w:ascii="Consolas" w:hAnsi="Consolas"/>
                <w:color w:val="1F2D5C"/>
                <w:sz w:val="18"/>
              </w:rPr>
              <w:t>04_interpretation/domain_ablation.png</w:t>
            </w:r>
          </w:p>
        </w:tc>
        <w:tc>
          <w:tcPr>
            <w:tcW w:type="dxa" w:w="3249"/>
            <w:vAlign w:val="center"/>
          </w:tcPr>
          <w:p>
            <w:r/>
            <w:r>
              <w:rPr>
                <w:rFonts w:ascii="Calibri" w:hAnsi="Calibri"/>
                <w:color w:val="222632"/>
                <w:sz w:val="20"/>
              </w:rPr>
              <w:t>Interpretation</w:t>
            </w:r>
          </w:p>
        </w:tc>
        <w:tc>
          <w:tcPr>
            <w:tcW w:type="dxa" w:w="3249"/>
            <w:vAlign w:val="center"/>
          </w:tcPr>
          <w:p>
            <w:r/>
            <w:r>
              <w:rPr>
                <w:rFonts w:ascii="Calibri" w:hAnsi="Calibri"/>
                <w:color w:val="222632"/>
                <w:sz w:val="20"/>
              </w:rPr>
              <w:t>Leave-one-domain-out</w:t>
            </w:r>
          </w:p>
        </w:tc>
      </w:tr>
      <w:tr>
        <w:tc>
          <w:tcPr>
            <w:tcW w:type="dxa" w:w="3249"/>
            <w:vAlign w:val="center"/>
          </w:tcPr>
          <w:p>
            <w:r/>
            <w:r>
              <w:rPr>
                <w:rFonts w:ascii="Consolas" w:hAnsi="Consolas"/>
                <w:color w:val="1F2D5C"/>
                <w:sz w:val="18"/>
              </w:rPr>
              <w:t>04_interpretation/domain_correlation_heatmap.png</w:t>
            </w:r>
          </w:p>
        </w:tc>
        <w:tc>
          <w:tcPr>
            <w:tcW w:type="dxa" w:w="3249"/>
            <w:vAlign w:val="center"/>
          </w:tcPr>
          <w:p>
            <w:r/>
            <w:r>
              <w:rPr>
                <w:rFonts w:ascii="Calibri" w:hAnsi="Calibri"/>
                <w:color w:val="222632"/>
                <w:sz w:val="20"/>
              </w:rPr>
              <w:t>Interpretation</w:t>
            </w:r>
          </w:p>
        </w:tc>
        <w:tc>
          <w:tcPr>
            <w:tcW w:type="dxa" w:w="3249"/>
            <w:vAlign w:val="center"/>
          </w:tcPr>
          <w:p>
            <w:r/>
            <w:r>
              <w:rPr>
                <w:rFonts w:ascii="Calibri" w:hAnsi="Calibri"/>
                <w:color w:val="222632"/>
                <w:sz w:val="20"/>
              </w:rPr>
              <w:t>Cross-domain correlations</w:t>
            </w:r>
          </w:p>
        </w:tc>
      </w:tr>
      <w:tr>
        <w:tc>
          <w:tcPr>
            <w:tcW w:type="dxa" w:w="3249"/>
            <w:vAlign w:val="center"/>
          </w:tcPr>
          <w:p>
            <w:r/>
            <w:r>
              <w:rPr>
                <w:rFonts w:ascii="Consolas" w:hAnsi="Consolas"/>
                <w:color w:val="1F2D5C"/>
                <w:sz w:val="18"/>
              </w:rPr>
              <w:t>04_interpretation/feature_target_correlation.png</w:t>
            </w:r>
          </w:p>
        </w:tc>
        <w:tc>
          <w:tcPr>
            <w:tcW w:type="dxa" w:w="3249"/>
            <w:vAlign w:val="center"/>
          </w:tcPr>
          <w:p>
            <w:r/>
            <w:r>
              <w:rPr>
                <w:rFonts w:ascii="Calibri" w:hAnsi="Calibri"/>
                <w:color w:val="222632"/>
                <w:sz w:val="20"/>
              </w:rPr>
              <w:t>Interpretation</w:t>
            </w:r>
          </w:p>
        </w:tc>
        <w:tc>
          <w:tcPr>
            <w:tcW w:type="dxa" w:w="3249"/>
            <w:vAlign w:val="center"/>
          </w:tcPr>
          <w:p>
            <w:r/>
            <w:r>
              <w:rPr>
                <w:rFonts w:ascii="Calibri" w:hAnsi="Calibri"/>
                <w:color w:val="222632"/>
                <w:sz w:val="20"/>
              </w:rPr>
              <w:t>Top-25 Pearson correlations</w:t>
            </w:r>
          </w:p>
        </w:tc>
      </w:tr>
      <w:tr>
        <w:tc>
          <w:tcPr>
            <w:tcW w:type="dxa" w:w="3249"/>
            <w:vAlign w:val="center"/>
          </w:tcPr>
          <w:p>
            <w:r/>
            <w:r>
              <w:rPr>
                <w:rFonts w:ascii="Consolas" w:hAnsi="Consolas"/>
                <w:color w:val="1F2D5C"/>
                <w:sz w:val="18"/>
              </w:rPr>
              <w:t>04_interpretation/shap_act1_full.png</w:t>
            </w:r>
          </w:p>
        </w:tc>
        <w:tc>
          <w:tcPr>
            <w:tcW w:type="dxa" w:w="3249"/>
            <w:vAlign w:val="center"/>
          </w:tcPr>
          <w:p>
            <w:r/>
            <w:r>
              <w:rPr>
                <w:rFonts w:ascii="Calibri" w:hAnsi="Calibri"/>
                <w:color w:val="222632"/>
                <w:sz w:val="20"/>
              </w:rPr>
              <w:t>Interpretation</w:t>
            </w:r>
          </w:p>
        </w:tc>
        <w:tc>
          <w:tcPr>
            <w:tcW w:type="dxa" w:w="3249"/>
            <w:vAlign w:val="center"/>
          </w:tcPr>
          <w:p>
            <w:r/>
            <w:r>
              <w:rPr>
                <w:rFonts w:ascii="Calibri" w:hAnsi="Calibri"/>
                <w:color w:val="222632"/>
                <w:sz w:val="20"/>
              </w:rPr>
              <w:t>SHAP, full model</w:t>
            </w:r>
          </w:p>
        </w:tc>
      </w:tr>
      <w:tr>
        <w:tc>
          <w:tcPr>
            <w:tcW w:type="dxa" w:w="3249"/>
            <w:vAlign w:val="center"/>
          </w:tcPr>
          <w:p>
            <w:r/>
            <w:r>
              <w:rPr>
                <w:rFonts w:ascii="Consolas" w:hAnsi="Consolas"/>
                <w:color w:val="1F2D5C"/>
                <w:sz w:val="18"/>
              </w:rPr>
              <w:t>04_interpretation/shap_act2_no_cesd.png</w:t>
            </w:r>
          </w:p>
        </w:tc>
        <w:tc>
          <w:tcPr>
            <w:tcW w:type="dxa" w:w="3249"/>
            <w:vAlign w:val="center"/>
          </w:tcPr>
          <w:p>
            <w:r/>
            <w:r>
              <w:rPr>
                <w:rFonts w:ascii="Calibri" w:hAnsi="Calibri"/>
                <w:color w:val="222632"/>
                <w:sz w:val="20"/>
              </w:rPr>
              <w:t>Interpretation</w:t>
            </w:r>
          </w:p>
        </w:tc>
        <w:tc>
          <w:tcPr>
            <w:tcW w:type="dxa" w:w="3249"/>
            <w:vAlign w:val="center"/>
          </w:tcPr>
          <w:p>
            <w:r/>
            <w:r>
              <w:rPr>
                <w:rFonts w:ascii="Calibri" w:hAnsi="Calibri"/>
                <w:color w:val="222632"/>
                <w:sz w:val="20"/>
              </w:rPr>
              <w:t>SHAP, no prior CES-D</w:t>
            </w:r>
          </w:p>
        </w:tc>
      </w:tr>
      <w:tr>
        <w:tc>
          <w:tcPr>
            <w:tcW w:type="dxa" w:w="3249"/>
            <w:vAlign w:val="center"/>
          </w:tcPr>
          <w:p>
            <w:r/>
            <w:r>
              <w:rPr>
                <w:rFonts w:ascii="Consolas" w:hAnsi="Consolas"/>
                <w:color w:val="1F2D5C"/>
                <w:sz w:val="18"/>
              </w:rPr>
              <w:t>04_interpretation/lgbm_importance_top20.png</w:t>
            </w:r>
          </w:p>
        </w:tc>
        <w:tc>
          <w:tcPr>
            <w:tcW w:type="dxa" w:w="3249"/>
            <w:vAlign w:val="center"/>
          </w:tcPr>
          <w:p>
            <w:r/>
            <w:r>
              <w:rPr>
                <w:rFonts w:ascii="Calibri" w:hAnsi="Calibri"/>
                <w:color w:val="222632"/>
                <w:sz w:val="20"/>
              </w:rPr>
              <w:t>Interpretation</w:t>
            </w:r>
          </w:p>
        </w:tc>
        <w:tc>
          <w:tcPr>
            <w:tcW w:type="dxa" w:w="3249"/>
            <w:vAlign w:val="center"/>
          </w:tcPr>
          <w:p>
            <w:r/>
            <w:r>
              <w:rPr>
                <w:rFonts w:ascii="Calibri" w:hAnsi="Calibri"/>
                <w:color w:val="222632"/>
                <w:sz w:val="20"/>
              </w:rPr>
              <w:t>LightGBM gain importance</w:t>
            </w:r>
          </w:p>
        </w:tc>
      </w:tr>
      <w:tr>
        <w:tc>
          <w:tcPr>
            <w:tcW w:type="dxa" w:w="3249"/>
            <w:vAlign w:val="center"/>
          </w:tcPr>
          <w:p>
            <w:r/>
            <w:r>
              <w:rPr>
                <w:rFonts w:ascii="Consolas" w:hAnsi="Consolas"/>
                <w:color w:val="1F2D5C"/>
                <w:sz w:val="18"/>
              </w:rPr>
              <w:t>04_interpretation/lr_coefficients_standardised.png</w:t>
            </w:r>
          </w:p>
        </w:tc>
        <w:tc>
          <w:tcPr>
            <w:tcW w:type="dxa" w:w="3249"/>
            <w:vAlign w:val="center"/>
          </w:tcPr>
          <w:p>
            <w:r/>
            <w:r>
              <w:rPr>
                <w:rFonts w:ascii="Calibri" w:hAnsi="Calibri"/>
                <w:color w:val="222632"/>
                <w:sz w:val="20"/>
              </w:rPr>
              <w:t>Interpretation</w:t>
            </w:r>
          </w:p>
        </w:tc>
        <w:tc>
          <w:tcPr>
            <w:tcW w:type="dxa" w:w="3249"/>
            <w:vAlign w:val="center"/>
          </w:tcPr>
          <w:p>
            <w:r/>
            <w:r>
              <w:rPr>
                <w:rFonts w:ascii="Calibri" w:hAnsi="Calibri"/>
                <w:color w:val="222632"/>
                <w:sz w:val="20"/>
              </w:rPr>
              <w:t>LR standardised coefficients</w:t>
            </w:r>
          </w:p>
        </w:tc>
      </w:tr>
      <w:tr>
        <w:tc>
          <w:tcPr>
            <w:tcW w:type="dxa" w:w="3249"/>
            <w:vAlign w:val="center"/>
          </w:tcPr>
          <w:p>
            <w:r/>
            <w:r>
              <w:rPr>
                <w:rFonts w:ascii="Consolas" w:hAnsi="Consolas"/>
                <w:color w:val="1F2D5C"/>
                <w:sz w:val="18"/>
              </w:rPr>
              <w:t>04_interpretation/calibration.png</w:t>
            </w:r>
          </w:p>
        </w:tc>
        <w:tc>
          <w:tcPr>
            <w:tcW w:type="dxa" w:w="3249"/>
            <w:vAlign w:val="center"/>
          </w:tcPr>
          <w:p>
            <w:r/>
            <w:r>
              <w:rPr>
                <w:rFonts w:ascii="Calibri" w:hAnsi="Calibri"/>
                <w:color w:val="222632"/>
                <w:sz w:val="20"/>
              </w:rPr>
              <w:t>Interpretation</w:t>
            </w:r>
          </w:p>
        </w:tc>
        <w:tc>
          <w:tcPr>
            <w:tcW w:type="dxa" w:w="3249"/>
            <w:vAlign w:val="center"/>
          </w:tcPr>
          <w:p>
            <w:r/>
            <w:r>
              <w:rPr>
                <w:rFonts w:ascii="Calibri" w:hAnsi="Calibri"/>
                <w:color w:val="222632"/>
                <w:sz w:val="20"/>
              </w:rPr>
              <w:t>Reliability diagrams</w:t>
            </w:r>
          </w:p>
        </w:tc>
      </w:tr>
      <w:tr>
        <w:tc>
          <w:tcPr>
            <w:tcW w:type="dxa" w:w="3249"/>
            <w:vAlign w:val="center"/>
          </w:tcPr>
          <w:p>
            <w:r/>
            <w:r>
              <w:rPr>
                <w:rFonts w:ascii="Consolas" w:hAnsi="Consolas"/>
                <w:color w:val="1F2D5C"/>
                <w:sz w:val="18"/>
              </w:rPr>
              <w:t>04_interpretation/calibration_isotonic.png</w:t>
            </w:r>
          </w:p>
        </w:tc>
        <w:tc>
          <w:tcPr>
            <w:tcW w:type="dxa" w:w="3249"/>
            <w:vAlign w:val="center"/>
          </w:tcPr>
          <w:p>
            <w:r/>
            <w:r>
              <w:rPr>
                <w:rFonts w:ascii="Calibri" w:hAnsi="Calibri"/>
                <w:color w:val="222632"/>
                <w:sz w:val="20"/>
              </w:rPr>
              <w:t>Interpretation</w:t>
            </w:r>
          </w:p>
        </w:tc>
        <w:tc>
          <w:tcPr>
            <w:tcW w:type="dxa" w:w="3249"/>
            <w:vAlign w:val="center"/>
          </w:tcPr>
          <w:p>
            <w:r/>
            <w:r>
              <w:rPr>
                <w:rFonts w:ascii="Calibri" w:hAnsi="Calibri"/>
                <w:color w:val="222632"/>
                <w:sz w:val="20"/>
              </w:rPr>
              <w:t>Isotonic-calibrated reliability</w:t>
            </w:r>
          </w:p>
        </w:tc>
      </w:tr>
      <w:tr>
        <w:tc>
          <w:tcPr>
            <w:tcW w:type="dxa" w:w="3249"/>
            <w:vAlign w:val="center"/>
          </w:tcPr>
          <w:p>
            <w:r/>
            <w:r>
              <w:rPr>
                <w:rFonts w:ascii="Consolas" w:hAnsi="Consolas"/>
                <w:color w:val="1F2D5C"/>
                <w:sz w:val="18"/>
              </w:rPr>
              <w:t>05_sensitivity/leakage_sensitivity.png</w:t>
            </w:r>
          </w:p>
        </w:tc>
        <w:tc>
          <w:tcPr>
            <w:tcW w:type="dxa" w:w="3249"/>
            <w:vAlign w:val="center"/>
          </w:tcPr>
          <w:p>
            <w:r/>
            <w:r>
              <w:rPr>
                <w:rFonts w:ascii="Calibri" w:hAnsi="Calibri"/>
                <w:color w:val="222632"/>
                <w:sz w:val="20"/>
              </w:rPr>
              <w:t>Sensitivity</w:t>
            </w:r>
          </w:p>
        </w:tc>
        <w:tc>
          <w:tcPr>
            <w:tcW w:type="dxa" w:w="3249"/>
            <w:vAlign w:val="center"/>
          </w:tcPr>
          <w:p>
            <w:r/>
            <w:r>
              <w:rPr>
                <w:rFonts w:ascii="Calibri" w:hAnsi="Calibri"/>
                <w:color w:val="222632"/>
                <w:sz w:val="20"/>
              </w:rPr>
              <w:t>With vs without CES-D</w:t>
            </w:r>
          </w:p>
        </w:tc>
      </w:tr>
    </w:tbl>
    <w:p>
      <w:pPr>
        <w:keepNext/>
        <w:spacing w:before="240" w:after="120"/>
      </w:pPr>
      <w:r>
        <w:rPr>
          <w:rFonts w:ascii="Calibri" w:hAnsi="Calibri"/>
          <w:b/>
          <w:color w:val="1F2D5C"/>
          <w:sz w:val="32"/>
        </w:rPr>
        <w:t>Appendix B — Results Files</w:t>
      </w:r>
    </w:p>
    <w:p>
      <w:pPr>
        <w:pStyle w:val="ListBullet"/>
        <w:spacing w:after="40" w:line="288" w:lineRule="auto"/>
      </w:pPr>
      <w:r>
        <w:rPr>
          <w:rFonts w:ascii="Consolas" w:hAnsi="Consolas"/>
          <w:color w:val="1F2D5C"/>
          <w:sz w:val="20"/>
        </w:rPr>
        <w:t>results/all_experiments.csv</w:t>
      </w:r>
      <w:r>
        <w:rPr>
          <w:rFonts w:ascii="Calibri" w:hAnsi="Calibri"/>
          <w:color w:val="222632"/>
          <w:sz w:val="22"/>
        </w:rPr>
        <w:t xml:space="preserve"> — every (arm × config × model) combination, baseline run (60 rows)</w:t>
      </w:r>
    </w:p>
    <w:p>
      <w:pPr>
        <w:pStyle w:val="ListBullet"/>
        <w:spacing w:after="40" w:line="288" w:lineRule="auto"/>
      </w:pPr>
      <w:r>
        <w:rPr>
          <w:rFonts w:ascii="Consolas" w:hAnsi="Consolas"/>
          <w:color w:val="1F2D5C"/>
          <w:sz w:val="20"/>
        </w:rPr>
        <w:t>results/tuned_models.csv</w:t>
      </w:r>
      <w:r>
        <w:rPr>
          <w:rFonts w:ascii="Calibri" w:hAnsi="Calibri"/>
          <w:color w:val="222632"/>
          <w:sz w:val="22"/>
        </w:rPr>
        <w:t xml:space="preserve"> — best tuned model per arm with held-out test metrics</w:t>
      </w:r>
    </w:p>
    <w:p>
      <w:pPr>
        <w:pStyle w:val="ListBullet"/>
        <w:spacing w:after="40" w:line="288" w:lineRule="auto"/>
      </w:pPr>
      <w:r>
        <w:rPr>
          <w:rFonts w:ascii="Consolas" w:hAnsi="Consolas"/>
          <w:color w:val="1F2D5C"/>
          <w:sz w:val="20"/>
        </w:rPr>
        <w:t>results/domain_ablation.csv</w:t>
      </w:r>
      <w:r>
        <w:rPr>
          <w:rFonts w:ascii="Calibri" w:hAnsi="Calibri"/>
          <w:color w:val="222632"/>
          <w:sz w:val="22"/>
        </w:rPr>
        <w:t xml:space="preserve"> — leave-one-domain-out AUC drops</w:t>
      </w:r>
    </w:p>
    <w:p>
      <w:pPr>
        <w:pStyle w:val="ListBullet"/>
        <w:spacing w:after="40" w:line="288" w:lineRule="auto"/>
      </w:pPr>
      <w:r>
        <w:rPr>
          <w:rFonts w:ascii="Consolas" w:hAnsi="Consolas"/>
          <w:color w:val="1F2D5C"/>
          <w:sz w:val="20"/>
        </w:rPr>
        <w:t>results/leakage_sensitivity.csv</w:t>
      </w:r>
      <w:r>
        <w:rPr>
          <w:rFonts w:ascii="Calibri" w:hAnsi="Calibri"/>
          <w:color w:val="222632"/>
          <w:sz w:val="22"/>
        </w:rPr>
        <w:t xml:space="preserve"> — full vs no-CES-D for every arm</w:t>
      </w:r>
    </w:p>
    <w:p>
      <w:pPr>
        <w:pStyle w:val="ListBullet"/>
        <w:spacing w:after="40" w:line="288" w:lineRule="auto"/>
      </w:pPr>
      <w:r>
        <w:rPr>
          <w:rFonts w:ascii="Consolas" w:hAnsi="Consolas"/>
          <w:color w:val="1F2D5C"/>
          <w:sz w:val="20"/>
        </w:rPr>
        <w:t>results/threshold_optimisation.csv</w:t>
      </w:r>
      <w:r>
        <w:rPr>
          <w:rFonts w:ascii="Calibri" w:hAnsi="Calibri"/>
          <w:color w:val="222632"/>
          <w:sz w:val="22"/>
        </w:rPr>
        <w:t xml:space="preserve"> — optimal F1 threshold per model</w:t>
      </w:r>
    </w:p>
    <w:p>
      <w:pPr>
        <w:pStyle w:val="ListBullet"/>
        <w:spacing w:after="40" w:line="288" w:lineRule="auto"/>
      </w:pPr>
      <w:r>
        <w:rPr>
          <w:rFonts w:ascii="Consolas" w:hAnsi="Consolas"/>
          <w:color w:val="1F2D5C"/>
          <w:sz w:val="20"/>
        </w:rPr>
        <w:t>results/stacking_ensemble.csv</w:t>
      </w:r>
      <w:r>
        <w:rPr>
          <w:rFonts w:ascii="Calibri" w:hAnsi="Calibri"/>
          <w:color w:val="222632"/>
          <w:sz w:val="22"/>
        </w:rPr>
        <w:t xml:space="preserve"> — stacking vs individual models</w:t>
      </w:r>
    </w:p>
    <w:p>
      <w:pPr>
        <w:spacing w:before="120" w:after="120"/>
        <w:pBdr>
          <w:bottom w:val="single" w:sz="6" w:space="1" w:color="AAAAAA"/>
        </w:pBdr>
      </w:pPr>
    </w:p>
    <w:p>
      <w:pPr>
        <w:spacing w:after="120" w:line="300" w:lineRule="auto"/>
      </w:pPr>
      <w:r>
        <w:rPr>
          <w:rFonts w:ascii="Calibri" w:hAnsi="Calibri"/>
          <w:i/>
          <w:color w:val="222632"/>
          <w:sz w:val="22"/>
        </w:rPr>
        <w:t>End of report.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