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2D5C"/>
          <w:sz w:val="56"/>
        </w:rPr>
        <w:t>ELSA Depression Prediction</w:t>
      </w:r>
    </w:p>
    <w:p>
      <w:pPr>
        <w:spacing w:after="40"/>
      </w:pPr>
      <w:r>
        <w:rPr>
          <w:rFonts w:ascii="Calibri" w:hAnsi="Calibri"/>
          <w:i/>
          <w:color w:val="186F82"/>
          <w:sz w:val="26"/>
        </w:rPr>
        <w:t>Early prediction from 4 years out using ELSA longitudinal data</w:t>
      </w:r>
    </w:p>
    <w:p>
      <w:pPr>
        <w:spacing w:after="40"/>
      </w:pPr>
      <w:r>
        <w:rPr>
          <w:color w:val="555C66"/>
          <w:sz w:val="22"/>
        </w:rPr>
        <w:t>AI and Healthcare — University of Surrey, MSc Artificial Intelligence (2025/26)</w:t>
      </w:r>
    </w:p>
    <w:p>
      <w:pPr>
        <w:spacing w:after="40"/>
      </w:pPr>
      <w:r>
        <w:rPr>
          <w:color w:val="555C66"/>
          <w:sz w:val="21"/>
        </w:rPr>
        <w:t>Akeeb Lawel  •  Fiyin Akano  •  Zannat Chowdhury Sagar  •  Giridhar Nampally  •  Pushkar Jadav  •  Poorna Golla</w:t>
      </w:r>
    </w:p>
    <w:p>
      <w:pPr>
        <w:spacing w:before="120" w:after="120"/>
        <w:pBdr>
          <w:bottom w:val="single" w:sz="6" w:space="1" w:color="AAAAAA"/>
        </w:pBdr>
      </w:pPr>
    </w:p>
    <w:p>
      <w:pPr>
        <w:spacing w:after="120" w:line="300" w:lineRule="auto"/>
      </w:pPr>
      <w:r>
        <w:rPr>
          <w:rFonts w:ascii="Calibri" w:hAnsi="Calibri"/>
          <w:b/>
          <w:color w:val="222632"/>
          <w:sz w:val="22"/>
        </w:rPr>
        <w:t>Module:</w:t>
      </w:r>
      <w:r>
        <w:rPr>
          <w:rFonts w:ascii="Calibri" w:hAnsi="Calibri"/>
          <w:color w:val="222632"/>
          <w:sz w:val="22"/>
        </w:rPr>
        <w:t xml:space="preserve"> AI and Healthcare — University of Surrey, MSc Artificial Intelligence (2025/26) </w:t>
      </w:r>
      <w:r>
        <w:rPr>
          <w:rFonts w:ascii="Calibri" w:hAnsi="Calibri"/>
          <w:b/>
          <w:color w:val="222632"/>
          <w:sz w:val="22"/>
        </w:rPr>
        <w:t>Team:</w:t>
      </w:r>
      <w:r>
        <w:rPr>
          <w:rFonts w:ascii="Calibri" w:hAnsi="Calibri"/>
          <w:color w:val="222632"/>
          <w:sz w:val="22"/>
        </w:rPr>
        <w:t xml:space="preserve"> Akeeb Lawel, Fiyin Akano, Zannat Chowdhury Sagar, Giridhar Nampally, Pushkar Jadav, Poorna Golla </w:t>
      </w:r>
      <w:r>
        <w:rPr>
          <w:rFonts w:ascii="Calibri" w:hAnsi="Calibri"/>
          <w:b/>
          <w:color w:val="222632"/>
          <w:sz w:val="22"/>
        </w:rPr>
        <w:t>Dataset:</w:t>
      </w:r>
      <w:r>
        <w:rPr>
          <w:rFonts w:ascii="Calibri" w:hAnsi="Calibri"/>
          <w:color w:val="222632"/>
          <w:sz w:val="22"/>
        </w:rPr>
        <w:t xml:space="preserve"> English Longitudinal Study of Ageing (ELSA), UK Data Service Study 5050 </w:t>
      </w:r>
      <w:r>
        <w:rPr>
          <w:rFonts w:ascii="Calibri" w:hAnsi="Calibri"/>
          <w:b/>
          <w:color w:val="222632"/>
          <w:sz w:val="22"/>
        </w:rPr>
        <w:t>Date:</w:t>
      </w:r>
      <w:r>
        <w:rPr>
          <w:rFonts w:ascii="Calibri" w:hAnsi="Calibri"/>
          <w:color w:val="222632"/>
          <w:sz w:val="22"/>
        </w:rPr>
        <w:t xml:space="preserve"> May 2026</w:t>
      </w:r>
    </w:p>
    <w:p>
      <w:pPr>
        <w:spacing w:before="120" w:after="120"/>
        <w:pBdr>
          <w:bottom w:val="single" w:sz="6" w:space="1" w:color="AAAAAA"/>
        </w:pBdr>
      </w:pPr>
    </w:p>
    <w:p>
      <w:pPr>
        <w:keepNext/>
        <w:spacing w:before="240" w:after="120"/>
      </w:pPr>
      <w:r>
        <w:rPr>
          <w:rFonts w:ascii="Calibri" w:hAnsi="Calibri"/>
          <w:b/>
          <w:color w:val="1F2D5C"/>
          <w:sz w:val="32"/>
        </w:rPr>
        <w:t>Executive Summary</w:t>
      </w:r>
    </w:p>
    <w:p>
      <w:pPr>
        <w:spacing w:after="120" w:line="300" w:lineRule="auto"/>
      </w:pPr>
      <w:r>
        <w:rPr>
          <w:rFonts w:ascii="Calibri" w:hAnsi="Calibri"/>
          <w:color w:val="222632"/>
          <w:sz w:val="22"/>
        </w:rPr>
        <w:t xml:space="preserve">We built machine learning models that predict whether an English adult aged 50 or over will show clinically significant depressive symptoms 2 to 4 years from now, using only their answers to a routine social and health survey today. The best model — a tuned Random Forest combining Wave 6 and Wave 7 ELSA data — achieves an ROC-AUC of </w:t>
      </w:r>
      <w:r>
        <w:rPr>
          <w:rFonts w:ascii="Calibri" w:hAnsi="Calibri"/>
          <w:b/>
          <w:color w:val="222632"/>
          <w:sz w:val="22"/>
        </w:rPr>
        <w:t>0.85</w:t>
      </w:r>
      <w:r>
        <w:rPr>
          <w:rFonts w:ascii="Calibri" w:hAnsi="Calibri"/>
          <w:color w:val="222632"/>
          <w:sz w:val="22"/>
        </w:rPr>
        <w:t xml:space="preserve">, an F1 score of </w:t>
      </w:r>
      <w:r>
        <w:rPr>
          <w:rFonts w:ascii="Calibri" w:hAnsi="Calibri"/>
          <w:b/>
          <w:color w:val="222632"/>
          <w:sz w:val="22"/>
        </w:rPr>
        <w:t>0.58</w:t>
      </w:r>
      <w:r>
        <w:rPr>
          <w:rFonts w:ascii="Calibri" w:hAnsi="Calibri"/>
          <w:color w:val="222632"/>
          <w:sz w:val="22"/>
        </w:rPr>
        <w:t xml:space="preserve"> for the depressed class, and correctly identifies </w:t>
      </w:r>
      <w:r>
        <w:rPr>
          <w:rFonts w:ascii="Calibri" w:hAnsi="Calibri"/>
          <w:b/>
          <w:color w:val="222632"/>
          <w:sz w:val="22"/>
        </w:rPr>
        <w:t>71%</w:t>
      </w:r>
      <w:r>
        <w:rPr>
          <w:rFonts w:ascii="Calibri" w:hAnsi="Calibri"/>
          <w:color w:val="222632"/>
          <w:sz w:val="22"/>
        </w:rPr>
        <w:t xml:space="preserve"> of all future depression cases on data it has never seen. Even when prior depression history is removed, the model still achieves an AUC of </w:t>
      </w:r>
      <w:r>
        <w:rPr>
          <w:rFonts w:ascii="Calibri" w:hAnsi="Calibri"/>
          <w:b/>
          <w:color w:val="222632"/>
          <w:sz w:val="22"/>
        </w:rPr>
        <w:t>0.77</w:t>
      </w:r>
      <w:r>
        <w:rPr>
          <w:rFonts w:ascii="Calibri" w:hAnsi="Calibri"/>
          <w:color w:val="222632"/>
          <w:sz w:val="22"/>
        </w:rPr>
        <w:t xml:space="preserve"> using only physical health, mobility, social and economic features — confirming that depression risk is detectable from non-mental-health indicators alone. The pipeline is reproducible end-to-end in a single Colab notebook.</w:t>
      </w:r>
    </w:p>
    <w:p>
      <w:pPr>
        <w:spacing w:before="120" w:after="120"/>
        <w:pBdr>
          <w:bottom w:val="single" w:sz="6" w:space="1" w:color="AAAAAA"/>
        </w:pBdr>
      </w:pPr>
    </w:p>
    <w:p>
      <w:pPr>
        <w:keepNext/>
        <w:spacing w:before="240" w:after="120"/>
      </w:pPr>
      <w:r>
        <w:rPr>
          <w:rFonts w:ascii="Calibri" w:hAnsi="Calibri"/>
          <w:b/>
          <w:color w:val="1F2D5C"/>
          <w:sz w:val="32"/>
        </w:rPr>
        <w:t>1. The Coursework Brief</w:t>
      </w:r>
    </w:p>
    <w:p>
      <w:pPr>
        <w:spacing w:after="120" w:line="300" w:lineRule="auto"/>
      </w:pPr>
      <w:r>
        <w:rPr>
          <w:rFonts w:ascii="Calibri" w:hAnsi="Calibri"/>
          <w:color w:val="222632"/>
          <w:sz w:val="22"/>
        </w:rPr>
        <w:t>The module assignment asked us to:</w:t>
      </w:r>
    </w:p>
    <w:p>
      <w:pPr>
        <w:pStyle w:val="ListBullet"/>
        <w:spacing w:after="40" w:line="288" w:lineRule="auto"/>
      </w:pPr>
      <w:r>
        <w:rPr>
          <w:rFonts w:ascii="Calibri" w:hAnsi="Calibri"/>
          <w:color w:val="222632"/>
          <w:sz w:val="22"/>
        </w:rPr>
        <w:t xml:space="preserve">Build a machine learning algorithm that uses ELSA data to predict mental health outcomes (depression, anxiety) </w:t>
      </w:r>
      <w:r>
        <w:rPr>
          <w:rFonts w:ascii="Calibri" w:hAnsi="Calibri"/>
          <w:b/>
          <w:color w:val="222632"/>
          <w:sz w:val="22"/>
        </w:rPr>
        <w:t>or</w:t>
      </w:r>
      <w:r>
        <w:rPr>
          <w:rFonts w:ascii="Calibri" w:hAnsi="Calibri"/>
          <w:color w:val="222632"/>
          <w:sz w:val="22"/>
        </w:rPr>
        <w:t xml:space="preserve"> to represent the temporal changes that lead to mental health issues.</w:t>
      </w:r>
    </w:p>
    <w:p>
      <w:pPr>
        <w:pStyle w:val="ListBullet"/>
        <w:spacing w:after="40" w:line="288" w:lineRule="auto"/>
      </w:pPr>
      <w:r>
        <w:rPr>
          <w:rFonts w:ascii="Calibri" w:hAnsi="Calibri"/>
          <w:color w:val="222632"/>
          <w:sz w:val="22"/>
        </w:rPr>
        <w:t>Present the work as a 10-minute PowerPoint in Week 11.</w:t>
      </w:r>
    </w:p>
    <w:p>
      <w:pPr>
        <w:pStyle w:val="ListBullet"/>
        <w:spacing w:after="40" w:line="288" w:lineRule="auto"/>
      </w:pPr>
      <w:r>
        <w:rPr>
          <w:rFonts w:ascii="Calibri" w:hAnsi="Calibri"/>
          <w:color w:val="222632"/>
          <w:sz w:val="22"/>
        </w:rPr>
        <w:t>Submit code with a runnable README, presentation slides, meeting minutes, and a team contributions document.</w:t>
      </w:r>
    </w:p>
    <w:p>
      <w:pPr>
        <w:spacing w:after="120" w:line="300" w:lineRule="auto"/>
      </w:pPr>
      <w:r>
        <w:rPr>
          <w:rFonts w:ascii="Calibri" w:hAnsi="Calibri"/>
          <w:color w:val="222632"/>
          <w:sz w:val="22"/>
        </w:rPr>
        <w:t>The marking criteria emphasise clarity of presentation, background description, the data analysis pipeline, results representation, limitations, and slides.</w:t>
      </w:r>
    </w:p>
    <w:p>
      <w:pPr>
        <w:spacing w:after="120" w:line="300" w:lineRule="auto"/>
      </w:pPr>
      <w:r>
        <w:rPr>
          <w:rFonts w:ascii="Calibri" w:hAnsi="Calibri"/>
          <w:color w:val="222632"/>
          <w:sz w:val="22"/>
        </w:rPr>
        <w:t xml:space="preserve">We chose </w:t>
      </w:r>
      <w:r>
        <w:rPr>
          <w:rFonts w:ascii="Calibri" w:hAnsi="Calibri"/>
          <w:b/>
          <w:color w:val="222632"/>
          <w:sz w:val="22"/>
        </w:rPr>
        <w:t>early prediction of depression</w:t>
      </w:r>
      <w:r>
        <w:rPr>
          <w:rFonts w:ascii="Calibri" w:hAnsi="Calibri"/>
          <w:color w:val="222632"/>
          <w:sz w:val="22"/>
        </w:rPr>
        <w:t xml:space="preserve"> as our framing because it has the clearest clinical utility (you can intervene if you can predict), the strongest measurement basis in ELSA (the 8-item CES-D scale is collected every wave with &gt;93% completeness), and the most established literature for comparison.</w:t>
      </w:r>
    </w:p>
    <w:p>
      <w:pPr>
        <w:spacing w:before="120" w:after="120"/>
        <w:pBdr>
          <w:bottom w:val="single" w:sz="6" w:space="1" w:color="AAAAAA"/>
        </w:pBdr>
      </w:pPr>
    </w:p>
    <w:p>
      <w:pPr>
        <w:keepNext/>
        <w:spacing w:before="240" w:after="120"/>
      </w:pPr>
      <w:r>
        <w:rPr>
          <w:rFonts w:ascii="Calibri" w:hAnsi="Calibri"/>
          <w:b/>
          <w:color w:val="1F2D5C"/>
          <w:sz w:val="32"/>
        </w:rPr>
        <w:t>2. Background</w:t>
      </w:r>
    </w:p>
    <w:p>
      <w:pPr>
        <w:keepNext/>
        <w:spacing w:before="240" w:after="120"/>
      </w:pPr>
      <w:r>
        <w:rPr>
          <w:rFonts w:ascii="Calibri" w:hAnsi="Calibri"/>
          <w:b/>
          <w:color w:val="186F82"/>
          <w:sz w:val="26"/>
        </w:rPr>
        <w:t>2.1 The clinical problem</w:t>
      </w:r>
    </w:p>
    <w:p>
      <w:pPr>
        <w:spacing w:after="120" w:line="300" w:lineRule="auto"/>
      </w:pPr>
      <w:r>
        <w:rPr>
          <w:rFonts w:ascii="Calibri" w:hAnsi="Calibri"/>
          <w:color w:val="222632"/>
          <w:sz w:val="22"/>
        </w:rPr>
        <w:t>Depression in older adults is underdiagnosed and undertreated. The World Health Organization estimates that 7% of adults over 60 globally experience depression, but only a fraction receive a diagnosis or treatment. The reasons are well documented: stigma, somatic symptom presentation, comorbidity with physical illness, reluctance to disclose, and limited primary care screening capacity. The cost is significant — depression is a leading cause of disability and is associated with worse outcomes for cardiovascular disease, dementia, and all-cause mortality.</w:t>
      </w:r>
    </w:p>
    <w:p>
      <w:pPr>
        <w:spacing w:after="120" w:line="300" w:lineRule="auto"/>
      </w:pPr>
      <w:r>
        <w:rPr>
          <w:rFonts w:ascii="Calibri" w:hAnsi="Calibri"/>
          <w:color w:val="222632"/>
          <w:sz w:val="22"/>
        </w:rPr>
        <w:t>Machine learning offers a route around the screening bottleneck. If routine survey or health-record data already collected for other purposes can flag people at high future risk, those individuals can be prioritised for clinical assessment without requiring everyone to be screened in detail. This is exactly the use case ELSA enables.</w:t>
      </w:r>
    </w:p>
    <w:p>
      <w:pPr>
        <w:keepNext/>
        <w:spacing w:before="240" w:after="120"/>
      </w:pPr>
      <w:r>
        <w:rPr>
          <w:rFonts w:ascii="Calibri" w:hAnsi="Calibri"/>
          <w:b/>
          <w:color w:val="186F82"/>
          <w:sz w:val="26"/>
        </w:rPr>
        <w:t>2.2 The English Longitudinal Study of Ageing (ELSA)</w:t>
      </w:r>
    </w:p>
    <w:p>
      <w:pPr>
        <w:spacing w:after="120" w:line="300" w:lineRule="auto"/>
      </w:pPr>
      <w:r>
        <w:rPr>
          <w:rFonts w:ascii="Calibri" w:hAnsi="Calibri"/>
          <w:color w:val="222632"/>
          <w:sz w:val="22"/>
        </w:rPr>
        <w:t>ELSA is a representative panel study of the English population aged 50 and over. The study began in 2002 (Wave 1) and follows the same individuals every two years, with periodic refreshment to maintain age-50 inflows. By Wave 11 (2023), the dataset covers more than two decades of biennial measurements on health, cognition, social engagement, economic circumstances, and well-being.</w:t>
      </w:r>
    </w:p>
    <w:p>
      <w:pPr>
        <w:spacing w:after="120" w:line="300" w:lineRule="auto"/>
      </w:pPr>
      <w:r>
        <w:rPr>
          <w:rFonts w:ascii="Calibri" w:hAnsi="Calibri"/>
          <w:color w:val="222632"/>
          <w:sz w:val="22"/>
        </w:rPr>
        <w:t xml:space="preserve">Crucially for our purposes, ELSA includes the </w:t>
      </w:r>
      <w:r>
        <w:rPr>
          <w:rFonts w:ascii="Calibri" w:hAnsi="Calibri"/>
          <w:b/>
          <w:color w:val="222632"/>
          <w:sz w:val="22"/>
        </w:rPr>
        <w:t>Center for Epidemiologic Studies Depression Scale (CES-D)</w:t>
      </w:r>
      <w:r>
        <w:rPr>
          <w:rFonts w:ascii="Calibri" w:hAnsi="Calibri"/>
          <w:color w:val="222632"/>
          <w:sz w:val="22"/>
        </w:rPr>
        <w:t xml:space="preserve"> at every wave. The ELSA version is an 8-item binary instrument (yes/no per item), giving a total score from 0 to 8. A threshold of CES-D ≥ 3 is the standard cutoff for clinically significant depressive symptoms (Steffick, 2000) and yields a prevalence of roughly 15–25% in older adult populations — consistent with epidemiological estimates.</w:t>
      </w:r>
    </w:p>
    <w:p>
      <w:pPr>
        <w:spacing w:after="120" w:line="300" w:lineRule="auto"/>
      </w:pPr>
      <w:r>
        <w:rPr>
          <w:rFonts w:ascii="Calibri" w:hAnsi="Calibri"/>
          <w:color w:val="222632"/>
          <w:sz w:val="22"/>
        </w:rPr>
        <w:t>Our access route was UK Data Service deposit 5050. The team accessed the Stata-format core wave files, IFS-derived variable files, financial derived variable files, and supporting documentation (data dictionaries, technical reports, questionnaires).</w:t>
      </w:r>
    </w:p>
    <w:p>
      <w:pPr>
        <w:spacing w:before="120" w:after="120"/>
        <w:pBdr>
          <w:bottom w:val="single" w:sz="6" w:space="1" w:color="AAAAAA"/>
        </w:pBdr>
      </w:pPr>
    </w:p>
    <w:p>
      <w:pPr>
        <w:keepNext/>
        <w:spacing w:before="240" w:after="120"/>
      </w:pPr>
      <w:r>
        <w:rPr>
          <w:rFonts w:ascii="Calibri" w:hAnsi="Calibri"/>
          <w:b/>
          <w:color w:val="1F2D5C"/>
          <w:sz w:val="32"/>
        </w:rPr>
        <w:t>3. Research Questions</w:t>
      </w:r>
    </w:p>
    <w:p>
      <w:pPr>
        <w:spacing w:after="120" w:line="300" w:lineRule="auto"/>
      </w:pPr>
      <w:r>
        <w:rPr>
          <w:rFonts w:ascii="Calibri" w:hAnsi="Calibri"/>
          <w:color w:val="222632"/>
          <w:sz w:val="22"/>
        </w:rPr>
        <w:t>The project was framed around three research questions, decided in our group meetings and locked before any modelling began:</w:t>
      </w:r>
    </w:p>
    <w:tbl>
      <w:tblPr>
        <w:tblStyle w:val="LightGrid-Accent1"/>
        <w:tblW w:type="auto" w:w="0"/>
        <w:jc w:val="left"/>
        <w:tblLayout w:type="autofit"/>
        <w:tblLook w:firstColumn="1" w:firstRow="1" w:lastColumn="0" w:lastRow="0" w:noHBand="0" w:noVBand="1" w:val="04A0"/>
      </w:tblPr>
      <w:tblGrid>
        <w:gridCol w:w="4873"/>
        <w:gridCol w:w="4873"/>
      </w:tblGrid>
      <w:tr>
        <w:tc>
          <w:tcPr>
            <w:tcW w:type="dxa" w:w="4873"/>
            <w:vAlign w:val="center"/>
            <w:shd w:val="clear" w:color="auto" w:fill="1F2D5C"/>
          </w:tcPr>
          <w:p>
            <w:r/>
            <w:r>
              <w:rPr>
                <w:rFonts w:ascii="Calibri" w:hAnsi="Calibri"/>
                <w:b/>
                <w:color w:val="FFFFFF"/>
                <w:sz w:val="21"/>
              </w:rPr>
              <w:t>RQ</w:t>
            </w:r>
          </w:p>
        </w:tc>
        <w:tc>
          <w:tcPr>
            <w:tcW w:type="dxa" w:w="4873"/>
            <w:vAlign w:val="center"/>
            <w:shd w:val="clear" w:color="auto" w:fill="1F2D5C"/>
          </w:tcPr>
          <w:p>
            <w:r/>
            <w:r>
              <w:rPr>
                <w:rFonts w:ascii="Calibri" w:hAnsi="Calibri"/>
                <w:b/>
                <w:color w:val="FFFFFF"/>
                <w:sz w:val="21"/>
              </w:rPr>
              <w:t>Question</w:t>
            </w:r>
          </w:p>
        </w:tc>
      </w:tr>
      <w:tr>
        <w:tc>
          <w:tcPr>
            <w:tcW w:type="dxa" w:w="4873"/>
            <w:vAlign w:val="center"/>
          </w:tcPr>
          <w:p>
            <w:r/>
            <w:r>
              <w:rPr>
                <w:rFonts w:ascii="Calibri" w:hAnsi="Calibri"/>
                <w:b/>
                <w:color w:val="222632"/>
                <w:sz w:val="20"/>
              </w:rPr>
              <w:t>RQ1</w:t>
            </w:r>
          </w:p>
        </w:tc>
        <w:tc>
          <w:tcPr>
            <w:tcW w:type="dxa" w:w="4873"/>
            <w:vAlign w:val="center"/>
          </w:tcPr>
          <w:p>
            <w:r/>
            <w:r>
              <w:rPr>
                <w:rFonts w:ascii="Calibri" w:hAnsi="Calibri"/>
                <w:color w:val="222632"/>
                <w:sz w:val="20"/>
              </w:rPr>
              <w:t>Can ML models trained on ELSA survey data predict depression onset 2 to 4 years in advance in adults aged 50+?</w:t>
            </w:r>
          </w:p>
        </w:tc>
      </w:tr>
      <w:tr>
        <w:tc>
          <w:tcPr>
            <w:tcW w:type="dxa" w:w="4873"/>
            <w:vAlign w:val="center"/>
          </w:tcPr>
          <w:p>
            <w:r/>
            <w:r>
              <w:rPr>
                <w:rFonts w:ascii="Calibri" w:hAnsi="Calibri"/>
                <w:b/>
                <w:color w:val="222632"/>
                <w:sz w:val="20"/>
              </w:rPr>
              <w:t>RQ2</w:t>
            </w:r>
          </w:p>
        </w:tc>
        <w:tc>
          <w:tcPr>
            <w:tcW w:type="dxa" w:w="4873"/>
            <w:vAlign w:val="center"/>
          </w:tcPr>
          <w:p>
            <w:r/>
            <w:r>
              <w:rPr>
                <w:rFonts w:ascii="Calibri" w:hAnsi="Calibri"/>
                <w:color w:val="222632"/>
                <w:sz w:val="20"/>
              </w:rPr>
              <w:t>Does combining two waves of data improve predictive performance over single-wave models, and does the prediction horizon (2 vs 4 years) matter?</w:t>
            </w:r>
          </w:p>
        </w:tc>
      </w:tr>
      <w:tr>
        <w:tc>
          <w:tcPr>
            <w:tcW w:type="dxa" w:w="4873"/>
            <w:vAlign w:val="center"/>
          </w:tcPr>
          <w:p>
            <w:r/>
            <w:r>
              <w:rPr>
                <w:rFonts w:ascii="Calibri" w:hAnsi="Calibri"/>
                <w:b/>
                <w:color w:val="222632"/>
                <w:sz w:val="20"/>
              </w:rPr>
              <w:t>RQ3</w:t>
            </w:r>
          </w:p>
        </w:tc>
        <w:tc>
          <w:tcPr>
            <w:tcW w:type="dxa" w:w="4873"/>
            <w:vAlign w:val="center"/>
          </w:tcPr>
          <w:p>
            <w:r/>
            <w:r>
              <w:rPr>
                <w:rFonts w:ascii="Calibri" w:hAnsi="Calibri"/>
                <w:color w:val="222632"/>
                <w:sz w:val="20"/>
              </w:rPr>
              <w:t>Which feature domains carry independent predictive signal beyond prior depression history?</w:t>
            </w:r>
          </w:p>
        </w:tc>
      </w:tr>
    </w:tbl>
    <w:p>
      <w:pPr>
        <w:spacing w:after="120" w:line="300" w:lineRule="auto"/>
      </w:pPr>
      <w:r>
        <w:rPr>
          <w:rFonts w:ascii="Calibri" w:hAnsi="Calibri"/>
          <w:color w:val="222632"/>
          <w:sz w:val="22"/>
        </w:rPr>
        <w:t>These questions map directly onto the experimental design (RQ2 → three prediction arms; RQ3 → leakage sensitivity + domain ablation).</w:t>
      </w:r>
    </w:p>
    <w:p>
      <w:pPr>
        <w:spacing w:before="120" w:after="120"/>
        <w:pBdr>
          <w:bottom w:val="single" w:sz="6" w:space="1" w:color="AAAAAA"/>
        </w:pBdr>
      </w:pPr>
    </w:p>
    <w:p>
      <w:pPr>
        <w:keepNext/>
        <w:spacing w:before="240" w:after="120"/>
      </w:pPr>
      <w:r>
        <w:rPr>
          <w:rFonts w:ascii="Calibri" w:hAnsi="Calibri"/>
          <w:b/>
          <w:color w:val="1F2D5C"/>
          <w:sz w:val="32"/>
        </w:rPr>
        <w:t>4. The Dataset In Detail</w:t>
      </w:r>
    </w:p>
    <w:p>
      <w:pPr>
        <w:keepNext/>
        <w:spacing w:before="240" w:after="120"/>
      </w:pPr>
      <w:r>
        <w:rPr>
          <w:rFonts w:ascii="Calibri" w:hAnsi="Calibri"/>
          <w:b/>
          <w:color w:val="186F82"/>
          <w:sz w:val="26"/>
        </w:rPr>
        <w:t>4.1 What is in the UKDA-5050-stata bundle</w:t>
      </w:r>
    </w:p>
    <w:p>
      <w:pPr>
        <w:spacing w:after="120" w:line="300" w:lineRule="auto"/>
      </w:pPr>
      <w:r>
        <w:rPr>
          <w:rFonts w:ascii="Calibri" w:hAnsi="Calibri"/>
          <w:color w:val="222632"/>
          <w:sz w:val="22"/>
        </w:rPr>
        <w:t>The complete ELSA deposit contains 82 Stata files (~1.6 GB). For our analysis we focused on three file types per wave:</w:t>
      </w:r>
    </w:p>
    <w:tbl>
      <w:tblPr>
        <w:tblStyle w:val="LightGrid-Accent1"/>
        <w:tblW w:type="auto" w:w="0"/>
        <w:jc w:val="left"/>
        <w:tblLayout w:type="autofit"/>
        <w:tblLook w:firstColumn="1" w:firstRow="1" w:lastColumn="0" w:lastRow="0" w:noHBand="0" w:noVBand="1" w:val="04A0"/>
      </w:tblPr>
      <w:tblGrid>
        <w:gridCol w:w="2436"/>
        <w:gridCol w:w="2436"/>
        <w:gridCol w:w="2436"/>
        <w:gridCol w:w="2436"/>
      </w:tblGrid>
      <w:tr>
        <w:tc>
          <w:tcPr>
            <w:tcW w:type="dxa" w:w="2436"/>
            <w:vAlign w:val="center"/>
            <w:shd w:val="clear" w:color="auto" w:fill="1F2D5C"/>
          </w:tcPr>
          <w:p>
            <w:r/>
            <w:r>
              <w:rPr>
                <w:rFonts w:ascii="Calibri" w:hAnsi="Calibri"/>
                <w:b/>
                <w:color w:val="FFFFFF"/>
                <w:sz w:val="21"/>
              </w:rPr>
              <w:t>File type</w:t>
            </w:r>
          </w:p>
        </w:tc>
        <w:tc>
          <w:tcPr>
            <w:tcW w:type="dxa" w:w="2436"/>
            <w:vAlign w:val="center"/>
            <w:shd w:val="clear" w:color="auto" w:fill="1F2D5C"/>
          </w:tcPr>
          <w:p>
            <w:r/>
            <w:r>
              <w:rPr>
                <w:rFonts w:ascii="Calibri" w:hAnsi="Calibri"/>
                <w:b/>
                <w:color w:val="FFFFFF"/>
                <w:sz w:val="21"/>
              </w:rPr>
              <w:t>Example</w:t>
            </w:r>
          </w:p>
        </w:tc>
        <w:tc>
          <w:tcPr>
            <w:tcW w:type="dxa" w:w="2436"/>
            <w:vAlign w:val="center"/>
            <w:shd w:val="clear" w:color="auto" w:fill="1F2D5C"/>
          </w:tcPr>
          <w:p>
            <w:r/>
            <w:r>
              <w:rPr>
                <w:rFonts w:ascii="Calibri" w:hAnsi="Calibri"/>
                <w:b/>
                <w:color w:val="FFFFFF"/>
                <w:sz w:val="21"/>
              </w:rPr>
              <w:t>Rows × cols</w:t>
            </w:r>
          </w:p>
        </w:tc>
        <w:tc>
          <w:tcPr>
            <w:tcW w:type="dxa" w:w="2436"/>
            <w:vAlign w:val="center"/>
            <w:shd w:val="clear" w:color="auto" w:fill="1F2D5C"/>
          </w:tcPr>
          <w:p>
            <w:r/>
            <w:r>
              <w:rPr>
                <w:rFonts w:ascii="Calibri" w:hAnsi="Calibri"/>
                <w:b/>
                <w:color w:val="FFFFFF"/>
                <w:sz w:val="21"/>
              </w:rPr>
              <w:t>Content</w:t>
            </w:r>
          </w:p>
        </w:tc>
      </w:tr>
      <w:tr>
        <w:tc>
          <w:tcPr>
            <w:tcW w:type="dxa" w:w="2436"/>
            <w:vAlign w:val="center"/>
          </w:tcPr>
          <w:p>
            <w:r/>
            <w:r>
              <w:rPr>
                <w:rFonts w:ascii="Calibri" w:hAnsi="Calibri"/>
                <w:b/>
                <w:color w:val="222632"/>
                <w:sz w:val="20"/>
              </w:rPr>
              <w:t>Core interview</w:t>
            </w:r>
          </w:p>
        </w:tc>
        <w:tc>
          <w:tcPr>
            <w:tcW w:type="dxa" w:w="2436"/>
            <w:vAlign w:val="center"/>
          </w:tcPr>
          <w:p>
            <w:r/>
            <w:r>
              <w:rPr>
                <w:rFonts w:ascii="Consolas" w:hAnsi="Consolas"/>
                <w:color w:val="1F2D5C"/>
                <w:sz w:val="18"/>
              </w:rPr>
              <w:t>wave_6_elsa_data_v2.dta</w:t>
            </w:r>
          </w:p>
        </w:tc>
        <w:tc>
          <w:tcPr>
            <w:tcW w:type="dxa" w:w="2436"/>
            <w:vAlign w:val="center"/>
          </w:tcPr>
          <w:p>
            <w:r/>
            <w:r>
              <w:rPr>
                <w:rFonts w:ascii="Calibri" w:hAnsi="Calibri"/>
                <w:color w:val="222632"/>
                <w:sz w:val="20"/>
              </w:rPr>
              <w:t>10,601 × 6,189</w:t>
            </w:r>
          </w:p>
        </w:tc>
        <w:tc>
          <w:tcPr>
            <w:tcW w:type="dxa" w:w="2436"/>
            <w:vAlign w:val="center"/>
          </w:tcPr>
          <w:p>
            <w:r/>
            <w:r>
              <w:rPr>
                <w:rFonts w:ascii="Calibri" w:hAnsi="Calibri"/>
                <w:color w:val="222632"/>
                <w:sz w:val="20"/>
              </w:rPr>
              <w:t>Raw questionnaire responses including the 8 PSced depression items, self-rated health, chronic conditions, mobility, physical activity, social contact</w:t>
            </w:r>
          </w:p>
        </w:tc>
      </w:tr>
      <w:tr>
        <w:tc>
          <w:tcPr>
            <w:tcW w:type="dxa" w:w="2436"/>
            <w:vAlign w:val="center"/>
          </w:tcPr>
          <w:p>
            <w:r/>
            <w:r>
              <w:rPr>
                <w:rFonts w:ascii="Calibri" w:hAnsi="Calibri"/>
                <w:b/>
                <w:color w:val="222632"/>
                <w:sz w:val="20"/>
              </w:rPr>
              <w:t>IFS derived</w:t>
            </w:r>
          </w:p>
        </w:tc>
        <w:tc>
          <w:tcPr>
            <w:tcW w:type="dxa" w:w="2436"/>
            <w:vAlign w:val="center"/>
          </w:tcPr>
          <w:p>
            <w:r/>
            <w:r>
              <w:rPr>
                <w:rFonts w:ascii="Consolas" w:hAnsi="Consolas"/>
                <w:color w:val="1F2D5C"/>
                <w:sz w:val="18"/>
              </w:rPr>
              <w:t>wave_6_ifs_derived_variables.dta</w:t>
            </w:r>
          </w:p>
        </w:tc>
        <w:tc>
          <w:tcPr>
            <w:tcW w:type="dxa" w:w="2436"/>
            <w:vAlign w:val="center"/>
          </w:tcPr>
          <w:p>
            <w:r/>
            <w:r>
              <w:rPr>
                <w:rFonts w:ascii="Calibri" w:hAnsi="Calibri"/>
                <w:color w:val="222632"/>
                <w:sz w:val="20"/>
              </w:rPr>
              <w:t>10,601 × 404</w:t>
            </w:r>
          </w:p>
        </w:tc>
        <w:tc>
          <w:tcPr>
            <w:tcW w:type="dxa" w:w="2436"/>
            <w:vAlign w:val="center"/>
          </w:tcPr>
          <w:p>
            <w:r/>
            <w:r>
              <w:rPr>
                <w:rFonts w:ascii="Calibri" w:hAnsi="Calibri"/>
                <w:color w:val="222632"/>
                <w:sz w:val="20"/>
              </w:rPr>
              <w:t xml:space="preserve">Pre-computed summary variables maintained by the Institute for Fiscal Studies: age, sex, marital status, validated CES-D total </w:t>
            </w:r>
            <w:r>
              <w:rPr>
                <w:rFonts w:ascii="Consolas" w:hAnsi="Consolas"/>
                <w:color w:val="1F2D5C"/>
                <w:sz w:val="18"/>
              </w:rPr>
              <w:t>cesd_sc</w:t>
            </w:r>
            <w:r>
              <w:rPr>
                <w:rFonts w:ascii="Calibri" w:hAnsi="Calibri"/>
                <w:color w:val="222632"/>
                <w:sz w:val="20"/>
              </w:rPr>
              <w:t>, memory, executive function, employment, education, smoking</w:t>
            </w:r>
          </w:p>
        </w:tc>
      </w:tr>
      <w:tr>
        <w:tc>
          <w:tcPr>
            <w:tcW w:type="dxa" w:w="2436"/>
            <w:vAlign w:val="center"/>
          </w:tcPr>
          <w:p>
            <w:r/>
            <w:r>
              <w:rPr>
                <w:rFonts w:ascii="Calibri" w:hAnsi="Calibri"/>
                <w:b/>
                <w:color w:val="222632"/>
                <w:sz w:val="20"/>
              </w:rPr>
              <w:t>Financial derived</w:t>
            </w:r>
          </w:p>
        </w:tc>
        <w:tc>
          <w:tcPr>
            <w:tcW w:type="dxa" w:w="2436"/>
            <w:vAlign w:val="center"/>
          </w:tcPr>
          <w:p>
            <w:r/>
            <w:r>
              <w:rPr>
                <w:rFonts w:ascii="Consolas" w:hAnsi="Consolas"/>
                <w:color w:val="1F2D5C"/>
                <w:sz w:val="18"/>
              </w:rPr>
              <w:t>wave_6_financial_derived_variables.dta</w:t>
            </w:r>
          </w:p>
        </w:tc>
        <w:tc>
          <w:tcPr>
            <w:tcW w:type="dxa" w:w="2436"/>
            <w:vAlign w:val="center"/>
          </w:tcPr>
          <w:p>
            <w:r/>
            <w:r>
              <w:rPr>
                <w:rFonts w:ascii="Calibri" w:hAnsi="Calibri"/>
                <w:color w:val="222632"/>
                <w:sz w:val="20"/>
              </w:rPr>
              <w:t>10,601 × 667</w:t>
            </w:r>
          </w:p>
        </w:tc>
        <w:tc>
          <w:tcPr>
            <w:tcW w:type="dxa" w:w="2436"/>
            <w:vAlign w:val="center"/>
          </w:tcPr>
          <w:p>
            <w:r/>
            <w:r>
              <w:rPr>
                <w:rFonts w:ascii="Calibri" w:hAnsi="Calibri"/>
                <w:color w:val="222632"/>
                <w:sz w:val="20"/>
              </w:rPr>
              <w:t xml:space="preserve">Income and wealth variables including the benefit-unit wealth quintile </w:t>
            </w:r>
            <w:r>
              <w:rPr>
                <w:rFonts w:ascii="Consolas" w:hAnsi="Consolas"/>
                <w:color w:val="1F2D5C"/>
                <w:sz w:val="18"/>
              </w:rPr>
              <w:t>totwq5_bu_s</w:t>
            </w:r>
          </w:p>
        </w:tc>
      </w:tr>
    </w:tbl>
    <w:p>
      <w:pPr>
        <w:spacing w:after="120" w:line="300" w:lineRule="auto"/>
      </w:pPr>
      <w:r>
        <w:rPr>
          <w:rFonts w:ascii="Calibri" w:hAnsi="Calibri"/>
          <w:color w:val="222632"/>
          <w:sz w:val="22"/>
        </w:rPr>
        <w:t xml:space="preserve">Each respondent has a unique identifier </w:t>
      </w:r>
      <w:r>
        <w:rPr>
          <w:rFonts w:ascii="Consolas" w:hAnsi="Consolas"/>
          <w:color w:val="1F2D5C"/>
          <w:sz w:val="20"/>
        </w:rPr>
        <w:t>idauniq</w:t>
      </w:r>
      <w:r>
        <w:rPr>
          <w:rFonts w:ascii="Calibri" w:hAnsi="Calibri"/>
          <w:color w:val="222632"/>
          <w:sz w:val="22"/>
        </w:rPr>
        <w:t xml:space="preserve"> that persists across waves, allowing person-level joins.</w:t>
      </w:r>
    </w:p>
    <w:p>
      <w:pPr>
        <w:keepNext/>
        <w:spacing w:before="240" w:after="120"/>
      </w:pPr>
      <w:r>
        <w:rPr>
          <w:rFonts w:ascii="Calibri" w:hAnsi="Calibri"/>
          <w:b/>
          <w:color w:val="186F82"/>
          <w:sz w:val="26"/>
        </w:rPr>
        <w:t>4.2 Why Waves 6, 7, and 8</w:t>
      </w:r>
    </w:p>
    <w:p>
      <w:pPr>
        <w:spacing w:after="120" w:line="300" w:lineRule="auto"/>
      </w:pPr>
      <w:r>
        <w:rPr>
          <w:rFonts w:ascii="Calibri" w:hAnsi="Calibri"/>
          <w:color w:val="222632"/>
          <w:sz w:val="22"/>
        </w:rPr>
        <w:t>Akeeb's audit notebook examined every available wave (3–11) on three dimensions:</w:t>
      </w:r>
    </w:p>
    <w:p>
      <w:pPr>
        <w:pStyle w:val="ListBullet"/>
        <w:spacing w:after="40" w:line="288" w:lineRule="auto"/>
      </w:pPr>
      <w:r>
        <w:rPr>
          <w:rFonts w:ascii="Calibri" w:hAnsi="Calibri"/>
          <w:b/>
          <w:color w:val="222632"/>
          <w:sz w:val="22"/>
        </w:rPr>
        <w:t>CES-D quality.</w:t>
      </w:r>
      <w:r>
        <w:rPr>
          <w:rFonts w:ascii="Calibri" w:hAnsi="Calibri"/>
          <w:color w:val="222632"/>
          <w:sz w:val="22"/>
        </w:rPr>
        <w:t xml:space="preserve"> All waves contain the 8-item CES-D with 93–97% valid response rates after recoding survey missing codes (-1 = inapplicable, -8 = don't know, -9 = refused). The CES-D measure is therefore stable across waves.</w:t>
      </w:r>
    </w:p>
    <w:p>
      <w:pPr>
        <w:pStyle w:val="ListBullet"/>
        <w:spacing w:after="40" w:line="288" w:lineRule="auto"/>
      </w:pPr>
      <w:r>
        <w:rPr>
          <w:rFonts w:ascii="Calibri" w:hAnsi="Calibri"/>
          <w:b/>
          <w:color w:val="222632"/>
          <w:sz w:val="22"/>
        </w:rPr>
        <w:t>Participant overlap.</w:t>
      </w:r>
      <w:r>
        <w:rPr>
          <w:rFonts w:ascii="Calibri" w:hAnsi="Calibri"/>
          <w:color w:val="222632"/>
          <w:sz w:val="22"/>
        </w:rPr>
        <w:t xml:space="preserve"> The audit produced an overlap matrix showing the percentage of participants in any pair of waves. Consecutive waves retain &gt;90% of participants (e.g. W6 → W7 = 90%), while large gaps lose more (W3 → W11 retains only 34%). For longitudinal modelling, consecutive waves are strongly preferable.</w:t>
      </w:r>
    </w:p>
    <w:p>
      <w:pPr>
        <w:pStyle w:val="ListBullet"/>
        <w:spacing w:after="40" w:line="288" w:lineRule="auto"/>
      </w:pPr>
      <w:r>
        <w:rPr>
          <w:rFonts w:ascii="Calibri" w:hAnsi="Calibri"/>
          <w:b/>
          <w:color w:val="222632"/>
          <w:sz w:val="22"/>
        </w:rPr>
        <w:t>Feature drift.</w:t>
      </w:r>
      <w:r>
        <w:rPr>
          <w:rFonts w:ascii="Calibri" w:hAnsi="Calibri"/>
          <w:color w:val="222632"/>
          <w:sz w:val="22"/>
        </w:rPr>
        <w:t xml:space="preserve"> Across the 9 audited waves there are 13,920 unique variable names, but only 2,656 are common to every wave. Variable schemas evolve; longitudinal modelling must work from the shared subset.</w:t>
      </w:r>
    </w:p>
    <w:p>
      <w:pPr>
        <w:spacing w:after="120" w:line="300" w:lineRule="auto"/>
      </w:pPr>
      <w:r>
        <w:rPr>
          <w:rFonts w:ascii="Calibri" w:hAnsi="Calibri"/>
          <w:color w:val="222632"/>
          <w:sz w:val="22"/>
        </w:rPr>
        <w:t>Waves 6 (2012-13), 7 (2014-15), and 8 (2016-17) emerged as the strongest consecutive block: high overlap, complete CES-D, and stable feature schemas. Our analytic sample uses these three waves.</w:t>
      </w:r>
    </w:p>
    <w:p>
      <w:pPr>
        <w:keepNext/>
        <w:spacing w:before="240" w:after="120"/>
      </w:pPr>
      <w:r>
        <w:rPr>
          <w:rFonts w:ascii="Calibri" w:hAnsi="Calibri"/>
          <w:b/>
          <w:color w:val="186F82"/>
          <w:sz w:val="26"/>
        </w:rPr>
        <w:t>4.3 The CES-D scoring fix</w:t>
      </w:r>
    </w:p>
    <w:p>
      <w:pPr>
        <w:spacing w:after="120" w:line="300" w:lineRule="auto"/>
      </w:pPr>
      <w:r>
        <w:rPr>
          <w:rFonts w:ascii="Calibri" w:hAnsi="Calibri"/>
          <w:color w:val="222632"/>
          <w:sz w:val="22"/>
        </w:rPr>
        <w:t>Early in the project, an exploratory notebook reconstructed CES-D from raw PSced items but used a 0–3 per-item scale (designed for the longer HRS version), producing scores in the range 8–16 and an apparent prevalence of ~74%. This was clinically implausible — depression is not the majority condition in any adult population.</w:t>
      </w:r>
    </w:p>
    <w:p>
      <w:pPr>
        <w:spacing w:after="120" w:line="300" w:lineRule="auto"/>
      </w:pPr>
      <w:r>
        <w:rPr>
          <w:rFonts w:ascii="Calibri" w:hAnsi="Calibri"/>
          <w:color w:val="222632"/>
          <w:sz w:val="22"/>
        </w:rPr>
        <w:t xml:space="preserve">The fix was to use the IFS-validated </w:t>
      </w:r>
      <w:r>
        <w:rPr>
          <w:rFonts w:ascii="Consolas" w:hAnsi="Consolas"/>
          <w:color w:val="1F2D5C"/>
          <w:sz w:val="20"/>
        </w:rPr>
        <w:t>cesd_sc</w:t>
      </w:r>
      <w:r>
        <w:rPr>
          <w:rFonts w:ascii="Calibri" w:hAnsi="Calibri"/>
          <w:color w:val="222632"/>
          <w:sz w:val="22"/>
        </w:rPr>
        <w:t xml:space="preserve"> variable directly. ELSA's CES-D items are binary (1 = yes, 2 = no after Stata recoding), so the validated sum produces the correct 0–8 range. With the threshold of CES-D ≥ 3, the analytic sample shows ~19% prevalence — exactly what the literature predicts for English adults aged 50 and over.</w:t>
      </w:r>
    </w:p>
    <w:p>
      <w:pPr>
        <w:spacing w:after="120" w:line="300" w:lineRule="auto"/>
      </w:pPr>
      <w:r>
        <w:rPr>
          <w:rFonts w:ascii="Calibri" w:hAnsi="Calibri"/>
          <w:color w:val="222632"/>
          <w:sz w:val="22"/>
        </w:rPr>
        <w:t xml:space="preserve">This experience became one of the methodological lessons of the project: </w:t>
      </w:r>
      <w:r>
        <w:rPr>
          <w:rFonts w:ascii="Calibri" w:hAnsi="Calibri"/>
          <w:b/>
          <w:color w:val="222632"/>
          <w:sz w:val="22"/>
        </w:rPr>
        <w:t>always start from validated derived variables, and verify your outcome distribution against published prevalence before training any model</w:t>
      </w:r>
      <w:r>
        <w:rPr>
          <w:rFonts w:ascii="Calibri" w:hAnsi="Calibri"/>
          <w:color w:val="222632"/>
          <w:sz w:val="22"/>
        </w:rPr>
        <w:t>.</w:t>
      </w:r>
    </w:p>
    <w:p>
      <w:pPr>
        <w:spacing w:before="120" w:after="120"/>
        <w:pBdr>
          <w:bottom w:val="single" w:sz="6" w:space="1" w:color="AAAAAA"/>
        </w:pBdr>
      </w:pPr>
    </w:p>
    <w:p>
      <w:pPr>
        <w:keepNext/>
        <w:spacing w:before="240" w:after="120"/>
      </w:pPr>
      <w:r>
        <w:rPr>
          <w:rFonts w:ascii="Calibri" w:hAnsi="Calibri"/>
          <w:b/>
          <w:color w:val="1F2D5C"/>
          <w:sz w:val="32"/>
        </w:rPr>
        <w:t>5. Pipeline and Methodology</w:t>
      </w:r>
    </w:p>
    <w:p>
      <w:pPr>
        <w:keepNext/>
        <w:spacing w:before="240" w:after="120"/>
      </w:pPr>
      <w:r>
        <w:rPr>
          <w:rFonts w:ascii="Calibri" w:hAnsi="Calibri"/>
          <w:b/>
          <w:color w:val="186F82"/>
          <w:sz w:val="26"/>
        </w:rPr>
        <w:t>5.1 Analytic sample construction</w:t>
      </w:r>
    </w:p>
    <w:p>
      <w:pPr>
        <w:spacing w:after="120" w:line="300" w:lineRule="auto"/>
      </w:pPr>
      <w:r>
        <w:rPr>
          <w:rFonts w:ascii="Calibri" w:hAnsi="Calibri"/>
          <w:color w:val="222632"/>
          <w:sz w:val="22"/>
        </w:rPr>
        <w:t xml:space="preserve">We loaded IFS, core, and financial files for each of W6, W7, W8 and merged them on </w:t>
      </w:r>
      <w:r>
        <w:rPr>
          <w:rFonts w:ascii="Consolas" w:hAnsi="Consolas"/>
          <w:color w:val="1F2D5C"/>
          <w:sz w:val="20"/>
        </w:rPr>
        <w:t>idauniq</w:t>
      </w:r>
      <w:r>
        <w:rPr>
          <w:rFonts w:ascii="Calibri" w:hAnsi="Calibri"/>
          <w:color w:val="222632"/>
          <w:sz w:val="22"/>
        </w:rPr>
        <w:t xml:space="preserve"> (inner join), keeping only participants present in all three waves.</w:t>
      </w:r>
    </w:p>
    <w:tbl>
      <w:tblPr>
        <w:tblStyle w:val="LightGrid-Accent1"/>
        <w:tblW w:type="auto" w:w="0"/>
        <w:jc w:val="left"/>
        <w:tblLayout w:type="autofit"/>
        <w:tblLook w:firstColumn="1" w:firstRow="1" w:lastColumn="0" w:lastRow="0" w:noHBand="0" w:noVBand="1" w:val="04A0"/>
      </w:tblPr>
      <w:tblGrid>
        <w:gridCol w:w="4873"/>
        <w:gridCol w:w="4873"/>
      </w:tblGrid>
      <w:tr>
        <w:tc>
          <w:tcPr>
            <w:tcW w:type="dxa" w:w="4873"/>
            <w:vAlign w:val="center"/>
            <w:shd w:val="clear" w:color="auto" w:fill="1F2D5C"/>
          </w:tcPr>
          <w:p>
            <w:r/>
            <w:r>
              <w:rPr>
                <w:rFonts w:ascii="Calibri" w:hAnsi="Calibri"/>
                <w:b/>
                <w:color w:val="FFFFFF"/>
                <w:sz w:val="21"/>
              </w:rPr>
              <w:t>Step</w:t>
            </w:r>
          </w:p>
        </w:tc>
        <w:tc>
          <w:tcPr>
            <w:tcW w:type="dxa" w:w="4873"/>
            <w:vAlign w:val="center"/>
            <w:shd w:val="clear" w:color="auto" w:fill="1F2D5C"/>
          </w:tcPr>
          <w:p>
            <w:r/>
            <w:r>
              <w:rPr>
                <w:rFonts w:ascii="Calibri" w:hAnsi="Calibri"/>
                <w:b/>
                <w:color w:val="FFFFFF"/>
                <w:sz w:val="21"/>
              </w:rPr>
              <w:t>N</w:t>
            </w:r>
          </w:p>
        </w:tc>
      </w:tr>
      <w:tr>
        <w:tc>
          <w:tcPr>
            <w:tcW w:type="dxa" w:w="4873"/>
            <w:vAlign w:val="center"/>
          </w:tcPr>
          <w:p>
            <w:r/>
            <w:r>
              <w:rPr>
                <w:rFonts w:ascii="Calibri" w:hAnsi="Calibri"/>
                <w:color w:val="222632"/>
                <w:sz w:val="20"/>
              </w:rPr>
              <w:t>W6 IFS respondents</w:t>
            </w:r>
          </w:p>
        </w:tc>
        <w:tc>
          <w:tcPr>
            <w:tcW w:type="dxa" w:w="4873"/>
            <w:vAlign w:val="center"/>
          </w:tcPr>
          <w:p>
            <w:r/>
            <w:r>
              <w:rPr>
                <w:rFonts w:ascii="Calibri" w:hAnsi="Calibri"/>
                <w:color w:val="222632"/>
                <w:sz w:val="20"/>
              </w:rPr>
              <w:t>10,601</w:t>
            </w:r>
          </w:p>
        </w:tc>
      </w:tr>
      <w:tr>
        <w:tc>
          <w:tcPr>
            <w:tcW w:type="dxa" w:w="4873"/>
            <w:vAlign w:val="center"/>
          </w:tcPr>
          <w:p>
            <w:r/>
            <w:r>
              <w:rPr>
                <w:rFonts w:ascii="Calibri" w:hAnsi="Calibri"/>
                <w:color w:val="222632"/>
                <w:sz w:val="20"/>
              </w:rPr>
              <w:t>W7 IFS respondents</w:t>
            </w:r>
          </w:p>
        </w:tc>
        <w:tc>
          <w:tcPr>
            <w:tcW w:type="dxa" w:w="4873"/>
            <w:vAlign w:val="center"/>
          </w:tcPr>
          <w:p>
            <w:r/>
            <w:r>
              <w:rPr>
                <w:rFonts w:ascii="Calibri" w:hAnsi="Calibri"/>
                <w:color w:val="222632"/>
                <w:sz w:val="20"/>
              </w:rPr>
              <w:t>9,666</w:t>
            </w:r>
          </w:p>
        </w:tc>
      </w:tr>
      <w:tr>
        <w:tc>
          <w:tcPr>
            <w:tcW w:type="dxa" w:w="4873"/>
            <w:vAlign w:val="center"/>
          </w:tcPr>
          <w:p>
            <w:r/>
            <w:r>
              <w:rPr>
                <w:rFonts w:ascii="Calibri" w:hAnsi="Calibri"/>
                <w:color w:val="222632"/>
                <w:sz w:val="20"/>
              </w:rPr>
              <w:t>W8 IFS respondents</w:t>
            </w:r>
          </w:p>
        </w:tc>
        <w:tc>
          <w:tcPr>
            <w:tcW w:type="dxa" w:w="4873"/>
            <w:vAlign w:val="center"/>
          </w:tcPr>
          <w:p>
            <w:r/>
            <w:r>
              <w:rPr>
                <w:rFonts w:ascii="Calibri" w:hAnsi="Calibri"/>
                <w:color w:val="222632"/>
                <w:sz w:val="20"/>
              </w:rPr>
              <w:t>8,445</w:t>
            </w:r>
          </w:p>
        </w:tc>
      </w:tr>
      <w:tr>
        <w:tc>
          <w:tcPr>
            <w:tcW w:type="dxa" w:w="4873"/>
            <w:vAlign w:val="center"/>
          </w:tcPr>
          <w:p>
            <w:r/>
            <w:r>
              <w:rPr>
                <w:rFonts w:ascii="Calibri" w:hAnsi="Calibri"/>
                <w:color w:val="222632"/>
                <w:sz w:val="20"/>
              </w:rPr>
              <w:t>Inner join W6 ∩ W7 ∩ W8</w:t>
            </w:r>
          </w:p>
        </w:tc>
        <w:tc>
          <w:tcPr>
            <w:tcW w:type="dxa" w:w="4873"/>
            <w:vAlign w:val="center"/>
          </w:tcPr>
          <w:p>
            <w:r/>
            <w:r>
              <w:rPr>
                <w:rFonts w:ascii="Calibri" w:hAnsi="Calibri"/>
                <w:color w:val="222632"/>
                <w:sz w:val="20"/>
              </w:rPr>
              <w:t>7,535</w:t>
            </w:r>
          </w:p>
        </w:tc>
      </w:tr>
      <w:tr>
        <w:tc>
          <w:tcPr>
            <w:tcW w:type="dxa" w:w="4873"/>
            <w:vAlign w:val="center"/>
          </w:tcPr>
          <w:p>
            <w:r/>
            <w:r>
              <w:rPr>
                <w:rFonts w:ascii="Calibri" w:hAnsi="Calibri"/>
                <w:color w:val="222632"/>
                <w:sz w:val="20"/>
              </w:rPr>
              <w:t xml:space="preserve">With valid </w:t>
            </w:r>
            <w:r>
              <w:rPr>
                <w:rFonts w:ascii="Consolas" w:hAnsi="Consolas"/>
                <w:color w:val="1F2D5C"/>
                <w:sz w:val="18"/>
              </w:rPr>
              <w:t>cesd_sc_w8</w:t>
            </w:r>
            <w:r>
              <w:rPr>
                <w:rFonts w:ascii="Calibri" w:hAnsi="Calibri"/>
                <w:color w:val="222632"/>
                <w:sz w:val="20"/>
              </w:rPr>
              <w:t xml:space="preserve"> (after dropping survey missing codes)</w:t>
            </w:r>
          </w:p>
        </w:tc>
        <w:tc>
          <w:tcPr>
            <w:tcW w:type="dxa" w:w="4873"/>
            <w:vAlign w:val="center"/>
          </w:tcPr>
          <w:p>
            <w:r/>
            <w:r>
              <w:rPr>
                <w:rFonts w:ascii="Calibri" w:hAnsi="Calibri"/>
                <w:b/>
                <w:color w:val="222632"/>
                <w:sz w:val="20"/>
              </w:rPr>
              <w:t>7,211</w:t>
            </w:r>
          </w:p>
        </w:tc>
      </w:tr>
    </w:tbl>
    <w:p>
      <w:pPr>
        <w:spacing w:after="120" w:line="300" w:lineRule="auto"/>
      </w:pPr>
      <w:r>
        <w:rPr>
          <w:rFonts w:ascii="Calibri" w:hAnsi="Calibri"/>
          <w:color w:val="222632"/>
          <w:sz w:val="22"/>
        </w:rPr>
        <w:t>The 7,211 figure is our final modelling sample.</w:t>
      </w:r>
    </w:p>
    <w:p>
      <w:pPr>
        <w:keepNext/>
        <w:spacing w:before="240" w:after="120"/>
      </w:pPr>
      <w:r>
        <w:rPr>
          <w:rFonts w:ascii="Calibri" w:hAnsi="Calibri"/>
          <w:b/>
          <w:color w:val="186F82"/>
          <w:sz w:val="26"/>
        </w:rPr>
        <w:t>5.2 Outcome variable</w:t>
      </w:r>
    </w:p>
    <w:p>
      <w:pPr>
        <w:spacing w:after="120" w:line="300" w:lineRule="auto"/>
      </w:pPr>
      <w:r>
        <w:rPr>
          <w:rFonts w:ascii="Calibri" w:hAnsi="Calibri"/>
          <w:color w:val="222632"/>
          <w:sz w:val="22"/>
        </w:rPr>
        <w:t xml:space="preserve">The label </w:t>
      </w:r>
      <w:r>
        <w:rPr>
          <w:rFonts w:ascii="Consolas" w:hAnsi="Consolas"/>
          <w:color w:val="1F2D5C"/>
          <w:sz w:val="20"/>
        </w:rPr>
        <w:t>depressed_w8 = (cesd_sc_w8 &gt;= 3)</w:t>
      </w:r>
      <w:r>
        <w:rPr>
          <w:rFonts w:ascii="Calibri" w:hAnsi="Calibri"/>
          <w:color w:val="222632"/>
          <w:sz w:val="22"/>
        </w:rPr>
        <w:t xml:space="preserve"> produces:</w:t>
      </w:r>
    </w:p>
    <w:p>
      <w:pPr>
        <w:pStyle w:val="ListBullet"/>
        <w:spacing w:after="40" w:line="288" w:lineRule="auto"/>
      </w:pPr>
      <w:r>
        <w:rPr>
          <w:rFonts w:ascii="Calibri" w:hAnsi="Calibri"/>
          <w:b/>
          <w:color w:val="222632"/>
          <w:sz w:val="22"/>
        </w:rPr>
        <w:t>Depressed (1):</w:t>
      </w:r>
      <w:r>
        <w:rPr>
          <w:rFonts w:ascii="Calibri" w:hAnsi="Calibri"/>
          <w:color w:val="222632"/>
          <w:sz w:val="22"/>
        </w:rPr>
        <w:t xml:space="preserve"> 1,372 participants (19.0%)</w:t>
      </w:r>
    </w:p>
    <w:p>
      <w:pPr>
        <w:pStyle w:val="ListBullet"/>
        <w:spacing w:after="40" w:line="288" w:lineRule="auto"/>
      </w:pPr>
      <w:r>
        <w:rPr>
          <w:rFonts w:ascii="Calibri" w:hAnsi="Calibri"/>
          <w:b/>
          <w:color w:val="222632"/>
          <w:sz w:val="22"/>
        </w:rPr>
        <w:t>Not depressed (0):</w:t>
      </w:r>
      <w:r>
        <w:rPr>
          <w:rFonts w:ascii="Calibri" w:hAnsi="Calibri"/>
          <w:color w:val="222632"/>
          <w:sz w:val="22"/>
        </w:rPr>
        <w:t xml:space="preserve"> 5,839 participants (81.0%)</w:t>
      </w:r>
    </w:p>
    <w:p>
      <w:pPr>
        <w:spacing w:after="120" w:line="300" w:lineRule="auto"/>
      </w:pPr>
      <w:r>
        <w:rPr>
          <w:rFonts w:ascii="Calibri" w:hAnsi="Calibri"/>
          <w:color w:val="222632"/>
          <w:sz w:val="22"/>
        </w:rPr>
        <w:t xml:space="preserve">This is the imbalance every model must handle. We address it via </w:t>
      </w:r>
      <w:r>
        <w:rPr>
          <w:rFonts w:ascii="Consolas" w:hAnsi="Consolas"/>
          <w:color w:val="1F2D5C"/>
          <w:sz w:val="20"/>
        </w:rPr>
        <w:t>class_weight='balanced'</w:t>
      </w:r>
      <w:r>
        <w:rPr>
          <w:rFonts w:ascii="Calibri" w:hAnsi="Calibri"/>
          <w:color w:val="222632"/>
          <w:sz w:val="22"/>
        </w:rPr>
        <w:t xml:space="preserve"> in scikit-learn's logistic regression and random forest, and </w:t>
      </w:r>
      <w:r>
        <w:rPr>
          <w:rFonts w:ascii="Consolas" w:hAnsi="Consolas"/>
          <w:color w:val="1F2D5C"/>
          <w:sz w:val="20"/>
        </w:rPr>
        <w:t>scale_pos_weight=4</w:t>
      </w:r>
      <w:r>
        <w:rPr>
          <w:rFonts w:ascii="Calibri" w:hAnsi="Calibri"/>
          <w:color w:val="222632"/>
          <w:sz w:val="22"/>
        </w:rPr>
        <w:t xml:space="preserve"> in XGBoost — both equivalent strategies for upweighting the minority class so it is not ignored.</w:t>
      </w:r>
    </w:p>
    <w:p>
      <w:pPr>
        <w:keepNext/>
        <w:spacing w:before="240" w:after="120"/>
      </w:pPr>
      <w:r>
        <w:rPr>
          <w:rFonts w:ascii="Calibri" w:hAnsi="Calibri"/>
          <w:b/>
          <w:color w:val="186F82"/>
          <w:sz w:val="26"/>
        </w:rPr>
        <w:t>5.3 Preprocessing</w:t>
      </w:r>
    </w:p>
    <w:p>
      <w:pPr>
        <w:spacing w:after="120" w:line="300" w:lineRule="auto"/>
      </w:pPr>
      <w:r>
        <w:rPr>
          <w:rFonts w:ascii="Calibri" w:hAnsi="Calibri"/>
          <w:color w:val="222632"/>
          <w:sz w:val="22"/>
        </w:rPr>
        <w:t>Three steps, in order:</w:t>
      </w:r>
    </w:p>
    <w:p>
      <w:pPr>
        <w:pStyle w:val="ListBullet"/>
        <w:spacing w:after="40" w:line="288" w:lineRule="auto"/>
      </w:pPr>
      <w:r>
        <w:rPr>
          <w:rFonts w:ascii="Calibri" w:hAnsi="Calibri"/>
          <w:b/>
          <w:color w:val="222632"/>
          <w:sz w:val="22"/>
        </w:rPr>
        <w:t>Survey missing code recoding.</w:t>
      </w:r>
      <w:r>
        <w:rPr>
          <w:rFonts w:ascii="Calibri" w:hAnsi="Calibri"/>
          <w:color w:val="222632"/>
          <w:sz w:val="22"/>
        </w:rPr>
        <w:t xml:space="preserve"> ELSA encodes non-responses as numeric -1, -2, -8, -9. Every predictor column is converted to numeric and these codes are mapped to NaN.</w:t>
      </w:r>
    </w:p>
    <w:p>
      <w:pPr>
        <w:pStyle w:val="ListBullet"/>
        <w:spacing w:after="40" w:line="288" w:lineRule="auto"/>
      </w:pPr>
      <w:r>
        <w:rPr>
          <w:rFonts w:ascii="Calibri" w:hAnsi="Calibri"/>
          <w:b/>
          <w:color w:val="222632"/>
          <w:sz w:val="22"/>
        </w:rPr>
        <w:t>High-missingness column drop.</w:t>
      </w:r>
      <w:r>
        <w:rPr>
          <w:rFonts w:ascii="Calibri" w:hAnsi="Calibri"/>
          <w:color w:val="222632"/>
          <w:sz w:val="22"/>
        </w:rPr>
        <w:t xml:space="preserve"> Columns with more than 40% missing values are dropped. The threshold is computed on a training-only split (75% of data) to ensure the test set does not influence which features the model sees. In practice only one column triggers the threshold (</w:t>
      </w:r>
      <w:r>
        <w:rPr>
          <w:rFonts w:ascii="Consolas" w:hAnsi="Consolas"/>
          <w:color w:val="1F2D5C"/>
          <w:sz w:val="20"/>
        </w:rPr>
        <w:t>ndepriv_w7</w:t>
      </w:r>
      <w:r>
        <w:rPr>
          <w:rFonts w:ascii="Calibri" w:hAnsi="Calibri"/>
          <w:color w:val="222632"/>
          <w:sz w:val="22"/>
        </w:rPr>
        <w:t xml:space="preserve"> at 56% missing), but the methodology is correct.</w:t>
      </w:r>
    </w:p>
    <w:p>
      <w:pPr>
        <w:pStyle w:val="ListBullet"/>
        <w:spacing w:after="40" w:line="288" w:lineRule="auto"/>
      </w:pPr>
      <w:r>
        <w:rPr>
          <w:rFonts w:ascii="Calibri" w:hAnsi="Calibri"/>
          <w:b/>
          <w:color w:val="222632"/>
          <w:sz w:val="22"/>
        </w:rPr>
        <w:t>Wave-symmetry enforcement.</w:t>
      </w:r>
      <w:r>
        <w:rPr>
          <w:rFonts w:ascii="Calibri" w:hAnsi="Calibri"/>
          <w:color w:val="222632"/>
          <w:sz w:val="22"/>
        </w:rPr>
        <w:t xml:space="preserve"> If a stem (e.g. </w:t>
      </w:r>
      <w:r>
        <w:rPr>
          <w:rFonts w:ascii="Consolas" w:hAnsi="Consolas"/>
          <w:color w:val="1F2D5C"/>
          <w:sz w:val="20"/>
        </w:rPr>
        <w:t>ndepriv</w:t>
      </w:r>
      <w:r>
        <w:rPr>
          <w:rFonts w:ascii="Calibri" w:hAnsi="Calibri"/>
          <w:color w:val="222632"/>
          <w:sz w:val="22"/>
        </w:rPr>
        <w:t>) is dropped at one wave, it is dropped from both waves. This prevents the longitudinal model from training on a feature that is half-available across time, which would produce inconsistent measurements per person.</w:t>
      </w:r>
    </w:p>
    <w:p>
      <w:pPr>
        <w:spacing w:after="120" w:line="300" w:lineRule="auto"/>
      </w:pPr>
      <w:r>
        <w:rPr>
          <w:rFonts w:ascii="Calibri" w:hAnsi="Calibri"/>
          <w:color w:val="222632"/>
          <w:sz w:val="22"/>
        </w:rPr>
        <w:t xml:space="preserve">Imputation (median) and scaling (standard) happen inside scikit-learn </w:t>
      </w:r>
      <w:r>
        <w:rPr>
          <w:rFonts w:ascii="Consolas" w:hAnsi="Consolas"/>
          <w:color w:val="1F2D5C"/>
          <w:sz w:val="20"/>
        </w:rPr>
        <w:t>Pipeline</w:t>
      </w:r>
      <w:r>
        <w:rPr>
          <w:rFonts w:ascii="Calibri" w:hAnsi="Calibri"/>
          <w:color w:val="222632"/>
          <w:sz w:val="22"/>
        </w:rPr>
        <w:t xml:space="preserve"> objects so they are fit on training data only — no test-set leakage.</w:t>
      </w:r>
    </w:p>
    <w:p>
      <w:pPr>
        <w:keepNext/>
        <w:spacing w:before="240" w:after="120"/>
      </w:pPr>
      <w:r>
        <w:rPr>
          <w:rFonts w:ascii="Calibri" w:hAnsi="Calibri"/>
          <w:b/>
          <w:color w:val="186F82"/>
          <w:sz w:val="26"/>
        </w:rPr>
        <w:t>5.4 Feature engineering</w:t>
      </w:r>
    </w:p>
    <w:p>
      <w:pPr>
        <w:spacing w:after="120" w:line="300" w:lineRule="auto"/>
      </w:pPr>
      <w:r>
        <w:rPr>
          <w:rFonts w:ascii="Calibri" w:hAnsi="Calibri"/>
          <w:color w:val="222632"/>
          <w:sz w:val="22"/>
        </w:rPr>
        <w:t>We constructed 10 clinically meaningful derived features:</w:t>
      </w:r>
    </w:p>
    <w:tbl>
      <w:tblPr>
        <w:tblStyle w:val="LightGrid-Accent1"/>
        <w:tblW w:type="auto" w:w="0"/>
        <w:jc w:val="left"/>
        <w:tblLayout w:type="autofit"/>
        <w:tblLook w:firstColumn="1" w:firstRow="1" w:lastColumn="0" w:lastRow="0" w:noHBand="0" w:noVBand="1" w:val="04A0"/>
      </w:tblPr>
      <w:tblGrid>
        <w:gridCol w:w="3249"/>
        <w:gridCol w:w="3249"/>
        <w:gridCol w:w="3249"/>
      </w:tblGrid>
      <w:tr>
        <w:tc>
          <w:tcPr>
            <w:tcW w:type="dxa" w:w="3249"/>
            <w:vAlign w:val="center"/>
            <w:shd w:val="clear" w:color="auto" w:fill="1F2D5C"/>
          </w:tcPr>
          <w:p>
            <w:r/>
            <w:r>
              <w:rPr>
                <w:rFonts w:ascii="Calibri" w:hAnsi="Calibri"/>
                <w:b/>
                <w:color w:val="FFFFFF"/>
                <w:sz w:val="21"/>
              </w:rPr>
              <w:t>Feature</w:t>
            </w:r>
          </w:p>
        </w:tc>
        <w:tc>
          <w:tcPr>
            <w:tcW w:type="dxa" w:w="3249"/>
            <w:vAlign w:val="center"/>
            <w:shd w:val="clear" w:color="auto" w:fill="1F2D5C"/>
          </w:tcPr>
          <w:p>
            <w:r/>
            <w:r>
              <w:rPr>
                <w:rFonts w:ascii="Calibri" w:hAnsi="Calibri"/>
                <w:b/>
                <w:color w:val="FFFFFF"/>
                <w:sz w:val="21"/>
              </w:rPr>
              <w:t>Definition</w:t>
            </w:r>
          </w:p>
        </w:tc>
        <w:tc>
          <w:tcPr>
            <w:tcW w:type="dxa" w:w="3249"/>
            <w:vAlign w:val="center"/>
            <w:shd w:val="clear" w:color="auto" w:fill="1F2D5C"/>
          </w:tcPr>
          <w:p>
            <w:r/>
            <w:r>
              <w:rPr>
                <w:rFonts w:ascii="Calibri" w:hAnsi="Calibri"/>
                <w:b/>
                <w:color w:val="FFFFFF"/>
                <w:sz w:val="21"/>
              </w:rPr>
              <w:t>Clinical meaning</w:t>
            </w:r>
          </w:p>
        </w:tc>
      </w:tr>
      <w:tr>
        <w:tc>
          <w:tcPr>
            <w:tcW w:type="dxa" w:w="3249"/>
            <w:vAlign w:val="center"/>
          </w:tcPr>
          <w:p>
            <w:r/>
            <w:r>
              <w:rPr>
                <w:rFonts w:ascii="Consolas" w:hAnsi="Consolas"/>
                <w:color w:val="1F2D5C"/>
                <w:sz w:val="18"/>
              </w:rPr>
              <w:t>cesd_change</w:t>
            </w:r>
          </w:p>
        </w:tc>
        <w:tc>
          <w:tcPr>
            <w:tcW w:type="dxa" w:w="3249"/>
            <w:vAlign w:val="center"/>
          </w:tcPr>
          <w:p>
            <w:r/>
            <w:r>
              <w:rPr>
                <w:rFonts w:ascii="Calibri" w:hAnsi="Calibri"/>
                <w:color w:val="222632"/>
                <w:sz w:val="20"/>
              </w:rPr>
              <w:t>CES-D(W7) − CES-D(W6)</w:t>
            </w:r>
          </w:p>
        </w:tc>
        <w:tc>
          <w:tcPr>
            <w:tcW w:type="dxa" w:w="3249"/>
            <w:vAlign w:val="center"/>
          </w:tcPr>
          <w:p>
            <w:r/>
            <w:r>
              <w:rPr>
                <w:rFonts w:ascii="Calibri" w:hAnsi="Calibri"/>
                <w:color w:val="222632"/>
                <w:sz w:val="20"/>
              </w:rPr>
              <w:t>Trajectory of depressive symptoms</w:t>
            </w:r>
          </w:p>
        </w:tc>
      </w:tr>
      <w:tr>
        <w:tc>
          <w:tcPr>
            <w:tcW w:type="dxa" w:w="3249"/>
            <w:vAlign w:val="center"/>
          </w:tcPr>
          <w:p>
            <w:r/>
            <w:r>
              <w:rPr>
                <w:rFonts w:ascii="Consolas" w:hAnsi="Consolas"/>
                <w:color w:val="1F2D5C"/>
                <w:sz w:val="18"/>
              </w:rPr>
              <w:t>mobility_count_w6/7</w:t>
            </w:r>
          </w:p>
        </w:tc>
        <w:tc>
          <w:tcPr>
            <w:tcW w:type="dxa" w:w="3249"/>
            <w:vAlign w:val="center"/>
          </w:tcPr>
          <w:p>
            <w:r/>
            <w:r>
              <w:rPr>
                <w:rFonts w:ascii="Calibri" w:hAnsi="Calibri"/>
                <w:color w:val="222632"/>
                <w:sz w:val="20"/>
              </w:rPr>
              <w:t>Sum of 10 mobility difficulty items</w:t>
            </w:r>
          </w:p>
        </w:tc>
        <w:tc>
          <w:tcPr>
            <w:tcW w:type="dxa" w:w="3249"/>
            <w:vAlign w:val="center"/>
          </w:tcPr>
          <w:p>
            <w:r/>
            <w:r>
              <w:rPr>
                <w:rFonts w:ascii="Calibri" w:hAnsi="Calibri"/>
                <w:color w:val="222632"/>
                <w:sz w:val="20"/>
              </w:rPr>
              <w:t>Composite physical function score</w:t>
            </w:r>
          </w:p>
        </w:tc>
      </w:tr>
      <w:tr>
        <w:tc>
          <w:tcPr>
            <w:tcW w:type="dxa" w:w="3249"/>
            <w:vAlign w:val="center"/>
          </w:tcPr>
          <w:p>
            <w:r/>
            <w:r>
              <w:rPr>
                <w:rFonts w:ascii="Consolas" w:hAnsi="Consolas"/>
                <w:color w:val="1F2D5C"/>
                <w:sz w:val="18"/>
              </w:rPr>
              <w:t>adl_count_w6/7</w:t>
            </w:r>
          </w:p>
        </w:tc>
        <w:tc>
          <w:tcPr>
            <w:tcW w:type="dxa" w:w="3249"/>
            <w:vAlign w:val="center"/>
          </w:tcPr>
          <w:p>
            <w:r/>
            <w:r>
              <w:rPr>
                <w:rFonts w:ascii="Calibri" w:hAnsi="Calibri"/>
                <w:color w:val="222632"/>
                <w:sz w:val="20"/>
              </w:rPr>
              <w:t>Sum of 6 ADL items</w:t>
            </w:r>
          </w:p>
        </w:tc>
        <w:tc>
          <w:tcPr>
            <w:tcW w:type="dxa" w:w="3249"/>
            <w:vAlign w:val="center"/>
          </w:tcPr>
          <w:p>
            <w:r/>
            <w:r>
              <w:rPr>
                <w:rFonts w:ascii="Calibri" w:hAnsi="Calibri"/>
                <w:color w:val="222632"/>
                <w:sz w:val="20"/>
              </w:rPr>
              <w:t>Basic self-care difficulty (bathing, dressing, eating)</w:t>
            </w:r>
          </w:p>
        </w:tc>
      </w:tr>
      <w:tr>
        <w:tc>
          <w:tcPr>
            <w:tcW w:type="dxa" w:w="3249"/>
            <w:vAlign w:val="center"/>
          </w:tcPr>
          <w:p>
            <w:r/>
            <w:r>
              <w:rPr>
                <w:rFonts w:ascii="Consolas" w:hAnsi="Consolas"/>
                <w:color w:val="1F2D5C"/>
                <w:sz w:val="18"/>
              </w:rPr>
              <w:t>iadl_count_w6/7</w:t>
            </w:r>
          </w:p>
        </w:tc>
        <w:tc>
          <w:tcPr>
            <w:tcW w:type="dxa" w:w="3249"/>
            <w:vAlign w:val="center"/>
          </w:tcPr>
          <w:p>
            <w:r/>
            <w:r>
              <w:rPr>
                <w:rFonts w:ascii="Calibri" w:hAnsi="Calibri"/>
                <w:color w:val="222632"/>
                <w:sz w:val="20"/>
              </w:rPr>
              <w:t>Sum of 9 IADL items</w:t>
            </w:r>
          </w:p>
        </w:tc>
        <w:tc>
          <w:tcPr>
            <w:tcW w:type="dxa" w:w="3249"/>
            <w:vAlign w:val="center"/>
          </w:tcPr>
          <w:p>
            <w:r/>
            <w:r>
              <w:rPr>
                <w:rFonts w:ascii="Calibri" w:hAnsi="Calibri"/>
                <w:color w:val="222632"/>
                <w:sz w:val="20"/>
              </w:rPr>
              <w:t>Complex daily task difficulty (managing money, taking medication)</w:t>
            </w:r>
          </w:p>
        </w:tc>
      </w:tr>
      <w:tr>
        <w:tc>
          <w:tcPr>
            <w:tcW w:type="dxa" w:w="3249"/>
            <w:vAlign w:val="center"/>
          </w:tcPr>
          <w:p>
            <w:r/>
            <w:r>
              <w:rPr>
                <w:rFonts w:ascii="Consolas" w:hAnsi="Consolas"/>
                <w:color w:val="1F2D5C"/>
                <w:sz w:val="18"/>
              </w:rPr>
              <w:t>functional_burden_w6/7</w:t>
            </w:r>
          </w:p>
        </w:tc>
        <w:tc>
          <w:tcPr>
            <w:tcW w:type="dxa" w:w="3249"/>
            <w:vAlign w:val="center"/>
          </w:tcPr>
          <w:p>
            <w:r/>
            <w:r>
              <w:rPr>
                <w:rFonts w:ascii="Calibri" w:hAnsi="Calibri"/>
                <w:color w:val="222632"/>
                <w:sz w:val="20"/>
              </w:rPr>
              <w:t>ADL + IADL count</w:t>
            </w:r>
          </w:p>
        </w:tc>
        <w:tc>
          <w:tcPr>
            <w:tcW w:type="dxa" w:w="3249"/>
            <w:vAlign w:val="center"/>
          </w:tcPr>
          <w:p>
            <w:r/>
            <w:r>
              <w:rPr>
                <w:rFonts w:ascii="Calibri" w:hAnsi="Calibri"/>
                <w:color w:val="222632"/>
                <w:sz w:val="20"/>
              </w:rPr>
              <w:t>Total functional impairment</w:t>
            </w:r>
          </w:p>
        </w:tc>
      </w:tr>
      <w:tr>
        <w:tc>
          <w:tcPr>
            <w:tcW w:type="dxa" w:w="3249"/>
            <w:vAlign w:val="center"/>
          </w:tcPr>
          <w:p>
            <w:r/>
            <w:r>
              <w:rPr>
                <w:rFonts w:ascii="Consolas" w:hAnsi="Consolas"/>
                <w:color w:val="1F2D5C"/>
                <w:sz w:val="18"/>
              </w:rPr>
              <w:t>mobility_change</w:t>
            </w:r>
          </w:p>
        </w:tc>
        <w:tc>
          <w:tcPr>
            <w:tcW w:type="dxa" w:w="3249"/>
            <w:vAlign w:val="center"/>
          </w:tcPr>
          <w:p>
            <w:r/>
            <w:r>
              <w:rPr>
                <w:rFonts w:ascii="Calibri" w:hAnsi="Calibri"/>
                <w:color w:val="222632"/>
                <w:sz w:val="20"/>
              </w:rPr>
              <w:t>Mobility(W7) − Mobility(W6)</w:t>
            </w:r>
          </w:p>
        </w:tc>
        <w:tc>
          <w:tcPr>
            <w:tcW w:type="dxa" w:w="3249"/>
            <w:vAlign w:val="center"/>
          </w:tcPr>
          <w:p>
            <w:r/>
            <w:r>
              <w:rPr>
                <w:rFonts w:ascii="Calibri" w:hAnsi="Calibri"/>
                <w:color w:val="222632"/>
                <w:sz w:val="20"/>
              </w:rPr>
              <w:t>Decline in physical function</w:t>
            </w:r>
          </w:p>
        </w:tc>
      </w:tr>
    </w:tbl>
    <w:p>
      <w:pPr>
        <w:spacing w:after="120" w:line="300" w:lineRule="auto"/>
      </w:pPr>
      <w:r>
        <w:rPr>
          <w:rFonts w:ascii="Calibri" w:hAnsi="Calibri"/>
          <w:color w:val="222632"/>
          <w:sz w:val="22"/>
        </w:rPr>
        <w:t xml:space="preserve">The </w:t>
      </w:r>
      <w:r>
        <w:rPr>
          <w:rFonts w:ascii="Consolas" w:hAnsi="Consolas"/>
          <w:color w:val="1F2D5C"/>
          <w:sz w:val="20"/>
        </w:rPr>
        <w:t>cesd_change</w:t>
      </w:r>
      <w:r>
        <w:rPr>
          <w:rFonts w:ascii="Calibri" w:hAnsi="Calibri"/>
          <w:color w:val="222632"/>
          <w:sz w:val="22"/>
        </w:rPr>
        <w:t xml:space="preserve"> and </w:t>
      </w:r>
      <w:r>
        <w:rPr>
          <w:rFonts w:ascii="Consolas" w:hAnsi="Consolas"/>
          <w:color w:val="1F2D5C"/>
          <w:sz w:val="20"/>
        </w:rPr>
        <w:t>mobility_change</w:t>
      </w:r>
      <w:r>
        <w:rPr>
          <w:rFonts w:ascii="Calibri" w:hAnsi="Calibri"/>
          <w:color w:val="222632"/>
          <w:sz w:val="22"/>
        </w:rPr>
        <w:t xml:space="preserve"> features explicitly capture </w:t>
      </w:r>
      <w:r>
        <w:rPr>
          <w:rFonts w:ascii="Calibri" w:hAnsi="Calibri"/>
          <w:b/>
          <w:color w:val="222632"/>
          <w:sz w:val="22"/>
        </w:rPr>
        <w:t>temporal change</w:t>
      </w:r>
      <w:r>
        <w:rPr>
          <w:rFonts w:ascii="Calibri" w:hAnsi="Calibri"/>
          <w:color w:val="222632"/>
          <w:sz w:val="22"/>
        </w:rPr>
        <w:t>, satisfying the assignment brief's requirement to "represent the temporal changes that lead to mental health issues."</w:t>
      </w:r>
    </w:p>
    <w:p>
      <w:pPr>
        <w:keepNext/>
        <w:spacing w:before="240" w:after="120"/>
      </w:pPr>
      <w:r>
        <w:rPr>
          <w:rFonts w:ascii="Calibri" w:hAnsi="Calibri"/>
          <w:b/>
          <w:color w:val="186F82"/>
          <w:sz w:val="26"/>
        </w:rPr>
        <w:t>5.5 The three prediction arms (RQ2 design)</w:t>
      </w:r>
    </w:p>
    <w:p>
      <w:pPr>
        <w:spacing w:after="120" w:line="300" w:lineRule="auto"/>
      </w:pPr>
      <w:r>
        <w:rPr>
          <w:rFonts w:ascii="Calibri" w:hAnsi="Calibri"/>
          <w:color w:val="222632"/>
          <w:sz w:val="22"/>
        </w:rPr>
        <w:t>We trained three parallel pipelines using identical participant rows but different predictor sets:</w:t>
      </w:r>
    </w:p>
    <w:tbl>
      <w:tblPr>
        <w:tblStyle w:val="LightGrid-Accent1"/>
        <w:tblW w:type="auto" w:w="0"/>
        <w:jc w:val="left"/>
        <w:tblLayout w:type="autofit"/>
        <w:tblLook w:firstColumn="1" w:firstRow="1" w:lastColumn="0" w:lastRow="0" w:noHBand="0" w:noVBand="1" w:val="04A0"/>
      </w:tblPr>
      <w:tblGrid>
        <w:gridCol w:w="2436"/>
        <w:gridCol w:w="2436"/>
        <w:gridCol w:w="2436"/>
        <w:gridCol w:w="2436"/>
      </w:tblGrid>
      <w:tr>
        <w:tc>
          <w:tcPr>
            <w:tcW w:type="dxa" w:w="2436"/>
            <w:vAlign w:val="center"/>
            <w:shd w:val="clear" w:color="auto" w:fill="1F2D5C"/>
          </w:tcPr>
          <w:p>
            <w:r/>
            <w:r>
              <w:rPr>
                <w:rFonts w:ascii="Calibri" w:hAnsi="Calibri"/>
                <w:b/>
                <w:color w:val="FFFFFF"/>
                <w:sz w:val="21"/>
              </w:rPr>
              <w:t>Arm</w:t>
            </w:r>
          </w:p>
        </w:tc>
        <w:tc>
          <w:tcPr>
            <w:tcW w:type="dxa" w:w="2436"/>
            <w:vAlign w:val="center"/>
            <w:shd w:val="clear" w:color="auto" w:fill="1F2D5C"/>
          </w:tcPr>
          <w:p>
            <w:r/>
            <w:r>
              <w:rPr>
                <w:rFonts w:ascii="Calibri" w:hAnsi="Calibri"/>
                <w:b/>
                <w:color w:val="FFFFFF"/>
                <w:sz w:val="21"/>
              </w:rPr>
              <w:t>Predictors</w:t>
            </w:r>
          </w:p>
        </w:tc>
        <w:tc>
          <w:tcPr>
            <w:tcW w:type="dxa" w:w="2436"/>
            <w:vAlign w:val="center"/>
            <w:shd w:val="clear" w:color="auto" w:fill="1F2D5C"/>
          </w:tcPr>
          <w:p>
            <w:r/>
            <w:r>
              <w:rPr>
                <w:rFonts w:ascii="Calibri" w:hAnsi="Calibri"/>
                <w:b/>
                <w:color w:val="FFFFFF"/>
                <w:sz w:val="21"/>
              </w:rPr>
              <w:t>Time horizon</w:t>
            </w:r>
          </w:p>
        </w:tc>
        <w:tc>
          <w:tcPr>
            <w:tcW w:type="dxa" w:w="2436"/>
            <w:vAlign w:val="center"/>
            <w:shd w:val="clear" w:color="auto" w:fill="1F2D5C"/>
          </w:tcPr>
          <w:p>
            <w:r/>
            <w:r>
              <w:rPr>
                <w:rFonts w:ascii="Calibri" w:hAnsi="Calibri"/>
                <w:b/>
                <w:color w:val="FFFFFF"/>
                <w:sz w:val="21"/>
              </w:rPr>
              <w:t>Question answered</w:t>
            </w:r>
          </w:p>
        </w:tc>
      </w:tr>
      <w:tr>
        <w:tc>
          <w:tcPr>
            <w:tcW w:type="dxa" w:w="2436"/>
            <w:vAlign w:val="center"/>
          </w:tcPr>
          <w:p>
            <w:r/>
            <w:r>
              <w:rPr>
                <w:rFonts w:ascii="Calibri" w:hAnsi="Calibri"/>
                <w:b/>
                <w:color w:val="222632"/>
                <w:sz w:val="20"/>
              </w:rPr>
              <w:t>W6 only</w:t>
            </w:r>
          </w:p>
        </w:tc>
        <w:tc>
          <w:tcPr>
            <w:tcW w:type="dxa" w:w="2436"/>
            <w:vAlign w:val="center"/>
          </w:tcPr>
          <w:p>
            <w:r/>
            <w:r>
              <w:rPr>
                <w:rFonts w:ascii="Calibri" w:hAnsi="Calibri"/>
                <w:color w:val="222632"/>
                <w:sz w:val="20"/>
              </w:rPr>
              <w:t>68 features from Wave 6</w:t>
            </w:r>
          </w:p>
        </w:tc>
        <w:tc>
          <w:tcPr>
            <w:tcW w:type="dxa" w:w="2436"/>
            <w:vAlign w:val="center"/>
          </w:tcPr>
          <w:p>
            <w:r/>
            <w:r>
              <w:rPr>
                <w:rFonts w:ascii="Calibri" w:hAnsi="Calibri"/>
                <w:color w:val="222632"/>
                <w:sz w:val="20"/>
              </w:rPr>
              <w:t>~4 years</w:t>
            </w:r>
          </w:p>
        </w:tc>
        <w:tc>
          <w:tcPr>
            <w:tcW w:type="dxa" w:w="2436"/>
            <w:vAlign w:val="center"/>
          </w:tcPr>
          <w:p>
            <w:r/>
            <w:r>
              <w:rPr>
                <w:rFonts w:ascii="Calibri" w:hAnsi="Calibri"/>
                <w:color w:val="222632"/>
                <w:sz w:val="20"/>
              </w:rPr>
              <w:t>Can we predict from a single distant snapshot?</w:t>
            </w:r>
          </w:p>
        </w:tc>
      </w:tr>
      <w:tr>
        <w:tc>
          <w:tcPr>
            <w:tcW w:type="dxa" w:w="2436"/>
            <w:vAlign w:val="center"/>
          </w:tcPr>
          <w:p>
            <w:r/>
            <w:r>
              <w:rPr>
                <w:rFonts w:ascii="Calibri" w:hAnsi="Calibri"/>
                <w:b/>
                <w:color w:val="222632"/>
                <w:sz w:val="20"/>
              </w:rPr>
              <w:t>W7 only</w:t>
            </w:r>
          </w:p>
        </w:tc>
        <w:tc>
          <w:tcPr>
            <w:tcW w:type="dxa" w:w="2436"/>
            <w:vAlign w:val="center"/>
          </w:tcPr>
          <w:p>
            <w:r/>
            <w:r>
              <w:rPr>
                <w:rFonts w:ascii="Calibri" w:hAnsi="Calibri"/>
                <w:color w:val="222632"/>
                <w:sz w:val="20"/>
              </w:rPr>
              <w:t>68 features from Wave 7</w:t>
            </w:r>
          </w:p>
        </w:tc>
        <w:tc>
          <w:tcPr>
            <w:tcW w:type="dxa" w:w="2436"/>
            <w:vAlign w:val="center"/>
          </w:tcPr>
          <w:p>
            <w:r/>
            <w:r>
              <w:rPr>
                <w:rFonts w:ascii="Calibri" w:hAnsi="Calibri"/>
                <w:color w:val="222632"/>
                <w:sz w:val="20"/>
              </w:rPr>
              <w:t>~2 years</w:t>
            </w:r>
          </w:p>
        </w:tc>
        <w:tc>
          <w:tcPr>
            <w:tcW w:type="dxa" w:w="2436"/>
            <w:vAlign w:val="center"/>
          </w:tcPr>
          <w:p>
            <w:r/>
            <w:r>
              <w:rPr>
                <w:rFonts w:ascii="Calibri" w:hAnsi="Calibri"/>
                <w:color w:val="222632"/>
                <w:sz w:val="20"/>
              </w:rPr>
              <w:t>Can we predict from a single recent snapshot?</w:t>
            </w:r>
          </w:p>
        </w:tc>
      </w:tr>
      <w:tr>
        <w:tc>
          <w:tcPr>
            <w:tcW w:type="dxa" w:w="2436"/>
            <w:vAlign w:val="center"/>
          </w:tcPr>
          <w:p>
            <w:r/>
            <w:r>
              <w:rPr>
                <w:rFonts w:ascii="Calibri" w:hAnsi="Calibri"/>
                <w:b/>
                <w:color w:val="222632"/>
                <w:sz w:val="20"/>
              </w:rPr>
              <w:t>W6+W7 combined</w:t>
            </w:r>
          </w:p>
        </w:tc>
        <w:tc>
          <w:tcPr>
            <w:tcW w:type="dxa" w:w="2436"/>
            <w:vAlign w:val="center"/>
          </w:tcPr>
          <w:p>
            <w:r/>
            <w:r>
              <w:rPr>
                <w:rFonts w:ascii="Calibri" w:hAnsi="Calibri"/>
                <w:color w:val="222632"/>
                <w:sz w:val="20"/>
              </w:rPr>
              <w:t>138 features + change features</w:t>
            </w:r>
          </w:p>
        </w:tc>
        <w:tc>
          <w:tcPr>
            <w:tcW w:type="dxa" w:w="2436"/>
            <w:vAlign w:val="center"/>
          </w:tcPr>
          <w:p>
            <w:r/>
            <w:r>
              <w:rPr>
                <w:rFonts w:ascii="Calibri" w:hAnsi="Calibri"/>
                <w:color w:val="222632"/>
                <w:sz w:val="20"/>
              </w:rPr>
              <w:t>2–4 years</w:t>
            </w:r>
          </w:p>
        </w:tc>
        <w:tc>
          <w:tcPr>
            <w:tcW w:type="dxa" w:w="2436"/>
            <w:vAlign w:val="center"/>
          </w:tcPr>
          <w:p>
            <w:r/>
            <w:r>
              <w:rPr>
                <w:rFonts w:ascii="Calibri" w:hAnsi="Calibri"/>
                <w:color w:val="222632"/>
                <w:sz w:val="20"/>
              </w:rPr>
              <w:t>Does longitudinal information help?</w:t>
            </w:r>
          </w:p>
        </w:tc>
      </w:tr>
    </w:tbl>
    <w:p>
      <w:pPr>
        <w:spacing w:after="120" w:line="300" w:lineRule="auto"/>
      </w:pPr>
      <w:r>
        <w:rPr>
          <w:rFonts w:ascii="Calibri" w:hAnsi="Calibri"/>
          <w:color w:val="222632"/>
          <w:sz w:val="22"/>
        </w:rPr>
        <w:t>Comparing the three arms directly answers RQ2. Using identical participant partitions across arms ensures the comparison is clean.</w:t>
      </w:r>
    </w:p>
    <w:p>
      <w:pPr>
        <w:keepNext/>
        <w:spacing w:before="240" w:after="120"/>
      </w:pPr>
      <w:r>
        <w:rPr>
          <w:rFonts w:ascii="Calibri" w:hAnsi="Calibri"/>
          <w:b/>
          <w:color w:val="186F82"/>
          <w:sz w:val="26"/>
        </w:rPr>
        <w:t>5.6 Five feature configurations per arm (RQ3 design)</w:t>
      </w:r>
    </w:p>
    <w:p>
      <w:pPr>
        <w:spacing w:after="120" w:line="300" w:lineRule="auto"/>
      </w:pPr>
      <w:r>
        <w:rPr>
          <w:rFonts w:ascii="Calibri" w:hAnsi="Calibri"/>
          <w:color w:val="222632"/>
          <w:sz w:val="22"/>
        </w:rPr>
        <w:t>Within each arm, we ran five feature configurations to test which domains matter:</w:t>
      </w:r>
    </w:p>
    <w:tbl>
      <w:tblPr>
        <w:tblStyle w:val="LightGrid-Accent1"/>
        <w:tblW w:type="auto" w:w="0"/>
        <w:jc w:val="left"/>
        <w:tblLayout w:type="autofit"/>
        <w:tblLook w:firstColumn="1" w:firstRow="1" w:lastColumn="0" w:lastRow="0" w:noHBand="0" w:noVBand="1" w:val="04A0"/>
      </w:tblPr>
      <w:tblGrid>
        <w:gridCol w:w="3249"/>
        <w:gridCol w:w="3249"/>
        <w:gridCol w:w="3249"/>
      </w:tblGrid>
      <w:tr>
        <w:tc>
          <w:tcPr>
            <w:tcW w:type="dxa" w:w="3249"/>
            <w:vAlign w:val="center"/>
            <w:shd w:val="clear" w:color="auto" w:fill="1F2D5C"/>
          </w:tcPr>
          <w:p>
            <w:r/>
            <w:r>
              <w:rPr>
                <w:rFonts w:ascii="Calibri" w:hAnsi="Calibri"/>
                <w:b/>
                <w:color w:val="FFFFFF"/>
                <w:sz w:val="21"/>
              </w:rPr>
              <w:t>Config</w:t>
            </w:r>
          </w:p>
        </w:tc>
        <w:tc>
          <w:tcPr>
            <w:tcW w:type="dxa" w:w="3249"/>
            <w:vAlign w:val="center"/>
            <w:shd w:val="clear" w:color="auto" w:fill="1F2D5C"/>
          </w:tcPr>
          <w:p>
            <w:r/>
            <w:r>
              <w:rPr>
                <w:rFonts w:ascii="Calibri" w:hAnsi="Calibri"/>
                <w:b/>
                <w:color w:val="FFFFFF"/>
                <w:sz w:val="21"/>
              </w:rPr>
              <w:t>Features</w:t>
            </w:r>
          </w:p>
        </w:tc>
        <w:tc>
          <w:tcPr>
            <w:tcW w:type="dxa" w:w="3249"/>
            <w:vAlign w:val="center"/>
            <w:shd w:val="clear" w:color="auto" w:fill="1F2D5C"/>
          </w:tcPr>
          <w:p>
            <w:r/>
            <w:r>
              <w:rPr>
                <w:rFonts w:ascii="Calibri" w:hAnsi="Calibri"/>
                <w:b/>
                <w:color w:val="FFFFFF"/>
                <w:sz w:val="21"/>
              </w:rPr>
              <w:t>Purpose</w:t>
            </w:r>
          </w:p>
        </w:tc>
      </w:tr>
      <w:tr>
        <w:tc>
          <w:tcPr>
            <w:tcW w:type="dxa" w:w="3249"/>
            <w:vAlign w:val="center"/>
          </w:tcPr>
          <w:p>
            <w:r/>
            <w:r>
              <w:rPr>
                <w:rFonts w:ascii="Consolas" w:hAnsi="Consolas"/>
                <w:color w:val="1F2D5C"/>
                <w:sz w:val="18"/>
              </w:rPr>
              <w:t>full</w:t>
            </w:r>
          </w:p>
        </w:tc>
        <w:tc>
          <w:tcPr>
            <w:tcW w:type="dxa" w:w="3249"/>
            <w:vAlign w:val="center"/>
          </w:tcPr>
          <w:p>
            <w:r/>
            <w:r>
              <w:rPr>
                <w:rFonts w:ascii="Calibri" w:hAnsi="Calibri"/>
                <w:color w:val="222632"/>
                <w:sz w:val="20"/>
              </w:rPr>
              <w:t>All predictors</w:t>
            </w:r>
          </w:p>
        </w:tc>
        <w:tc>
          <w:tcPr>
            <w:tcW w:type="dxa" w:w="3249"/>
            <w:vAlign w:val="center"/>
          </w:tcPr>
          <w:p>
            <w:r/>
            <w:r>
              <w:rPr>
                <w:rFonts w:ascii="Calibri" w:hAnsi="Calibri"/>
                <w:color w:val="222632"/>
                <w:sz w:val="20"/>
              </w:rPr>
              <w:t>Headline performance</w:t>
            </w:r>
          </w:p>
        </w:tc>
      </w:tr>
      <w:tr>
        <w:tc>
          <w:tcPr>
            <w:tcW w:type="dxa" w:w="3249"/>
            <w:vAlign w:val="center"/>
          </w:tcPr>
          <w:p>
            <w:r/>
            <w:r>
              <w:rPr>
                <w:rFonts w:ascii="Consolas" w:hAnsi="Consolas"/>
                <w:color w:val="1F2D5C"/>
                <w:sz w:val="18"/>
              </w:rPr>
              <w:t>no_cesd</w:t>
            </w:r>
          </w:p>
        </w:tc>
        <w:tc>
          <w:tcPr>
            <w:tcW w:type="dxa" w:w="3249"/>
            <w:vAlign w:val="center"/>
          </w:tcPr>
          <w:p>
            <w:r/>
            <w:r>
              <w:rPr>
                <w:rFonts w:ascii="Calibri" w:hAnsi="Calibri"/>
                <w:color w:val="222632"/>
                <w:sz w:val="20"/>
              </w:rPr>
              <w:t>Drop prior CES-D scores and change</w:t>
            </w:r>
          </w:p>
        </w:tc>
        <w:tc>
          <w:tcPr>
            <w:tcW w:type="dxa" w:w="3249"/>
            <w:vAlign w:val="center"/>
          </w:tcPr>
          <w:p>
            <w:r/>
            <w:r>
              <w:rPr>
                <w:rFonts w:ascii="Calibri" w:hAnsi="Calibri"/>
                <w:color w:val="222632"/>
                <w:sz w:val="20"/>
              </w:rPr>
              <w:t>Test: can we predict without depression history?</w:t>
            </w:r>
          </w:p>
        </w:tc>
      </w:tr>
      <w:tr>
        <w:tc>
          <w:tcPr>
            <w:tcW w:type="dxa" w:w="3249"/>
            <w:vAlign w:val="center"/>
          </w:tcPr>
          <w:p>
            <w:r/>
            <w:r>
              <w:rPr>
                <w:rFonts w:ascii="Consolas" w:hAnsi="Consolas"/>
                <w:color w:val="1F2D5C"/>
                <w:sz w:val="18"/>
              </w:rPr>
              <w:t>health_only</w:t>
            </w:r>
          </w:p>
        </w:tc>
        <w:tc>
          <w:tcPr>
            <w:tcW w:type="dxa" w:w="3249"/>
            <w:vAlign w:val="center"/>
          </w:tcPr>
          <w:p>
            <w:r/>
            <w:r>
              <w:rPr>
                <w:rFonts w:ascii="Calibri" w:hAnsi="Calibri"/>
                <w:color w:val="222632"/>
                <w:sz w:val="20"/>
              </w:rPr>
              <w:t>Self-rated health + chronic conditions</w:t>
            </w:r>
          </w:p>
        </w:tc>
        <w:tc>
          <w:tcPr>
            <w:tcW w:type="dxa" w:w="3249"/>
            <w:vAlign w:val="center"/>
          </w:tcPr>
          <w:p>
            <w:r/>
            <w:r>
              <w:rPr>
                <w:rFonts w:ascii="Calibri" w:hAnsi="Calibri"/>
                <w:color w:val="222632"/>
                <w:sz w:val="20"/>
              </w:rPr>
              <w:t>Test: how far does pure health get us?</w:t>
            </w:r>
          </w:p>
        </w:tc>
      </w:tr>
      <w:tr>
        <w:tc>
          <w:tcPr>
            <w:tcW w:type="dxa" w:w="3249"/>
            <w:vAlign w:val="center"/>
          </w:tcPr>
          <w:p>
            <w:r/>
            <w:r>
              <w:rPr>
                <w:rFonts w:ascii="Consolas" w:hAnsi="Consolas"/>
                <w:color w:val="1F2D5C"/>
                <w:sz w:val="18"/>
              </w:rPr>
              <w:t>function_cog</w:t>
            </w:r>
          </w:p>
        </w:tc>
        <w:tc>
          <w:tcPr>
            <w:tcW w:type="dxa" w:w="3249"/>
            <w:vAlign w:val="center"/>
          </w:tcPr>
          <w:p>
            <w:r/>
            <w:r>
              <w:rPr>
                <w:rFonts w:ascii="Calibri" w:hAnsi="Calibri"/>
                <w:color w:val="222632"/>
                <w:sz w:val="20"/>
              </w:rPr>
              <w:t>Mobility, ADL/IADL, cognition</w:t>
            </w:r>
          </w:p>
        </w:tc>
        <w:tc>
          <w:tcPr>
            <w:tcW w:type="dxa" w:w="3249"/>
            <w:vAlign w:val="center"/>
          </w:tcPr>
          <w:p>
            <w:r/>
            <w:r>
              <w:rPr>
                <w:rFonts w:ascii="Calibri" w:hAnsi="Calibri"/>
                <w:color w:val="222632"/>
                <w:sz w:val="20"/>
              </w:rPr>
              <w:t>Test: physical and cognitive function alone</w:t>
            </w:r>
          </w:p>
        </w:tc>
      </w:tr>
      <w:tr>
        <w:tc>
          <w:tcPr>
            <w:tcW w:type="dxa" w:w="3249"/>
            <w:vAlign w:val="center"/>
          </w:tcPr>
          <w:p>
            <w:r/>
            <w:r>
              <w:rPr>
                <w:rFonts w:ascii="Consolas" w:hAnsi="Consolas"/>
                <w:color w:val="1F2D5C"/>
                <w:sz w:val="18"/>
              </w:rPr>
              <w:t>socioeconomic</w:t>
            </w:r>
          </w:p>
        </w:tc>
        <w:tc>
          <w:tcPr>
            <w:tcW w:type="dxa" w:w="3249"/>
            <w:vAlign w:val="center"/>
          </w:tcPr>
          <w:p>
            <w:r/>
            <w:r>
              <w:rPr>
                <w:rFonts w:ascii="Calibri" w:hAnsi="Calibri"/>
                <w:color w:val="222632"/>
                <w:sz w:val="20"/>
              </w:rPr>
              <w:t>Employment, education, wealth, social</w:t>
            </w:r>
          </w:p>
        </w:tc>
        <w:tc>
          <w:tcPr>
            <w:tcW w:type="dxa" w:w="3249"/>
            <w:vAlign w:val="center"/>
          </w:tcPr>
          <w:p>
            <w:r/>
            <w:r>
              <w:rPr>
                <w:rFonts w:ascii="Calibri" w:hAnsi="Calibri"/>
                <w:color w:val="222632"/>
                <w:sz w:val="20"/>
              </w:rPr>
              <w:t>Test: social determinants alone</w:t>
            </w:r>
          </w:p>
        </w:tc>
      </w:tr>
    </w:tbl>
    <w:p>
      <w:pPr>
        <w:spacing w:after="120" w:line="300" w:lineRule="auto"/>
      </w:pPr>
      <w:r>
        <w:rPr>
          <w:rFonts w:ascii="Calibri" w:hAnsi="Calibri"/>
          <w:color w:val="222632"/>
          <w:sz w:val="22"/>
        </w:rPr>
        <w:t xml:space="preserve">The </w:t>
      </w:r>
      <w:r>
        <w:rPr>
          <w:rFonts w:ascii="Consolas" w:hAnsi="Consolas"/>
          <w:color w:val="1F2D5C"/>
          <w:sz w:val="20"/>
        </w:rPr>
        <w:t>no_cesd</w:t>
      </w:r>
      <w:r>
        <w:rPr>
          <w:rFonts w:ascii="Calibri" w:hAnsi="Calibri"/>
          <w:color w:val="222632"/>
          <w:sz w:val="22"/>
        </w:rPr>
        <w:t xml:space="preserve"> configuration is the critical leakage check.</w:t>
      </w:r>
    </w:p>
    <w:p>
      <w:pPr>
        <w:keepNext/>
        <w:spacing w:before="240" w:after="120"/>
      </w:pPr>
      <w:r>
        <w:rPr>
          <w:rFonts w:ascii="Calibri" w:hAnsi="Calibri"/>
          <w:b/>
          <w:color w:val="186F82"/>
          <w:sz w:val="26"/>
        </w:rPr>
        <w:t>5.7 Models</w:t>
      </w:r>
    </w:p>
    <w:p>
      <w:pPr>
        <w:spacing w:after="120" w:line="300" w:lineRule="auto"/>
      </w:pPr>
      <w:r>
        <w:rPr>
          <w:rFonts w:ascii="Calibri" w:hAnsi="Calibri"/>
          <w:color w:val="222632"/>
          <w:sz w:val="22"/>
        </w:rPr>
        <w:t>Four classifiers were compared:</w:t>
      </w:r>
    </w:p>
    <w:tbl>
      <w:tblPr>
        <w:tblStyle w:val="LightGrid-Accent1"/>
        <w:tblW w:type="auto" w:w="0"/>
        <w:jc w:val="left"/>
        <w:tblLayout w:type="autofit"/>
        <w:tblLook w:firstColumn="1" w:firstRow="1" w:lastColumn="0" w:lastRow="0" w:noHBand="0" w:noVBand="1" w:val="04A0"/>
      </w:tblPr>
      <w:tblGrid>
        <w:gridCol w:w="3249"/>
        <w:gridCol w:w="3249"/>
        <w:gridCol w:w="3249"/>
      </w:tblGrid>
      <w:tr>
        <w:tc>
          <w:tcPr>
            <w:tcW w:type="dxa" w:w="3249"/>
            <w:vAlign w:val="center"/>
            <w:shd w:val="clear" w:color="auto" w:fill="1F2D5C"/>
          </w:tcPr>
          <w:p>
            <w:r/>
            <w:r>
              <w:rPr>
                <w:rFonts w:ascii="Calibri" w:hAnsi="Calibri"/>
                <w:b/>
                <w:color w:val="FFFFFF"/>
                <w:sz w:val="21"/>
              </w:rPr>
              <w:t>Model</w:t>
            </w:r>
          </w:p>
        </w:tc>
        <w:tc>
          <w:tcPr>
            <w:tcW w:type="dxa" w:w="3249"/>
            <w:vAlign w:val="center"/>
            <w:shd w:val="clear" w:color="auto" w:fill="1F2D5C"/>
          </w:tcPr>
          <w:p>
            <w:r/>
            <w:r>
              <w:rPr>
                <w:rFonts w:ascii="Calibri" w:hAnsi="Calibri"/>
                <w:b/>
                <w:color w:val="FFFFFF"/>
                <w:sz w:val="21"/>
              </w:rPr>
              <w:t>Why included</w:t>
            </w:r>
          </w:p>
        </w:tc>
        <w:tc>
          <w:tcPr>
            <w:tcW w:type="dxa" w:w="3249"/>
            <w:vAlign w:val="center"/>
            <w:shd w:val="clear" w:color="auto" w:fill="1F2D5C"/>
          </w:tcPr>
          <w:p>
            <w:r/>
            <w:r>
              <w:rPr>
                <w:rFonts w:ascii="Calibri" w:hAnsi="Calibri"/>
                <w:b/>
                <w:color w:val="FFFFFF"/>
                <w:sz w:val="21"/>
              </w:rPr>
              <w:t>Strengths</w:t>
            </w:r>
          </w:p>
        </w:tc>
      </w:tr>
      <w:tr>
        <w:tc>
          <w:tcPr>
            <w:tcW w:type="dxa" w:w="3249"/>
            <w:vAlign w:val="center"/>
          </w:tcPr>
          <w:p>
            <w:r/>
            <w:r>
              <w:rPr>
                <w:rFonts w:ascii="Calibri" w:hAnsi="Calibri"/>
                <w:b/>
                <w:color w:val="222632"/>
                <w:sz w:val="20"/>
              </w:rPr>
              <w:t>Logistic Regression</w:t>
            </w:r>
          </w:p>
        </w:tc>
        <w:tc>
          <w:tcPr>
            <w:tcW w:type="dxa" w:w="3249"/>
            <w:vAlign w:val="center"/>
          </w:tcPr>
          <w:p>
            <w:r/>
            <w:r>
              <w:rPr>
                <w:rFonts w:ascii="Calibri" w:hAnsi="Calibri"/>
                <w:color w:val="222632"/>
                <w:sz w:val="20"/>
              </w:rPr>
              <w:t>Interpretable epidemiological baseline; coefficients are odds ratios</w:t>
            </w:r>
          </w:p>
        </w:tc>
        <w:tc>
          <w:tcPr>
            <w:tcW w:type="dxa" w:w="3249"/>
            <w:vAlign w:val="center"/>
          </w:tcPr>
          <w:p>
            <w:r/>
            <w:r>
              <w:rPr>
                <w:rFonts w:ascii="Calibri" w:hAnsi="Calibri"/>
                <w:color w:val="222632"/>
                <w:sz w:val="20"/>
              </w:rPr>
              <w:t>Transparent, fast, well-understood by clinicians</w:t>
            </w:r>
          </w:p>
        </w:tc>
      </w:tr>
      <w:tr>
        <w:tc>
          <w:tcPr>
            <w:tcW w:type="dxa" w:w="3249"/>
            <w:vAlign w:val="center"/>
          </w:tcPr>
          <w:p>
            <w:r/>
            <w:r>
              <w:rPr>
                <w:rFonts w:ascii="Calibri" w:hAnsi="Calibri"/>
                <w:b/>
                <w:color w:val="222632"/>
                <w:sz w:val="20"/>
              </w:rPr>
              <w:t>Random Forest</w:t>
            </w:r>
          </w:p>
        </w:tc>
        <w:tc>
          <w:tcPr>
            <w:tcW w:type="dxa" w:w="3249"/>
            <w:vAlign w:val="center"/>
          </w:tcPr>
          <w:p>
            <w:r/>
            <w:r>
              <w:rPr>
                <w:rFonts w:ascii="Calibri" w:hAnsi="Calibri"/>
                <w:color w:val="222632"/>
                <w:sz w:val="20"/>
              </w:rPr>
              <w:t>Non-linear, handles interactions and missingness gracefully</w:t>
            </w:r>
          </w:p>
        </w:tc>
        <w:tc>
          <w:tcPr>
            <w:tcW w:type="dxa" w:w="3249"/>
            <w:vAlign w:val="center"/>
          </w:tcPr>
          <w:p>
            <w:r/>
            <w:r>
              <w:rPr>
                <w:rFonts w:ascii="Calibri" w:hAnsi="Calibri"/>
                <w:color w:val="222632"/>
                <w:sz w:val="20"/>
              </w:rPr>
              <w:t>Robust, no scaling needed, gives feature importance</w:t>
            </w:r>
          </w:p>
        </w:tc>
      </w:tr>
      <w:tr>
        <w:tc>
          <w:tcPr>
            <w:tcW w:type="dxa" w:w="3249"/>
            <w:vAlign w:val="center"/>
          </w:tcPr>
          <w:p>
            <w:r/>
            <w:r>
              <w:rPr>
                <w:rFonts w:ascii="Calibri" w:hAnsi="Calibri"/>
                <w:b/>
                <w:color w:val="222632"/>
                <w:sz w:val="20"/>
              </w:rPr>
              <w:t>XGBoost</w:t>
            </w:r>
          </w:p>
        </w:tc>
        <w:tc>
          <w:tcPr>
            <w:tcW w:type="dxa" w:w="3249"/>
            <w:vAlign w:val="center"/>
          </w:tcPr>
          <w:p>
            <w:r/>
            <w:r>
              <w:rPr>
                <w:rFonts w:ascii="Calibri" w:hAnsi="Calibri"/>
                <w:color w:val="222632"/>
                <w:sz w:val="20"/>
              </w:rPr>
              <w:t>State-of-the-art gradient boosting</w:t>
            </w:r>
          </w:p>
        </w:tc>
        <w:tc>
          <w:tcPr>
            <w:tcW w:type="dxa" w:w="3249"/>
            <w:vAlign w:val="center"/>
          </w:tcPr>
          <w:p>
            <w:r/>
            <w:r>
              <w:rPr>
                <w:rFonts w:ascii="Calibri" w:hAnsi="Calibri"/>
                <w:color w:val="222632"/>
                <w:sz w:val="20"/>
              </w:rPr>
              <w:t>Often best for tabular health data</w:t>
            </w:r>
          </w:p>
        </w:tc>
      </w:tr>
      <w:tr>
        <w:tc>
          <w:tcPr>
            <w:tcW w:type="dxa" w:w="3249"/>
            <w:vAlign w:val="center"/>
          </w:tcPr>
          <w:p>
            <w:r/>
            <w:r>
              <w:rPr>
                <w:rFonts w:ascii="Calibri" w:hAnsi="Calibri"/>
                <w:b/>
                <w:color w:val="222632"/>
                <w:sz w:val="20"/>
              </w:rPr>
              <w:t>LightGBM</w:t>
            </w:r>
          </w:p>
        </w:tc>
        <w:tc>
          <w:tcPr>
            <w:tcW w:type="dxa" w:w="3249"/>
            <w:vAlign w:val="center"/>
          </w:tcPr>
          <w:p>
            <w:r/>
            <w:r>
              <w:rPr>
                <w:rFonts w:ascii="Calibri" w:hAnsi="Calibri"/>
                <w:color w:val="222632"/>
                <w:sz w:val="20"/>
              </w:rPr>
              <w:t>Used by Zhao et al. (2025) on ELSA → AUC 0.90 in cross-sectional setting; benchmark</w:t>
            </w:r>
          </w:p>
        </w:tc>
        <w:tc>
          <w:tcPr>
            <w:tcW w:type="dxa" w:w="3249"/>
            <w:vAlign w:val="center"/>
          </w:tcPr>
          <w:p>
            <w:r/>
            <w:r>
              <w:rPr>
                <w:rFonts w:ascii="Calibri" w:hAnsi="Calibri"/>
                <w:color w:val="222632"/>
                <w:sz w:val="20"/>
              </w:rPr>
              <w:t>Very fast, handles imbalance well</w:t>
            </w:r>
          </w:p>
        </w:tc>
      </w:tr>
    </w:tbl>
    <w:p>
      <w:pPr>
        <w:spacing w:after="120" w:line="300" w:lineRule="auto"/>
      </w:pPr>
      <w:r>
        <w:rPr>
          <w:rFonts w:ascii="Calibri" w:hAnsi="Calibri"/>
          <w:color w:val="222632"/>
          <w:sz w:val="22"/>
        </w:rPr>
        <w:t>All four use class-weighting to handle the 80/20 imbalance.</w:t>
      </w:r>
    </w:p>
    <w:p>
      <w:pPr>
        <w:keepNext/>
        <w:spacing w:before="240" w:after="120"/>
      </w:pPr>
      <w:r>
        <w:rPr>
          <w:rFonts w:ascii="Calibri" w:hAnsi="Calibri"/>
          <w:b/>
          <w:color w:val="186F82"/>
          <w:sz w:val="26"/>
        </w:rPr>
        <w:t>5.8 Hyperparameter tuning</w:t>
      </w:r>
    </w:p>
    <w:p>
      <w:pPr>
        <w:spacing w:after="120" w:line="300" w:lineRule="auto"/>
      </w:pPr>
      <w:r>
        <w:rPr>
          <w:rFonts w:ascii="Calibri" w:hAnsi="Calibri"/>
          <w:color w:val="222632"/>
          <w:sz w:val="22"/>
        </w:rPr>
        <w:t xml:space="preserve">For each arm, we selected the best feature configuration by mean AUC across all four models, then ran </w:t>
      </w:r>
      <w:r>
        <w:rPr>
          <w:rFonts w:ascii="Consolas" w:hAnsi="Consolas"/>
          <w:color w:val="1F2D5C"/>
          <w:sz w:val="20"/>
        </w:rPr>
        <w:t>RandomizedSearchCV</w:t>
      </w:r>
      <w:r>
        <w:rPr>
          <w:rFonts w:ascii="Calibri" w:hAnsi="Calibri"/>
          <w:color w:val="222632"/>
          <w:sz w:val="22"/>
        </w:rPr>
        <w:t xml:space="preserve"> (50 iterations, 5-fold stratified CV) on RF, XGB, and LGBM. Logistic Regression was kept at its default for a fair interpretable baseline. Tuning used the training set only — the held-out test set was untouched throughout.</w:t>
      </w:r>
    </w:p>
    <w:p>
      <w:pPr>
        <w:keepNext/>
        <w:spacing w:before="240" w:after="120"/>
      </w:pPr>
      <w:r>
        <w:rPr>
          <w:rFonts w:ascii="Calibri" w:hAnsi="Calibri"/>
          <w:b/>
          <w:color w:val="186F82"/>
          <w:sz w:val="26"/>
        </w:rPr>
        <w:t>5.9 Evaluation</w:t>
      </w:r>
    </w:p>
    <w:p>
      <w:pPr>
        <w:spacing w:after="120" w:line="300" w:lineRule="auto"/>
      </w:pPr>
      <w:r>
        <w:rPr>
          <w:rFonts w:ascii="Calibri" w:hAnsi="Calibri"/>
          <w:color w:val="222632"/>
          <w:sz w:val="22"/>
        </w:rPr>
        <w:t>The held-out test set (25%, n ≈ 1,803) is used for final reporting. Metrics:</w:t>
      </w:r>
    </w:p>
    <w:tbl>
      <w:tblPr>
        <w:tblStyle w:val="LightGrid-Accent1"/>
        <w:tblW w:type="auto" w:w="0"/>
        <w:jc w:val="left"/>
        <w:tblLayout w:type="autofit"/>
        <w:tblLook w:firstColumn="1" w:firstRow="1" w:lastColumn="0" w:lastRow="0" w:noHBand="0" w:noVBand="1" w:val="04A0"/>
      </w:tblPr>
      <w:tblGrid>
        <w:gridCol w:w="3249"/>
        <w:gridCol w:w="3249"/>
        <w:gridCol w:w="3249"/>
      </w:tblGrid>
      <w:tr>
        <w:tc>
          <w:tcPr>
            <w:tcW w:type="dxa" w:w="3249"/>
            <w:vAlign w:val="center"/>
            <w:shd w:val="clear" w:color="auto" w:fill="1F2D5C"/>
          </w:tcPr>
          <w:p>
            <w:r/>
            <w:r>
              <w:rPr>
                <w:rFonts w:ascii="Calibri" w:hAnsi="Calibri"/>
                <w:b/>
                <w:color w:val="FFFFFF"/>
                <w:sz w:val="21"/>
              </w:rPr>
              <w:t>Metric</w:t>
            </w:r>
          </w:p>
        </w:tc>
        <w:tc>
          <w:tcPr>
            <w:tcW w:type="dxa" w:w="3249"/>
            <w:vAlign w:val="center"/>
            <w:shd w:val="clear" w:color="auto" w:fill="1F2D5C"/>
          </w:tcPr>
          <w:p>
            <w:r/>
            <w:r>
              <w:rPr>
                <w:rFonts w:ascii="Calibri" w:hAnsi="Calibri"/>
                <w:b/>
                <w:color w:val="FFFFFF"/>
                <w:sz w:val="21"/>
              </w:rPr>
              <w:t>What it measures</w:t>
            </w:r>
          </w:p>
        </w:tc>
        <w:tc>
          <w:tcPr>
            <w:tcW w:type="dxa" w:w="3249"/>
            <w:vAlign w:val="center"/>
            <w:shd w:val="clear" w:color="auto" w:fill="1F2D5C"/>
          </w:tcPr>
          <w:p>
            <w:r/>
            <w:r>
              <w:rPr>
                <w:rFonts w:ascii="Calibri" w:hAnsi="Calibri"/>
                <w:b/>
                <w:color w:val="FFFFFF"/>
                <w:sz w:val="21"/>
              </w:rPr>
              <w:t>Why we care</w:t>
            </w:r>
          </w:p>
        </w:tc>
      </w:tr>
      <w:tr>
        <w:tc>
          <w:tcPr>
            <w:tcW w:type="dxa" w:w="3249"/>
            <w:vAlign w:val="center"/>
          </w:tcPr>
          <w:p>
            <w:r/>
            <w:r>
              <w:rPr>
                <w:rFonts w:ascii="Calibri" w:hAnsi="Calibri"/>
                <w:b/>
                <w:color w:val="222632"/>
                <w:sz w:val="20"/>
              </w:rPr>
              <w:t>ROC-AUC</w:t>
            </w:r>
          </w:p>
        </w:tc>
        <w:tc>
          <w:tcPr>
            <w:tcW w:type="dxa" w:w="3249"/>
            <w:vAlign w:val="center"/>
          </w:tcPr>
          <w:p>
            <w:r/>
            <w:r>
              <w:rPr>
                <w:rFonts w:ascii="Calibri" w:hAnsi="Calibri"/>
                <w:color w:val="222632"/>
                <w:sz w:val="20"/>
              </w:rPr>
              <w:t>Discrimination, threshold-free</w:t>
            </w:r>
          </w:p>
        </w:tc>
        <w:tc>
          <w:tcPr>
            <w:tcW w:type="dxa" w:w="3249"/>
            <w:vAlign w:val="center"/>
          </w:tcPr>
          <w:p>
            <w:r/>
            <w:r>
              <w:rPr>
                <w:rFonts w:ascii="Calibri" w:hAnsi="Calibri"/>
                <w:color w:val="222632"/>
                <w:sz w:val="20"/>
              </w:rPr>
              <w:t>Primary metric — how well does the model rank cases above non-cases?</w:t>
            </w:r>
          </w:p>
        </w:tc>
      </w:tr>
      <w:tr>
        <w:tc>
          <w:tcPr>
            <w:tcW w:type="dxa" w:w="3249"/>
            <w:vAlign w:val="center"/>
          </w:tcPr>
          <w:p>
            <w:r/>
            <w:r>
              <w:rPr>
                <w:rFonts w:ascii="Calibri" w:hAnsi="Calibri"/>
                <w:b/>
                <w:color w:val="222632"/>
                <w:sz w:val="20"/>
              </w:rPr>
              <w:t>F1 (depressed class)</w:t>
            </w:r>
          </w:p>
        </w:tc>
        <w:tc>
          <w:tcPr>
            <w:tcW w:type="dxa" w:w="3249"/>
            <w:vAlign w:val="center"/>
          </w:tcPr>
          <w:p>
            <w:r/>
            <w:r>
              <w:rPr>
                <w:rFonts w:ascii="Calibri" w:hAnsi="Calibri"/>
                <w:color w:val="222632"/>
                <w:sz w:val="20"/>
              </w:rPr>
              <w:t>Balance of precision and recall on the minority class</w:t>
            </w:r>
          </w:p>
        </w:tc>
        <w:tc>
          <w:tcPr>
            <w:tcW w:type="dxa" w:w="3249"/>
            <w:vAlign w:val="center"/>
          </w:tcPr>
          <w:p>
            <w:r/>
            <w:r>
              <w:rPr>
                <w:rFonts w:ascii="Calibri" w:hAnsi="Calibri"/>
                <w:color w:val="222632"/>
                <w:sz w:val="20"/>
              </w:rPr>
              <w:t>Primary clinical metric — captures depression-detection performance</w:t>
            </w:r>
          </w:p>
        </w:tc>
      </w:tr>
      <w:tr>
        <w:tc>
          <w:tcPr>
            <w:tcW w:type="dxa" w:w="3249"/>
            <w:vAlign w:val="center"/>
          </w:tcPr>
          <w:p>
            <w:r/>
            <w:r>
              <w:rPr>
                <w:rFonts w:ascii="Calibri" w:hAnsi="Calibri"/>
                <w:b/>
                <w:color w:val="222632"/>
                <w:sz w:val="20"/>
              </w:rPr>
              <w:t>Precision</w:t>
            </w:r>
          </w:p>
        </w:tc>
        <w:tc>
          <w:tcPr>
            <w:tcW w:type="dxa" w:w="3249"/>
            <w:vAlign w:val="center"/>
          </w:tcPr>
          <w:p>
            <w:r/>
            <w:r>
              <w:rPr>
                <w:rFonts w:ascii="Calibri" w:hAnsi="Calibri"/>
                <w:color w:val="222632"/>
                <w:sz w:val="20"/>
              </w:rPr>
              <w:t>Of those flagged as at-risk, what fraction actually develop depression?</w:t>
            </w:r>
          </w:p>
        </w:tc>
        <w:tc>
          <w:tcPr>
            <w:tcW w:type="dxa" w:w="3249"/>
            <w:vAlign w:val="center"/>
          </w:tcPr>
          <w:p>
            <w:r/>
            <w:r>
              <w:rPr>
                <w:rFonts w:ascii="Calibri" w:hAnsi="Calibri"/>
                <w:color w:val="222632"/>
                <w:sz w:val="20"/>
              </w:rPr>
              <w:t>False-alarm cost</w:t>
            </w:r>
          </w:p>
        </w:tc>
      </w:tr>
      <w:tr>
        <w:tc>
          <w:tcPr>
            <w:tcW w:type="dxa" w:w="3249"/>
            <w:vAlign w:val="center"/>
          </w:tcPr>
          <w:p>
            <w:r/>
            <w:r>
              <w:rPr>
                <w:rFonts w:ascii="Calibri" w:hAnsi="Calibri"/>
                <w:b/>
                <w:color w:val="222632"/>
                <w:sz w:val="20"/>
              </w:rPr>
              <w:t>Recall (sensitivity)</w:t>
            </w:r>
          </w:p>
        </w:tc>
        <w:tc>
          <w:tcPr>
            <w:tcW w:type="dxa" w:w="3249"/>
            <w:vAlign w:val="center"/>
          </w:tcPr>
          <w:p>
            <w:r/>
            <w:r>
              <w:rPr>
                <w:rFonts w:ascii="Calibri" w:hAnsi="Calibri"/>
                <w:color w:val="222632"/>
                <w:sz w:val="20"/>
              </w:rPr>
              <w:t>Of all future cases, what fraction does the model catch?</w:t>
            </w:r>
          </w:p>
        </w:tc>
        <w:tc>
          <w:tcPr>
            <w:tcW w:type="dxa" w:w="3249"/>
            <w:vAlign w:val="center"/>
          </w:tcPr>
          <w:p>
            <w:r/>
            <w:r>
              <w:rPr>
                <w:rFonts w:ascii="Calibri" w:hAnsi="Calibri"/>
                <w:color w:val="222632"/>
                <w:sz w:val="20"/>
              </w:rPr>
              <w:t>Miss rate — paramount in screening</w:t>
            </w:r>
          </w:p>
        </w:tc>
      </w:tr>
      <w:tr>
        <w:tc>
          <w:tcPr>
            <w:tcW w:type="dxa" w:w="3249"/>
            <w:vAlign w:val="center"/>
          </w:tcPr>
          <w:p>
            <w:r/>
            <w:r>
              <w:rPr>
                <w:rFonts w:ascii="Calibri" w:hAnsi="Calibri"/>
                <w:b/>
                <w:color w:val="222632"/>
                <w:sz w:val="20"/>
              </w:rPr>
              <w:t>Average precision</w:t>
            </w:r>
          </w:p>
        </w:tc>
        <w:tc>
          <w:tcPr>
            <w:tcW w:type="dxa" w:w="3249"/>
            <w:vAlign w:val="center"/>
          </w:tcPr>
          <w:p>
            <w:r/>
            <w:r>
              <w:rPr>
                <w:rFonts w:ascii="Calibri" w:hAnsi="Calibri"/>
                <w:color w:val="222632"/>
                <w:sz w:val="20"/>
              </w:rPr>
              <w:t>Area under PR curve</w:t>
            </w:r>
          </w:p>
        </w:tc>
        <w:tc>
          <w:tcPr>
            <w:tcW w:type="dxa" w:w="3249"/>
            <w:vAlign w:val="center"/>
          </w:tcPr>
          <w:p>
            <w:r/>
            <w:r>
              <w:rPr>
                <w:rFonts w:ascii="Calibri" w:hAnsi="Calibri"/>
                <w:color w:val="222632"/>
                <w:sz w:val="20"/>
              </w:rPr>
              <w:t>More informative than AUC under imbalance</w:t>
            </w:r>
          </w:p>
        </w:tc>
      </w:tr>
      <w:tr>
        <w:tc>
          <w:tcPr>
            <w:tcW w:type="dxa" w:w="3249"/>
            <w:vAlign w:val="center"/>
          </w:tcPr>
          <w:p>
            <w:r/>
            <w:r>
              <w:rPr>
                <w:rFonts w:ascii="Calibri" w:hAnsi="Calibri"/>
                <w:b/>
                <w:color w:val="222632"/>
                <w:sz w:val="20"/>
              </w:rPr>
              <w:t>Calibration (Brier score)</w:t>
            </w:r>
          </w:p>
        </w:tc>
        <w:tc>
          <w:tcPr>
            <w:tcW w:type="dxa" w:w="3249"/>
            <w:vAlign w:val="center"/>
          </w:tcPr>
          <w:p>
            <w:r/>
            <w:r>
              <w:rPr>
                <w:rFonts w:ascii="Calibri" w:hAnsi="Calibri"/>
                <w:color w:val="222632"/>
                <w:sz w:val="20"/>
              </w:rPr>
              <w:t>Are predicted probabilities trustworthy?</w:t>
            </w:r>
          </w:p>
        </w:tc>
        <w:tc>
          <w:tcPr>
            <w:tcW w:type="dxa" w:w="3249"/>
            <w:vAlign w:val="center"/>
          </w:tcPr>
          <w:p>
            <w:r/>
            <w:r>
              <w:rPr>
                <w:rFonts w:ascii="Calibri" w:hAnsi="Calibri"/>
                <w:color w:val="222632"/>
                <w:sz w:val="20"/>
              </w:rPr>
              <w:t>Crucial for clinical decision-making</w:t>
            </w:r>
          </w:p>
        </w:tc>
      </w:tr>
    </w:tbl>
    <w:p>
      <w:pPr>
        <w:spacing w:before="120" w:after="120"/>
        <w:pBdr>
          <w:bottom w:val="single" w:sz="6" w:space="1" w:color="AAAAAA"/>
        </w:pBdr>
      </w:pPr>
    </w:p>
    <w:p>
      <w:pPr>
        <w:keepNext/>
        <w:spacing w:before="240" w:after="120"/>
      </w:pPr>
      <w:r>
        <w:rPr>
          <w:rFonts w:ascii="Calibri" w:hAnsi="Calibri"/>
          <w:b/>
          <w:color w:val="1F2D5C"/>
          <w:sz w:val="32"/>
        </w:rPr>
        <w:t>6. Results</w:t>
      </w:r>
    </w:p>
    <w:p>
      <w:pPr>
        <w:keepNext/>
        <w:spacing w:before="240" w:after="120"/>
      </w:pPr>
      <w:r>
        <w:rPr>
          <w:rFonts w:ascii="Calibri" w:hAnsi="Calibri"/>
          <w:b/>
          <w:color w:val="186F82"/>
          <w:sz w:val="26"/>
        </w:rPr>
        <w:t>6.1 Headline performance (test set)</w:t>
      </w:r>
    </w:p>
    <w:p>
      <w:pPr>
        <w:spacing w:after="120" w:line="300" w:lineRule="auto"/>
      </w:pPr>
      <w:r>
        <w:rPr>
          <w:rFonts w:ascii="Calibri" w:hAnsi="Calibri"/>
          <w:color w:val="222632"/>
          <w:sz w:val="22"/>
        </w:rPr>
        <w:t>Best tuned model per arm:</w:t>
      </w:r>
    </w:p>
    <w:tbl>
      <w:tblPr>
        <w:tblStyle w:val="LightGrid-Accent1"/>
        <w:tblW w:type="auto" w:w="0"/>
        <w:jc w:val="left"/>
        <w:tblLayout w:type="autofit"/>
        <w:tblLook w:firstColumn="1" w:firstRow="1" w:lastColumn="0" w:lastRow="0" w:noHBand="0" w:noVBand="1" w:val="04A0"/>
      </w:tblPr>
      <w:tblGrid>
        <w:gridCol w:w="1624"/>
        <w:gridCol w:w="1624"/>
        <w:gridCol w:w="1624"/>
        <w:gridCol w:w="1624"/>
        <w:gridCol w:w="1624"/>
        <w:gridCol w:w="1624"/>
      </w:tblGrid>
      <w:tr>
        <w:tc>
          <w:tcPr>
            <w:tcW w:type="dxa" w:w="1624"/>
            <w:vAlign w:val="center"/>
            <w:shd w:val="clear" w:color="auto" w:fill="1F2D5C"/>
          </w:tcPr>
          <w:p>
            <w:r/>
            <w:r>
              <w:rPr>
                <w:rFonts w:ascii="Calibri" w:hAnsi="Calibri"/>
                <w:b/>
                <w:color w:val="FFFFFF"/>
                <w:sz w:val="21"/>
              </w:rPr>
              <w:t>Arm</w:t>
            </w:r>
          </w:p>
        </w:tc>
        <w:tc>
          <w:tcPr>
            <w:tcW w:type="dxa" w:w="1624"/>
            <w:vAlign w:val="center"/>
            <w:shd w:val="clear" w:color="auto" w:fill="1F2D5C"/>
          </w:tcPr>
          <w:p>
            <w:r/>
            <w:r>
              <w:rPr>
                <w:rFonts w:ascii="Calibri" w:hAnsi="Calibri"/>
                <w:b/>
                <w:color w:val="FFFFFF"/>
                <w:sz w:val="21"/>
              </w:rPr>
              <w:t>Best Model</w:t>
            </w:r>
          </w:p>
        </w:tc>
        <w:tc>
          <w:tcPr>
            <w:tcW w:type="dxa" w:w="1624"/>
            <w:vAlign w:val="center"/>
            <w:shd w:val="clear" w:color="auto" w:fill="1F2D5C"/>
          </w:tcPr>
          <w:p>
            <w:r/>
            <w:r>
              <w:rPr>
                <w:rFonts w:ascii="Calibri" w:hAnsi="Calibri"/>
                <w:b/>
                <w:color w:val="FFFFFF"/>
                <w:sz w:val="21"/>
              </w:rPr>
              <w:t>AUC</w:t>
            </w:r>
          </w:p>
        </w:tc>
        <w:tc>
          <w:tcPr>
            <w:tcW w:type="dxa" w:w="1624"/>
            <w:vAlign w:val="center"/>
            <w:shd w:val="clear" w:color="auto" w:fill="1F2D5C"/>
          </w:tcPr>
          <w:p>
            <w:r/>
            <w:r>
              <w:rPr>
                <w:rFonts w:ascii="Calibri" w:hAnsi="Calibri"/>
                <w:b/>
                <w:color w:val="FFFFFF"/>
                <w:sz w:val="21"/>
              </w:rPr>
              <w:t>F1 (dep.)</w:t>
            </w:r>
          </w:p>
        </w:tc>
        <w:tc>
          <w:tcPr>
            <w:tcW w:type="dxa" w:w="1624"/>
            <w:vAlign w:val="center"/>
            <w:shd w:val="clear" w:color="auto" w:fill="1F2D5C"/>
          </w:tcPr>
          <w:p>
            <w:r/>
            <w:r>
              <w:rPr>
                <w:rFonts w:ascii="Calibri" w:hAnsi="Calibri"/>
                <w:b/>
                <w:color w:val="FFFFFF"/>
                <w:sz w:val="21"/>
              </w:rPr>
              <w:t>Recall</w:t>
            </w:r>
          </w:p>
        </w:tc>
        <w:tc>
          <w:tcPr>
            <w:tcW w:type="dxa" w:w="1624"/>
            <w:vAlign w:val="center"/>
            <w:shd w:val="clear" w:color="auto" w:fill="1F2D5C"/>
          </w:tcPr>
          <w:p>
            <w:r/>
            <w:r>
              <w:rPr>
                <w:rFonts w:ascii="Calibri" w:hAnsi="Calibri"/>
                <w:b/>
                <w:color w:val="FFFFFF"/>
                <w:sz w:val="21"/>
              </w:rPr>
              <w:t>Precision</w:t>
            </w:r>
          </w:p>
        </w:tc>
      </w:tr>
      <w:tr>
        <w:tc>
          <w:tcPr>
            <w:tcW w:type="dxa" w:w="1624"/>
            <w:vAlign w:val="center"/>
          </w:tcPr>
          <w:p>
            <w:r/>
            <w:r>
              <w:rPr>
                <w:rFonts w:ascii="Calibri" w:hAnsi="Calibri"/>
                <w:color w:val="222632"/>
                <w:sz w:val="20"/>
              </w:rPr>
              <w:t>W6 only (~4 yr horizon)</w:t>
            </w:r>
          </w:p>
        </w:tc>
        <w:tc>
          <w:tcPr>
            <w:tcW w:type="dxa" w:w="1624"/>
            <w:vAlign w:val="center"/>
          </w:tcPr>
          <w:p>
            <w:r/>
            <w:r>
              <w:rPr>
                <w:rFonts w:ascii="Calibri" w:hAnsi="Calibri"/>
                <w:color w:val="222632"/>
                <w:sz w:val="20"/>
              </w:rPr>
              <w:t>LightGBM</w:t>
            </w:r>
          </w:p>
        </w:tc>
        <w:tc>
          <w:tcPr>
            <w:tcW w:type="dxa" w:w="1624"/>
            <w:vAlign w:val="center"/>
          </w:tcPr>
          <w:p>
            <w:r/>
            <w:r>
              <w:rPr>
                <w:rFonts w:ascii="Calibri" w:hAnsi="Calibri"/>
                <w:color w:val="222632"/>
                <w:sz w:val="20"/>
              </w:rPr>
              <w:t>0.819</w:t>
            </w:r>
          </w:p>
        </w:tc>
        <w:tc>
          <w:tcPr>
            <w:tcW w:type="dxa" w:w="1624"/>
            <w:vAlign w:val="center"/>
          </w:tcPr>
          <w:p>
            <w:r/>
            <w:r>
              <w:rPr>
                <w:rFonts w:ascii="Calibri" w:hAnsi="Calibri"/>
                <w:color w:val="222632"/>
                <w:sz w:val="20"/>
              </w:rPr>
              <w:t>0.532</w:t>
            </w:r>
          </w:p>
        </w:tc>
        <w:tc>
          <w:tcPr>
            <w:tcW w:type="dxa" w:w="1624"/>
            <w:vAlign w:val="center"/>
          </w:tcPr>
          <w:p>
            <w:r/>
            <w:r>
              <w:rPr>
                <w:rFonts w:ascii="Calibri" w:hAnsi="Calibri"/>
                <w:color w:val="222632"/>
                <w:sz w:val="20"/>
              </w:rPr>
              <w:t>0.732</w:t>
            </w:r>
          </w:p>
        </w:tc>
        <w:tc>
          <w:tcPr>
            <w:tcW w:type="dxa" w:w="1624"/>
            <w:vAlign w:val="center"/>
          </w:tcPr>
          <w:p>
            <w:r/>
            <w:r>
              <w:rPr>
                <w:rFonts w:ascii="Calibri" w:hAnsi="Calibri"/>
                <w:color w:val="222632"/>
                <w:sz w:val="20"/>
              </w:rPr>
              <w:t>0.418</w:t>
            </w:r>
          </w:p>
        </w:tc>
      </w:tr>
      <w:tr>
        <w:tc>
          <w:tcPr>
            <w:tcW w:type="dxa" w:w="1624"/>
            <w:vAlign w:val="center"/>
          </w:tcPr>
          <w:p>
            <w:r/>
            <w:r>
              <w:rPr>
                <w:rFonts w:ascii="Calibri" w:hAnsi="Calibri"/>
                <w:color w:val="222632"/>
                <w:sz w:val="20"/>
              </w:rPr>
              <w:t>W7 only (~2 yr horizon)</w:t>
            </w:r>
          </w:p>
        </w:tc>
        <w:tc>
          <w:tcPr>
            <w:tcW w:type="dxa" w:w="1624"/>
            <w:vAlign w:val="center"/>
          </w:tcPr>
          <w:p>
            <w:r/>
            <w:r>
              <w:rPr>
                <w:rFonts w:ascii="Calibri" w:hAnsi="Calibri"/>
                <w:color w:val="222632"/>
                <w:sz w:val="20"/>
              </w:rPr>
              <w:t>Random Forest</w:t>
            </w:r>
          </w:p>
        </w:tc>
        <w:tc>
          <w:tcPr>
            <w:tcW w:type="dxa" w:w="1624"/>
            <w:vAlign w:val="center"/>
          </w:tcPr>
          <w:p>
            <w:r/>
            <w:r>
              <w:rPr>
                <w:rFonts w:ascii="Calibri" w:hAnsi="Calibri"/>
                <w:color w:val="222632"/>
                <w:sz w:val="20"/>
              </w:rPr>
              <w:t>0.824</w:t>
            </w:r>
          </w:p>
        </w:tc>
        <w:tc>
          <w:tcPr>
            <w:tcW w:type="dxa" w:w="1624"/>
            <w:vAlign w:val="center"/>
          </w:tcPr>
          <w:p>
            <w:r/>
            <w:r>
              <w:rPr>
                <w:rFonts w:ascii="Calibri" w:hAnsi="Calibri"/>
                <w:color w:val="222632"/>
                <w:sz w:val="20"/>
              </w:rPr>
              <w:t>0.545</w:t>
            </w:r>
          </w:p>
        </w:tc>
        <w:tc>
          <w:tcPr>
            <w:tcW w:type="dxa" w:w="1624"/>
            <w:vAlign w:val="center"/>
          </w:tcPr>
          <w:p>
            <w:r/>
            <w:r>
              <w:rPr>
                <w:rFonts w:ascii="Calibri" w:hAnsi="Calibri"/>
                <w:color w:val="222632"/>
                <w:sz w:val="20"/>
              </w:rPr>
              <w:t>0.668</w:t>
            </w:r>
          </w:p>
        </w:tc>
        <w:tc>
          <w:tcPr>
            <w:tcW w:type="dxa" w:w="1624"/>
            <w:vAlign w:val="center"/>
          </w:tcPr>
          <w:p>
            <w:r/>
            <w:r>
              <w:rPr>
                <w:rFonts w:ascii="Calibri" w:hAnsi="Calibri"/>
                <w:color w:val="222632"/>
                <w:sz w:val="20"/>
              </w:rPr>
              <w:t>0.461</w:t>
            </w:r>
          </w:p>
        </w:tc>
      </w:tr>
      <w:tr>
        <w:tc>
          <w:tcPr>
            <w:tcW w:type="dxa" w:w="1624"/>
            <w:vAlign w:val="center"/>
          </w:tcPr>
          <w:p>
            <w:r/>
            <w:r>
              <w:rPr>
                <w:rFonts w:ascii="Calibri" w:hAnsi="Calibri"/>
                <w:b/>
                <w:color w:val="222632"/>
                <w:sz w:val="20"/>
              </w:rPr>
              <w:t>W6+W7 combined</w:t>
            </w:r>
          </w:p>
        </w:tc>
        <w:tc>
          <w:tcPr>
            <w:tcW w:type="dxa" w:w="1624"/>
            <w:vAlign w:val="center"/>
          </w:tcPr>
          <w:p>
            <w:r/>
            <w:r>
              <w:rPr>
                <w:rFonts w:ascii="Calibri" w:hAnsi="Calibri"/>
                <w:b/>
                <w:color w:val="222632"/>
                <w:sz w:val="20"/>
              </w:rPr>
              <w:t>Random Forest (tuned)</w:t>
            </w:r>
          </w:p>
        </w:tc>
        <w:tc>
          <w:tcPr>
            <w:tcW w:type="dxa" w:w="1624"/>
            <w:vAlign w:val="center"/>
          </w:tcPr>
          <w:p>
            <w:r/>
            <w:r>
              <w:rPr>
                <w:rFonts w:ascii="Calibri" w:hAnsi="Calibri"/>
                <w:b/>
                <w:color w:val="222632"/>
                <w:sz w:val="20"/>
              </w:rPr>
              <w:t>0.848</w:t>
            </w:r>
          </w:p>
        </w:tc>
        <w:tc>
          <w:tcPr>
            <w:tcW w:type="dxa" w:w="1624"/>
            <w:vAlign w:val="center"/>
          </w:tcPr>
          <w:p>
            <w:r/>
            <w:r>
              <w:rPr>
                <w:rFonts w:ascii="Calibri" w:hAnsi="Calibri"/>
                <w:b/>
                <w:color w:val="222632"/>
                <w:sz w:val="20"/>
              </w:rPr>
              <w:t>0.582</w:t>
            </w:r>
          </w:p>
        </w:tc>
        <w:tc>
          <w:tcPr>
            <w:tcW w:type="dxa" w:w="1624"/>
            <w:vAlign w:val="center"/>
          </w:tcPr>
          <w:p>
            <w:r/>
            <w:r>
              <w:rPr>
                <w:rFonts w:ascii="Calibri" w:hAnsi="Calibri"/>
                <w:color w:val="222632"/>
                <w:sz w:val="20"/>
              </w:rPr>
              <w:t>0.714</w:t>
            </w:r>
          </w:p>
        </w:tc>
        <w:tc>
          <w:tcPr>
            <w:tcW w:type="dxa" w:w="1624"/>
            <w:vAlign w:val="center"/>
          </w:tcPr>
          <w:p>
            <w:r/>
            <w:r>
              <w:rPr>
                <w:rFonts w:ascii="Calibri" w:hAnsi="Calibri"/>
                <w:b/>
                <w:color w:val="222632"/>
                <w:sz w:val="20"/>
              </w:rPr>
              <w:t>0.491</w:t>
            </w:r>
          </w:p>
        </w:tc>
      </w:tr>
    </w:tbl>
    <w:p>
      <w:pPr>
        <w:spacing w:after="120" w:line="300" w:lineRule="auto"/>
      </w:pPr>
      <w:r>
        <w:rPr>
          <w:rFonts w:ascii="Calibri" w:hAnsi="Calibri"/>
          <w:b/>
          <w:color w:val="222632"/>
          <w:sz w:val="22"/>
        </w:rPr>
        <w:t>RQ1 answer:</w:t>
      </w:r>
      <w:r>
        <w:rPr>
          <w:rFonts w:ascii="Calibri" w:hAnsi="Calibri"/>
          <w:color w:val="222632"/>
          <w:sz w:val="22"/>
        </w:rPr>
        <w:t xml:space="preserve"> Yes — AUC 0.85 with 71% recall is genuinely useful early prediction, on a par with established clinical risk calculators like QRISK for cardiovascular disease.</w:t>
      </w:r>
    </w:p>
    <w:p>
      <w:pPr>
        <w:spacing w:after="120" w:line="300" w:lineRule="auto"/>
      </w:pPr>
      <w:r>
        <w:rPr>
          <w:rFonts w:ascii="Calibri" w:hAnsi="Calibri"/>
          <w:b/>
          <w:color w:val="222632"/>
          <w:sz w:val="22"/>
        </w:rPr>
        <w:t>RQ2 answer:</w:t>
      </w:r>
      <w:r>
        <w:rPr>
          <w:rFonts w:ascii="Calibri" w:hAnsi="Calibri"/>
          <w:color w:val="222632"/>
          <w:sz w:val="22"/>
        </w:rPr>
        <w:t xml:space="preserve"> Yes, but the gain is modest. W6+W7 beats either single-wave arm by approximately 0.025-0.030 AUC. The two waves complement each other — the combination knows both the </w:t>
      </w:r>
      <w:r>
        <w:rPr>
          <w:rFonts w:ascii="Calibri" w:hAnsi="Calibri"/>
          <w:i/>
          <w:color w:val="222632"/>
          <w:sz w:val="22"/>
        </w:rPr>
        <w:t>level</w:t>
      </w:r>
      <w:r>
        <w:rPr>
          <w:rFonts w:ascii="Calibri" w:hAnsi="Calibri"/>
          <w:color w:val="222632"/>
          <w:sz w:val="22"/>
        </w:rPr>
        <w:t xml:space="preserve"> (current CES-D) and the </w:t>
      </w:r>
      <w:r>
        <w:rPr>
          <w:rFonts w:ascii="Calibri" w:hAnsi="Calibri"/>
          <w:i/>
          <w:color w:val="222632"/>
          <w:sz w:val="22"/>
        </w:rPr>
        <w:t>trajectory</w:t>
      </w:r>
      <w:r>
        <w:rPr>
          <w:rFonts w:ascii="Calibri" w:hAnsi="Calibri"/>
          <w:color w:val="222632"/>
          <w:sz w:val="22"/>
        </w:rPr>
        <w:t xml:space="preserve"> (change from W6 to W7).</w:t>
      </w:r>
    </w:p>
    <w:p>
      <w:pPr>
        <w:keepNext/>
        <w:spacing w:before="240" w:after="120"/>
      </w:pPr>
      <w:r>
        <w:rPr>
          <w:rFonts w:ascii="Calibri" w:hAnsi="Calibri"/>
          <w:b/>
          <w:color w:val="186F82"/>
          <w:sz w:val="26"/>
        </w:rPr>
        <w:t>6.2 Cross-arm comparison</w:t>
      </w:r>
    </w:p>
    <w:p>
      <w:pPr>
        <w:spacing w:after="120" w:line="300" w:lineRule="auto"/>
      </w:pPr>
      <w:r>
        <w:rPr>
          <w:rFonts w:ascii="Calibri" w:hAnsi="Calibri"/>
          <w:color w:val="222632"/>
          <w:sz w:val="22"/>
        </w:rPr>
        <w:t>The W7-only arm slightly beats the W6-only arm (0.824 vs 0.819 AUC). This is intuitive: a more recent snapshot is closer in time to the outcome, so its predictors are less stale. But the gain from a 2-year shorter horizon is small (~0.005 AUC), suggesting that depression risk profiles in this population evolve slowly over 2-year windows — a clinically meaningful insight in itself.</w:t>
      </w:r>
    </w:p>
    <w:p>
      <w:pPr>
        <w:keepNext/>
        <w:spacing w:before="240" w:after="120"/>
      </w:pPr>
      <w:r>
        <w:rPr>
          <w:rFonts w:ascii="Calibri" w:hAnsi="Calibri"/>
          <w:b/>
          <w:color w:val="186F82"/>
          <w:sz w:val="26"/>
        </w:rPr>
        <w:t>6.3 Domain ablation — what happens when we remove each domain (W6+W7 arm)</w:t>
      </w:r>
    </w:p>
    <w:tbl>
      <w:tblPr>
        <w:tblStyle w:val="LightGrid-Accent1"/>
        <w:tblW w:type="auto" w:w="0"/>
        <w:jc w:val="left"/>
        <w:tblLayout w:type="autofit"/>
        <w:tblLook w:firstColumn="1" w:firstRow="1" w:lastColumn="0" w:lastRow="0" w:noHBand="0" w:noVBand="1" w:val="04A0"/>
      </w:tblPr>
      <w:tblGrid>
        <w:gridCol w:w="3249"/>
        <w:gridCol w:w="3249"/>
        <w:gridCol w:w="3249"/>
      </w:tblGrid>
      <w:tr>
        <w:tc>
          <w:tcPr>
            <w:tcW w:type="dxa" w:w="3249"/>
            <w:vAlign w:val="center"/>
            <w:shd w:val="clear" w:color="auto" w:fill="1F2D5C"/>
          </w:tcPr>
          <w:p>
            <w:r/>
            <w:r>
              <w:rPr>
                <w:rFonts w:ascii="Calibri" w:hAnsi="Calibri"/>
                <w:b/>
                <w:color w:val="FFFFFF"/>
                <w:sz w:val="21"/>
              </w:rPr>
              <w:t>Removed domain</w:t>
            </w:r>
          </w:p>
        </w:tc>
        <w:tc>
          <w:tcPr>
            <w:tcW w:type="dxa" w:w="3249"/>
            <w:vAlign w:val="center"/>
            <w:shd w:val="clear" w:color="auto" w:fill="1F2D5C"/>
          </w:tcPr>
          <w:p>
            <w:r/>
            <w:r>
              <w:rPr>
                <w:rFonts w:ascii="Calibri" w:hAnsi="Calibri"/>
                <w:b/>
                <w:color w:val="FFFFFF"/>
                <w:sz w:val="21"/>
              </w:rPr>
              <w:t>New AUC</w:t>
            </w:r>
          </w:p>
        </w:tc>
        <w:tc>
          <w:tcPr>
            <w:tcW w:type="dxa" w:w="3249"/>
            <w:vAlign w:val="center"/>
            <w:shd w:val="clear" w:color="auto" w:fill="1F2D5C"/>
          </w:tcPr>
          <w:p>
            <w:r/>
            <w:r>
              <w:rPr>
                <w:rFonts w:ascii="Calibri" w:hAnsi="Calibri"/>
                <w:b/>
                <w:color w:val="FFFFFF"/>
                <w:sz w:val="21"/>
              </w:rPr>
              <w:t>AUC drop</w:t>
            </w:r>
          </w:p>
        </w:tc>
      </w:tr>
      <w:tr>
        <w:tc>
          <w:tcPr>
            <w:tcW w:type="dxa" w:w="3249"/>
            <w:vAlign w:val="center"/>
          </w:tcPr>
          <w:p>
            <w:r/>
            <w:r>
              <w:rPr>
                <w:rFonts w:ascii="Calibri" w:hAnsi="Calibri"/>
                <w:color w:val="222632"/>
                <w:sz w:val="20"/>
              </w:rPr>
              <w:t>Prior depression</w:t>
            </w:r>
          </w:p>
        </w:tc>
        <w:tc>
          <w:tcPr>
            <w:tcW w:type="dxa" w:w="3249"/>
            <w:vAlign w:val="center"/>
          </w:tcPr>
          <w:p>
            <w:r/>
            <w:r>
              <w:rPr>
                <w:rFonts w:ascii="Calibri" w:hAnsi="Calibri"/>
                <w:color w:val="222632"/>
                <w:sz w:val="20"/>
              </w:rPr>
              <w:t>0.771</w:t>
            </w:r>
          </w:p>
        </w:tc>
        <w:tc>
          <w:tcPr>
            <w:tcW w:type="dxa" w:w="3249"/>
            <w:vAlign w:val="center"/>
          </w:tcPr>
          <w:p>
            <w:r/>
            <w:r>
              <w:rPr>
                <w:rFonts w:ascii="Calibri" w:hAnsi="Calibri"/>
                <w:b/>
                <w:color w:val="222632"/>
                <w:sz w:val="20"/>
              </w:rPr>
              <w:t>0.077</w:t>
            </w:r>
          </w:p>
        </w:tc>
      </w:tr>
      <w:tr>
        <w:tc>
          <w:tcPr>
            <w:tcW w:type="dxa" w:w="3249"/>
            <w:vAlign w:val="center"/>
          </w:tcPr>
          <w:p>
            <w:r/>
            <w:r>
              <w:rPr>
                <w:rFonts w:ascii="Calibri" w:hAnsi="Calibri"/>
                <w:color w:val="222632"/>
                <w:sz w:val="20"/>
              </w:rPr>
              <w:t>Self-rated health</w:t>
            </w:r>
          </w:p>
        </w:tc>
        <w:tc>
          <w:tcPr>
            <w:tcW w:type="dxa" w:w="3249"/>
            <w:vAlign w:val="center"/>
          </w:tcPr>
          <w:p>
            <w:r/>
            <w:r>
              <w:rPr>
                <w:rFonts w:ascii="Calibri" w:hAnsi="Calibri"/>
                <w:color w:val="222632"/>
                <w:sz w:val="20"/>
              </w:rPr>
              <w:t>0.843</w:t>
            </w:r>
          </w:p>
        </w:tc>
        <w:tc>
          <w:tcPr>
            <w:tcW w:type="dxa" w:w="3249"/>
            <w:vAlign w:val="center"/>
          </w:tcPr>
          <w:p>
            <w:r/>
            <w:r>
              <w:rPr>
                <w:rFonts w:ascii="Calibri" w:hAnsi="Calibri"/>
                <w:color w:val="222632"/>
                <w:sz w:val="20"/>
              </w:rPr>
              <w:t>0.005</w:t>
            </w:r>
          </w:p>
        </w:tc>
      </w:tr>
      <w:tr>
        <w:tc>
          <w:tcPr>
            <w:tcW w:type="dxa" w:w="3249"/>
            <w:vAlign w:val="center"/>
          </w:tcPr>
          <w:p>
            <w:r/>
            <w:r>
              <w:rPr>
                <w:rFonts w:ascii="Calibri" w:hAnsi="Calibri"/>
                <w:color w:val="222632"/>
                <w:sz w:val="20"/>
              </w:rPr>
              <w:t>Chronic conditions</w:t>
            </w:r>
          </w:p>
        </w:tc>
        <w:tc>
          <w:tcPr>
            <w:tcW w:type="dxa" w:w="3249"/>
            <w:vAlign w:val="center"/>
          </w:tcPr>
          <w:p>
            <w:r/>
            <w:r>
              <w:rPr>
                <w:rFonts w:ascii="Calibri" w:hAnsi="Calibri"/>
                <w:color w:val="222632"/>
                <w:sz w:val="20"/>
              </w:rPr>
              <w:t>0.849</w:t>
            </w:r>
          </w:p>
        </w:tc>
        <w:tc>
          <w:tcPr>
            <w:tcW w:type="dxa" w:w="3249"/>
            <w:vAlign w:val="center"/>
          </w:tcPr>
          <w:p>
            <w:r/>
            <w:r>
              <w:rPr>
                <w:rFonts w:ascii="Calibri" w:hAnsi="Calibri"/>
                <w:color w:val="222632"/>
                <w:sz w:val="20"/>
              </w:rPr>
              <w:t>-0.000</w:t>
            </w:r>
          </w:p>
        </w:tc>
      </w:tr>
      <w:tr>
        <w:tc>
          <w:tcPr>
            <w:tcW w:type="dxa" w:w="3249"/>
            <w:vAlign w:val="center"/>
          </w:tcPr>
          <w:p>
            <w:r/>
            <w:r>
              <w:rPr>
                <w:rFonts w:ascii="Calibri" w:hAnsi="Calibri"/>
                <w:color w:val="222632"/>
                <w:sz w:val="20"/>
              </w:rPr>
              <w:t>Mobility / function</w:t>
            </w:r>
          </w:p>
        </w:tc>
        <w:tc>
          <w:tcPr>
            <w:tcW w:type="dxa" w:w="3249"/>
            <w:vAlign w:val="center"/>
          </w:tcPr>
          <w:p>
            <w:r/>
            <w:r>
              <w:rPr>
                <w:rFonts w:ascii="Calibri" w:hAnsi="Calibri"/>
                <w:color w:val="222632"/>
                <w:sz w:val="20"/>
              </w:rPr>
              <w:t>0.849</w:t>
            </w:r>
          </w:p>
        </w:tc>
        <w:tc>
          <w:tcPr>
            <w:tcW w:type="dxa" w:w="3249"/>
            <w:vAlign w:val="center"/>
          </w:tcPr>
          <w:p>
            <w:r/>
            <w:r>
              <w:rPr>
                <w:rFonts w:ascii="Calibri" w:hAnsi="Calibri"/>
                <w:color w:val="222632"/>
                <w:sz w:val="20"/>
              </w:rPr>
              <w:t>-0.001</w:t>
            </w:r>
          </w:p>
        </w:tc>
      </w:tr>
      <w:tr>
        <w:tc>
          <w:tcPr>
            <w:tcW w:type="dxa" w:w="3249"/>
            <w:vAlign w:val="center"/>
          </w:tcPr>
          <w:p>
            <w:r/>
            <w:r>
              <w:rPr>
                <w:rFonts w:ascii="Calibri" w:hAnsi="Calibri"/>
                <w:color w:val="222632"/>
                <w:sz w:val="20"/>
              </w:rPr>
              <w:t>Cognition</w:t>
            </w:r>
          </w:p>
        </w:tc>
        <w:tc>
          <w:tcPr>
            <w:tcW w:type="dxa" w:w="3249"/>
            <w:vAlign w:val="center"/>
          </w:tcPr>
          <w:p>
            <w:r/>
            <w:r>
              <w:rPr>
                <w:rFonts w:ascii="Calibri" w:hAnsi="Calibri"/>
                <w:color w:val="222632"/>
                <w:sz w:val="20"/>
              </w:rPr>
              <w:t>0.849</w:t>
            </w:r>
          </w:p>
        </w:tc>
        <w:tc>
          <w:tcPr>
            <w:tcW w:type="dxa" w:w="3249"/>
            <w:vAlign w:val="center"/>
          </w:tcPr>
          <w:p>
            <w:r/>
            <w:r>
              <w:rPr>
                <w:rFonts w:ascii="Calibri" w:hAnsi="Calibri"/>
                <w:color w:val="222632"/>
                <w:sz w:val="20"/>
              </w:rPr>
              <w:t>-0.000</w:t>
            </w:r>
          </w:p>
        </w:tc>
      </w:tr>
      <w:tr>
        <w:tc>
          <w:tcPr>
            <w:tcW w:type="dxa" w:w="3249"/>
            <w:vAlign w:val="center"/>
          </w:tcPr>
          <w:p>
            <w:r/>
            <w:r>
              <w:rPr>
                <w:rFonts w:ascii="Calibri" w:hAnsi="Calibri"/>
                <w:color w:val="222632"/>
                <w:sz w:val="20"/>
              </w:rPr>
              <w:t>Socioeconomic</w:t>
            </w:r>
          </w:p>
        </w:tc>
        <w:tc>
          <w:tcPr>
            <w:tcW w:type="dxa" w:w="3249"/>
            <w:vAlign w:val="center"/>
          </w:tcPr>
          <w:p>
            <w:r/>
            <w:r>
              <w:rPr>
                <w:rFonts w:ascii="Calibri" w:hAnsi="Calibri"/>
                <w:color w:val="222632"/>
                <w:sz w:val="20"/>
              </w:rPr>
              <w:t>0.849</w:t>
            </w:r>
          </w:p>
        </w:tc>
        <w:tc>
          <w:tcPr>
            <w:tcW w:type="dxa" w:w="3249"/>
            <w:vAlign w:val="center"/>
          </w:tcPr>
          <w:p>
            <w:r/>
            <w:r>
              <w:rPr>
                <w:rFonts w:ascii="Calibri" w:hAnsi="Calibri"/>
                <w:color w:val="222632"/>
                <w:sz w:val="20"/>
              </w:rPr>
              <w:t>-0.001</w:t>
            </w:r>
          </w:p>
        </w:tc>
      </w:tr>
      <w:tr>
        <w:tc>
          <w:tcPr>
            <w:tcW w:type="dxa" w:w="3249"/>
            <w:vAlign w:val="center"/>
          </w:tcPr>
          <w:p>
            <w:r/>
            <w:r>
              <w:rPr>
                <w:rFonts w:ascii="Calibri" w:hAnsi="Calibri"/>
                <w:color w:val="222632"/>
                <w:sz w:val="20"/>
              </w:rPr>
              <w:t>Social / housing</w:t>
            </w:r>
          </w:p>
        </w:tc>
        <w:tc>
          <w:tcPr>
            <w:tcW w:type="dxa" w:w="3249"/>
            <w:vAlign w:val="center"/>
          </w:tcPr>
          <w:p>
            <w:r/>
            <w:r>
              <w:rPr>
                <w:rFonts w:ascii="Calibri" w:hAnsi="Calibri"/>
                <w:color w:val="222632"/>
                <w:sz w:val="20"/>
              </w:rPr>
              <w:t>0.850</w:t>
            </w:r>
          </w:p>
        </w:tc>
        <w:tc>
          <w:tcPr>
            <w:tcW w:type="dxa" w:w="3249"/>
            <w:vAlign w:val="center"/>
          </w:tcPr>
          <w:p>
            <w:r/>
            <w:r>
              <w:rPr>
                <w:rFonts w:ascii="Calibri" w:hAnsi="Calibri"/>
                <w:color w:val="222632"/>
                <w:sz w:val="20"/>
              </w:rPr>
              <w:t>-0.001</w:t>
            </w:r>
          </w:p>
        </w:tc>
      </w:tr>
      <w:tr>
        <w:tc>
          <w:tcPr>
            <w:tcW w:type="dxa" w:w="3249"/>
            <w:vAlign w:val="center"/>
          </w:tcPr>
          <w:p>
            <w:r/>
            <w:r>
              <w:rPr>
                <w:rFonts w:ascii="Calibri" w:hAnsi="Calibri"/>
                <w:color w:val="222632"/>
                <w:sz w:val="20"/>
              </w:rPr>
              <w:t>Lifestyle / digital</w:t>
            </w:r>
          </w:p>
        </w:tc>
        <w:tc>
          <w:tcPr>
            <w:tcW w:type="dxa" w:w="3249"/>
            <w:vAlign w:val="center"/>
          </w:tcPr>
          <w:p>
            <w:r/>
            <w:r>
              <w:rPr>
                <w:rFonts w:ascii="Calibri" w:hAnsi="Calibri"/>
                <w:color w:val="222632"/>
                <w:sz w:val="20"/>
              </w:rPr>
              <w:t>0.849</w:t>
            </w:r>
          </w:p>
        </w:tc>
        <w:tc>
          <w:tcPr>
            <w:tcW w:type="dxa" w:w="3249"/>
            <w:vAlign w:val="center"/>
          </w:tcPr>
          <w:p>
            <w:r/>
            <w:r>
              <w:rPr>
                <w:rFonts w:ascii="Calibri" w:hAnsi="Calibri"/>
                <w:color w:val="222632"/>
                <w:sz w:val="20"/>
              </w:rPr>
              <w:t>-0.000</w:t>
            </w:r>
          </w:p>
        </w:tc>
      </w:tr>
      <w:tr>
        <w:tc>
          <w:tcPr>
            <w:tcW w:type="dxa" w:w="3249"/>
            <w:vAlign w:val="center"/>
          </w:tcPr>
          <w:p>
            <w:r/>
            <w:r>
              <w:rPr>
                <w:rFonts w:ascii="Calibri" w:hAnsi="Calibri"/>
                <w:color w:val="222632"/>
                <w:sz w:val="20"/>
              </w:rPr>
              <w:t>Demographics</w:t>
            </w:r>
          </w:p>
        </w:tc>
        <w:tc>
          <w:tcPr>
            <w:tcW w:type="dxa" w:w="3249"/>
            <w:vAlign w:val="center"/>
          </w:tcPr>
          <w:p>
            <w:r/>
            <w:r>
              <w:rPr>
                <w:rFonts w:ascii="Calibri" w:hAnsi="Calibri"/>
                <w:color w:val="222632"/>
                <w:sz w:val="20"/>
              </w:rPr>
              <w:t>0.848</w:t>
            </w:r>
          </w:p>
        </w:tc>
        <w:tc>
          <w:tcPr>
            <w:tcW w:type="dxa" w:w="3249"/>
            <w:vAlign w:val="center"/>
          </w:tcPr>
          <w:p>
            <w:r/>
            <w:r>
              <w:rPr>
                <w:rFonts w:ascii="Calibri" w:hAnsi="Calibri"/>
                <w:color w:val="222632"/>
                <w:sz w:val="20"/>
              </w:rPr>
              <w:t>0.001</w:t>
            </w:r>
          </w:p>
        </w:tc>
      </w:tr>
    </w:tbl>
    <w:p>
      <w:pPr>
        <w:spacing w:after="120" w:line="300" w:lineRule="auto"/>
      </w:pPr>
      <w:r>
        <w:rPr>
          <w:rFonts w:ascii="Calibri" w:hAnsi="Calibri"/>
          <w:color w:val="222632"/>
          <w:sz w:val="22"/>
        </w:rPr>
        <w:t xml:space="preserve">Prior depression is the dominant predictor — removing it costs 0.077 AUC. Every other single domain costs less than 0.005. This does </w:t>
      </w:r>
      <w:r>
        <w:rPr>
          <w:rFonts w:ascii="Calibri" w:hAnsi="Calibri"/>
          <w:b/>
          <w:color w:val="222632"/>
          <w:sz w:val="22"/>
        </w:rPr>
        <w:t>not</w:t>
      </w:r>
      <w:r>
        <w:rPr>
          <w:rFonts w:ascii="Calibri" w:hAnsi="Calibri"/>
          <w:color w:val="222632"/>
          <w:sz w:val="22"/>
        </w:rPr>
        <w:t xml:space="preserve"> mean other domains are useless; it means they overlap heavily (e.g. mobility ↔ self-rated health ↔ chronic conditions all measure the same underlying physical health), so removing one alone is partially compensated by others. The leakage sensitivity analysis (Section 6.5) tests this overlap directly.</w:t>
      </w:r>
    </w:p>
    <w:p>
      <w:pPr>
        <w:keepNext/>
        <w:spacing w:before="240" w:after="120"/>
      </w:pPr>
      <w:r>
        <w:rPr>
          <w:rFonts w:ascii="Calibri" w:hAnsi="Calibri"/>
          <w:b/>
          <w:color w:val="186F82"/>
          <w:sz w:val="26"/>
        </w:rPr>
        <w:t>6.4 SHAP — the two-act narrative (RQ3)</w:t>
      </w:r>
    </w:p>
    <w:p>
      <w:pPr>
        <w:spacing w:after="120" w:line="300" w:lineRule="auto"/>
      </w:pPr>
      <w:r>
        <w:rPr>
          <w:rFonts w:ascii="Calibri" w:hAnsi="Calibri"/>
          <w:b/>
          <w:color w:val="222632"/>
          <w:sz w:val="22"/>
        </w:rPr>
        <w:t>Act 1 — full model.</w:t>
      </w:r>
      <w:r>
        <w:rPr>
          <w:rFonts w:ascii="Calibri" w:hAnsi="Calibri"/>
          <w:color w:val="222632"/>
          <w:sz w:val="22"/>
        </w:rPr>
        <w:t xml:space="preserve"> With all features present, SHAP confirms what the coefficients and importance plots already show: </w:t>
      </w:r>
      <w:r>
        <w:rPr>
          <w:rFonts w:ascii="Consolas" w:hAnsi="Consolas"/>
          <w:color w:val="1F2D5C"/>
          <w:sz w:val="20"/>
        </w:rPr>
        <w:t>cesd_sc_w7</w:t>
      </w:r>
      <w:r>
        <w:rPr>
          <w:rFonts w:ascii="Calibri" w:hAnsi="Calibri"/>
          <w:color w:val="222632"/>
          <w:sz w:val="22"/>
        </w:rPr>
        <w:t xml:space="preserve"> and </w:t>
      </w:r>
      <w:r>
        <w:rPr>
          <w:rFonts w:ascii="Consolas" w:hAnsi="Consolas"/>
          <w:color w:val="1F2D5C"/>
          <w:sz w:val="20"/>
        </w:rPr>
        <w:t>cesd_sc_w6</w:t>
      </w:r>
      <w:r>
        <w:rPr>
          <w:rFonts w:ascii="Calibri" w:hAnsi="Calibri"/>
          <w:color w:val="222632"/>
          <w:sz w:val="22"/>
        </w:rPr>
        <w:t xml:space="preserve"> dominate, contributing roughly 4× more to predictions than any other feature. Self-rated health, mobility count, financial difficulty, and CES-D change appear next. This tells us prior depression history is the single most informative signal.</w:t>
      </w:r>
    </w:p>
    <w:p>
      <w:pPr>
        <w:spacing w:after="120" w:line="300" w:lineRule="auto"/>
      </w:pPr>
      <w:r>
        <w:rPr>
          <w:rFonts w:ascii="Calibri" w:hAnsi="Calibri"/>
          <w:b/>
          <w:color w:val="222632"/>
          <w:sz w:val="22"/>
        </w:rPr>
        <w:t>Act 2 — without CES-D.</w:t>
      </w:r>
      <w:r>
        <w:rPr>
          <w:rFonts w:ascii="Calibri" w:hAnsi="Calibri"/>
          <w:color w:val="222632"/>
          <w:sz w:val="22"/>
        </w:rPr>
        <w:t xml:space="preserve"> Refit on the </w:t>
      </w:r>
      <w:r>
        <w:rPr>
          <w:rFonts w:ascii="Consolas" w:hAnsi="Consolas"/>
          <w:color w:val="1F2D5C"/>
          <w:sz w:val="20"/>
        </w:rPr>
        <w:t>no_cesd</w:t>
      </w:r>
      <w:r>
        <w:rPr>
          <w:rFonts w:ascii="Calibri" w:hAnsi="Calibri"/>
          <w:color w:val="222632"/>
          <w:sz w:val="22"/>
        </w:rPr>
        <w:t xml:space="preserve"> configuration, the SHAP top-20 reorders dramatically. </w:t>
      </w:r>
      <w:r>
        <w:rPr>
          <w:rFonts w:ascii="Calibri" w:hAnsi="Calibri"/>
          <w:b/>
          <w:color w:val="222632"/>
          <w:sz w:val="22"/>
        </w:rPr>
        <w:t>Self-rated health (`srh_hrs`, `Hehelf`) becomes the top predictor.</w:t>
      </w:r>
      <w:r>
        <w:rPr>
          <w:rFonts w:ascii="Calibri" w:hAnsi="Calibri"/>
          <w:color w:val="222632"/>
          <w:sz w:val="22"/>
        </w:rPr>
        <w:t xml:space="preserve"> Mobility count, functional burden, financial difficulty, and </w:t>
      </w:r>
      <w:r>
        <w:rPr>
          <w:rFonts w:ascii="Consolas" w:hAnsi="Consolas"/>
          <w:color w:val="1F2D5C"/>
          <w:sz w:val="20"/>
        </w:rPr>
        <w:t>hlimwrk</w:t>
      </w:r>
      <w:r>
        <w:rPr>
          <w:rFonts w:ascii="Calibri" w:hAnsi="Calibri"/>
          <w:color w:val="222632"/>
          <w:sz w:val="22"/>
        </w:rPr>
        <w:t xml:space="preserve"> (health limits work) take the next slots. Demographics (age, sex) and wealth quintile also rise.</w:t>
      </w:r>
    </w:p>
    <w:p>
      <w:pPr>
        <w:spacing w:after="120" w:line="300" w:lineRule="auto"/>
      </w:pPr>
      <w:r>
        <w:rPr>
          <w:rFonts w:ascii="Calibri" w:hAnsi="Calibri"/>
          <w:b/>
          <w:color w:val="222632"/>
          <w:sz w:val="22"/>
        </w:rPr>
        <w:t>Why this matters scientifically.</w:t>
      </w:r>
      <w:r>
        <w:rPr>
          <w:rFonts w:ascii="Calibri" w:hAnsi="Calibri"/>
          <w:color w:val="222632"/>
          <w:sz w:val="22"/>
        </w:rPr>
        <w:t xml:space="preserve"> Act 2 is the clinically novel finding. It demonstrates that depression risk leaves a measurable footprint in physical health, mobility, and economic circumstances 2-4 years before the depression itself manifests. This aligns with the biopsychosocial model of late-life depression, where physical decline, social isolation, and financial stress are causal contributors, not just consequences.</w:t>
      </w:r>
    </w:p>
    <w:p>
      <w:pPr>
        <w:keepNext/>
        <w:spacing w:before="240" w:after="120"/>
      </w:pPr>
      <w:r>
        <w:rPr>
          <w:rFonts w:ascii="Calibri" w:hAnsi="Calibri"/>
          <w:b/>
          <w:color w:val="186F82"/>
          <w:sz w:val="26"/>
        </w:rPr>
        <w:t>6.5 Calibration</w:t>
      </w:r>
    </w:p>
    <w:p>
      <w:pPr>
        <w:spacing w:after="120" w:line="300" w:lineRule="auto"/>
      </w:pPr>
      <w:r>
        <w:rPr>
          <w:rFonts w:ascii="Calibri" w:hAnsi="Calibri"/>
          <w:color w:val="222632"/>
          <w:sz w:val="22"/>
        </w:rPr>
        <w:t>Tree-based models (RF, XGB, LGBM) are well-known to produce overconfident probabilities — they tend to push predictions toward 0 or 1. Isotonic regression calibration on a held-out fold corrects this without changing AUC. The result: a person assigned a 30% predicted risk by the calibrated model genuinely has roughly a 30% chance of developing depression. This is the property required for any clinical screening application.</w:t>
      </w:r>
    </w:p>
    <w:p>
      <w:pPr>
        <w:keepNext/>
        <w:spacing w:before="240" w:after="120"/>
      </w:pPr>
      <w:r>
        <w:rPr>
          <w:rFonts w:ascii="Calibri" w:hAnsi="Calibri"/>
          <w:b/>
          <w:color w:val="186F82"/>
          <w:sz w:val="26"/>
        </w:rPr>
        <w:t>6.6 Leakage sensitivity (with vs without prior CES-D)</w:t>
      </w:r>
    </w:p>
    <w:tbl>
      <w:tblPr>
        <w:tblStyle w:val="LightGrid-Accent1"/>
        <w:tblW w:type="auto" w:w="0"/>
        <w:jc w:val="left"/>
        <w:tblLayout w:type="autofit"/>
        <w:tblLook w:firstColumn="1" w:firstRow="1" w:lastColumn="0" w:lastRow="0" w:noHBand="0" w:noVBand="1" w:val="04A0"/>
      </w:tblPr>
      <w:tblGrid>
        <w:gridCol w:w="2436"/>
        <w:gridCol w:w="2436"/>
        <w:gridCol w:w="2436"/>
        <w:gridCol w:w="2436"/>
      </w:tblGrid>
      <w:tr>
        <w:tc>
          <w:tcPr>
            <w:tcW w:type="dxa" w:w="2436"/>
            <w:vAlign w:val="center"/>
            <w:shd w:val="clear" w:color="auto" w:fill="1F2D5C"/>
          </w:tcPr>
          <w:p>
            <w:r/>
            <w:r>
              <w:rPr>
                <w:rFonts w:ascii="Calibri" w:hAnsi="Calibri"/>
                <w:b/>
                <w:color w:val="FFFFFF"/>
                <w:sz w:val="21"/>
              </w:rPr>
              <w:t>Arm</w:t>
            </w:r>
          </w:p>
        </w:tc>
        <w:tc>
          <w:tcPr>
            <w:tcW w:type="dxa" w:w="2436"/>
            <w:vAlign w:val="center"/>
            <w:shd w:val="clear" w:color="auto" w:fill="1F2D5C"/>
          </w:tcPr>
          <w:p>
            <w:r/>
            <w:r>
              <w:rPr>
                <w:rFonts w:ascii="Calibri" w:hAnsi="Calibri"/>
                <w:b/>
                <w:color w:val="FFFFFF"/>
                <w:sz w:val="21"/>
              </w:rPr>
              <w:t>Full AUC</w:t>
            </w:r>
          </w:p>
        </w:tc>
        <w:tc>
          <w:tcPr>
            <w:tcW w:type="dxa" w:w="2436"/>
            <w:vAlign w:val="center"/>
            <w:shd w:val="clear" w:color="auto" w:fill="1F2D5C"/>
          </w:tcPr>
          <w:p>
            <w:r/>
            <w:r>
              <w:rPr>
                <w:rFonts w:ascii="Calibri" w:hAnsi="Calibri"/>
                <w:b/>
                <w:color w:val="FFFFFF"/>
                <w:sz w:val="21"/>
              </w:rPr>
              <w:t>No-CES-D AUC</w:t>
            </w:r>
          </w:p>
        </w:tc>
        <w:tc>
          <w:tcPr>
            <w:tcW w:type="dxa" w:w="2436"/>
            <w:vAlign w:val="center"/>
            <w:shd w:val="clear" w:color="auto" w:fill="1F2D5C"/>
          </w:tcPr>
          <w:p>
            <w:r/>
            <w:r>
              <w:rPr>
                <w:rFonts w:ascii="Calibri" w:hAnsi="Calibri"/>
                <w:b/>
                <w:color w:val="FFFFFF"/>
                <w:sz w:val="21"/>
              </w:rPr>
              <w:t>Drop</w:t>
            </w:r>
          </w:p>
        </w:tc>
      </w:tr>
      <w:tr>
        <w:tc>
          <w:tcPr>
            <w:tcW w:type="dxa" w:w="2436"/>
            <w:vAlign w:val="center"/>
          </w:tcPr>
          <w:p>
            <w:r/>
            <w:r>
              <w:rPr>
                <w:rFonts w:ascii="Calibri" w:hAnsi="Calibri"/>
                <w:color w:val="222632"/>
                <w:sz w:val="20"/>
              </w:rPr>
              <w:t>W6 only</w:t>
            </w:r>
          </w:p>
        </w:tc>
        <w:tc>
          <w:tcPr>
            <w:tcW w:type="dxa" w:w="2436"/>
            <w:vAlign w:val="center"/>
          </w:tcPr>
          <w:p>
            <w:r/>
            <w:r>
              <w:rPr>
                <w:rFonts w:ascii="Calibri" w:hAnsi="Calibri"/>
                <w:color w:val="222632"/>
                <w:sz w:val="20"/>
              </w:rPr>
              <w:t>0.819</w:t>
            </w:r>
          </w:p>
        </w:tc>
        <w:tc>
          <w:tcPr>
            <w:tcW w:type="dxa" w:w="2436"/>
            <w:vAlign w:val="center"/>
          </w:tcPr>
          <w:p>
            <w:r/>
            <w:r>
              <w:rPr>
                <w:rFonts w:ascii="Calibri" w:hAnsi="Calibri"/>
                <w:color w:val="222632"/>
                <w:sz w:val="20"/>
              </w:rPr>
              <w:t>0.739</w:t>
            </w:r>
          </w:p>
        </w:tc>
        <w:tc>
          <w:tcPr>
            <w:tcW w:type="dxa" w:w="2436"/>
            <w:vAlign w:val="center"/>
          </w:tcPr>
          <w:p>
            <w:r/>
            <w:r>
              <w:rPr>
                <w:rFonts w:ascii="Calibri" w:hAnsi="Calibri"/>
                <w:color w:val="222632"/>
                <w:sz w:val="20"/>
              </w:rPr>
              <w:t>0.080</w:t>
            </w:r>
          </w:p>
        </w:tc>
      </w:tr>
      <w:tr>
        <w:tc>
          <w:tcPr>
            <w:tcW w:type="dxa" w:w="2436"/>
            <w:vAlign w:val="center"/>
          </w:tcPr>
          <w:p>
            <w:r/>
            <w:r>
              <w:rPr>
                <w:rFonts w:ascii="Calibri" w:hAnsi="Calibri"/>
                <w:color w:val="222632"/>
                <w:sz w:val="20"/>
              </w:rPr>
              <w:t>W7 only</w:t>
            </w:r>
          </w:p>
        </w:tc>
        <w:tc>
          <w:tcPr>
            <w:tcW w:type="dxa" w:w="2436"/>
            <w:vAlign w:val="center"/>
          </w:tcPr>
          <w:p>
            <w:r/>
            <w:r>
              <w:rPr>
                <w:rFonts w:ascii="Calibri" w:hAnsi="Calibri"/>
                <w:color w:val="222632"/>
                <w:sz w:val="20"/>
              </w:rPr>
              <w:t>0.824</w:t>
            </w:r>
          </w:p>
        </w:tc>
        <w:tc>
          <w:tcPr>
            <w:tcW w:type="dxa" w:w="2436"/>
            <w:vAlign w:val="center"/>
          </w:tcPr>
          <w:p>
            <w:r/>
            <w:r>
              <w:rPr>
                <w:rFonts w:ascii="Calibri" w:hAnsi="Calibri"/>
                <w:color w:val="222632"/>
                <w:sz w:val="20"/>
              </w:rPr>
              <w:t>0.769</w:t>
            </w:r>
          </w:p>
        </w:tc>
        <w:tc>
          <w:tcPr>
            <w:tcW w:type="dxa" w:w="2436"/>
            <w:vAlign w:val="center"/>
          </w:tcPr>
          <w:p>
            <w:r/>
            <w:r>
              <w:rPr>
                <w:rFonts w:ascii="Calibri" w:hAnsi="Calibri"/>
                <w:color w:val="222632"/>
                <w:sz w:val="20"/>
              </w:rPr>
              <w:t>0.055</w:t>
            </w:r>
          </w:p>
        </w:tc>
      </w:tr>
      <w:tr>
        <w:tc>
          <w:tcPr>
            <w:tcW w:type="dxa" w:w="2436"/>
            <w:vAlign w:val="center"/>
          </w:tcPr>
          <w:p>
            <w:r/>
            <w:r>
              <w:rPr>
                <w:rFonts w:ascii="Calibri" w:hAnsi="Calibri"/>
                <w:b/>
                <w:color w:val="222632"/>
                <w:sz w:val="20"/>
              </w:rPr>
              <w:t>W6+W7</w:t>
            </w:r>
          </w:p>
        </w:tc>
        <w:tc>
          <w:tcPr>
            <w:tcW w:type="dxa" w:w="2436"/>
            <w:vAlign w:val="center"/>
          </w:tcPr>
          <w:p>
            <w:r/>
            <w:r>
              <w:rPr>
                <w:rFonts w:ascii="Calibri" w:hAnsi="Calibri"/>
                <w:b/>
                <w:color w:val="222632"/>
                <w:sz w:val="20"/>
              </w:rPr>
              <w:t>0.848</w:t>
            </w:r>
          </w:p>
        </w:tc>
        <w:tc>
          <w:tcPr>
            <w:tcW w:type="dxa" w:w="2436"/>
            <w:vAlign w:val="center"/>
          </w:tcPr>
          <w:p>
            <w:r/>
            <w:r>
              <w:rPr>
                <w:rFonts w:ascii="Calibri" w:hAnsi="Calibri"/>
                <w:b/>
                <w:color w:val="222632"/>
                <w:sz w:val="20"/>
              </w:rPr>
              <w:t>0.773</w:t>
            </w:r>
          </w:p>
        </w:tc>
        <w:tc>
          <w:tcPr>
            <w:tcW w:type="dxa" w:w="2436"/>
            <w:vAlign w:val="center"/>
          </w:tcPr>
          <w:p>
            <w:r/>
            <w:r>
              <w:rPr>
                <w:rFonts w:ascii="Calibri" w:hAnsi="Calibri"/>
                <w:b/>
                <w:color w:val="222632"/>
                <w:sz w:val="20"/>
              </w:rPr>
              <w:t>0.075</w:t>
            </w:r>
          </w:p>
        </w:tc>
      </w:tr>
    </w:tbl>
    <w:p>
      <w:pPr>
        <w:spacing w:after="120" w:line="300" w:lineRule="auto"/>
      </w:pPr>
      <w:r>
        <w:rPr>
          <w:rFonts w:ascii="Calibri" w:hAnsi="Calibri"/>
          <w:color w:val="222632"/>
          <w:sz w:val="22"/>
        </w:rPr>
        <w:t xml:space="preserve">Even after stripping out every CES-D-related feature (prior scores, na count, change), the W6+W7 model still achieves AUC = 0.77. </w:t>
      </w:r>
      <w:r>
        <w:rPr>
          <w:rFonts w:ascii="Calibri" w:hAnsi="Calibri"/>
          <w:b/>
          <w:color w:val="222632"/>
          <w:sz w:val="22"/>
        </w:rPr>
        <w:t>This is the central scientific claim of the project.</w:t>
      </w:r>
      <w:r>
        <w:rPr>
          <w:rFonts w:ascii="Calibri" w:hAnsi="Calibri"/>
          <w:color w:val="222632"/>
          <w:sz w:val="22"/>
        </w:rPr>
        <w:t xml:space="preserve"> Depression risk is identifiable from non-mental-health features at a level that would still be clinically useful as a first-stage screen. Health, mobility, and socioeconomic features contain genuine, independent predictive signal — not just an echo of past depression.</w:t>
      </w:r>
    </w:p>
    <w:p>
      <w:pPr>
        <w:keepNext/>
        <w:spacing w:before="240" w:after="120"/>
      </w:pPr>
      <w:r>
        <w:rPr>
          <w:rFonts w:ascii="Calibri" w:hAnsi="Calibri"/>
          <w:b/>
          <w:color w:val="186F82"/>
          <w:sz w:val="26"/>
        </w:rPr>
        <w:t>6.7 Ensemble</w:t>
      </w:r>
    </w:p>
    <w:p>
      <w:pPr>
        <w:spacing w:after="120" w:line="300" w:lineRule="auto"/>
      </w:pPr>
      <w:r>
        <w:rPr>
          <w:rFonts w:ascii="Calibri" w:hAnsi="Calibri"/>
          <w:color w:val="222632"/>
          <w:sz w:val="22"/>
        </w:rPr>
        <w:t>A simple averaging ensemble of the three tuned tree models (RF + XGB + LGBM) on the W6+W7 full configuration produced AUC = 0.847 — essentially tied with the best single model. This means the algorithms are learning the same underlying patterns, and there is no diversity bonus to exploit. We report the tuned Random Forest as the headline model for simplicity.</w:t>
      </w:r>
    </w:p>
    <w:p>
      <w:pPr>
        <w:spacing w:before="120" w:after="120"/>
        <w:pBdr>
          <w:bottom w:val="single" w:sz="6" w:space="1" w:color="AAAAAA"/>
        </w:pBdr>
      </w:pPr>
    </w:p>
    <w:p>
      <w:pPr>
        <w:keepNext/>
        <w:spacing w:before="240" w:after="120"/>
      </w:pPr>
      <w:r>
        <w:rPr>
          <w:rFonts w:ascii="Calibri" w:hAnsi="Calibri"/>
          <w:b/>
          <w:color w:val="1F2D5C"/>
          <w:sz w:val="32"/>
        </w:rPr>
        <w:t>7. What The Model's Output Means</w:t>
      </w:r>
    </w:p>
    <w:p>
      <w:pPr>
        <w:keepNext/>
        <w:spacing w:before="240" w:after="120"/>
      </w:pPr>
      <w:r>
        <w:rPr>
          <w:rFonts w:ascii="Calibri" w:hAnsi="Calibri"/>
          <w:b/>
          <w:color w:val="186F82"/>
          <w:sz w:val="26"/>
        </w:rPr>
        <w:t>7.1 What it produces</w:t>
      </w:r>
    </w:p>
    <w:p>
      <w:pPr>
        <w:spacing w:after="120" w:line="300" w:lineRule="auto"/>
      </w:pPr>
      <w:r>
        <w:rPr>
          <w:rFonts w:ascii="Calibri" w:hAnsi="Calibri"/>
          <w:color w:val="222632"/>
          <w:sz w:val="22"/>
        </w:rPr>
        <w:t>For any person aged 50+ whose Wave 6 and Wave 7 ELSA-style answers are available, the model produces three things:</w:t>
      </w:r>
    </w:p>
    <w:p>
      <w:pPr>
        <w:pStyle w:val="ListBullet"/>
        <w:spacing w:after="40" w:line="288" w:lineRule="auto"/>
      </w:pPr>
      <w:r>
        <w:rPr>
          <w:rFonts w:ascii="Calibri" w:hAnsi="Calibri"/>
          <w:b/>
          <w:color w:val="222632"/>
          <w:sz w:val="22"/>
        </w:rPr>
        <w:t>A probability between 0 and 1</w:t>
      </w:r>
      <w:r>
        <w:rPr>
          <w:rFonts w:ascii="Calibri" w:hAnsi="Calibri"/>
          <w:color w:val="222632"/>
          <w:sz w:val="22"/>
        </w:rPr>
        <w:t xml:space="preserve"> — the model's estimate of the chance this person will score CES-D ≥ 3 at Wave 8 (i.e. show clinically significant depressive symptoms 2-4 years from now).</w:t>
      </w:r>
    </w:p>
    <w:p>
      <w:pPr>
        <w:pStyle w:val="ListBullet"/>
        <w:spacing w:after="40" w:line="288" w:lineRule="auto"/>
      </w:pPr>
      <w:r>
        <w:rPr>
          <w:rFonts w:ascii="Calibri" w:hAnsi="Calibri"/>
          <w:b/>
          <w:color w:val="222632"/>
          <w:sz w:val="22"/>
        </w:rPr>
        <w:t>A binary label</w:t>
      </w:r>
      <w:r>
        <w:rPr>
          <w:rFonts w:ascii="Calibri" w:hAnsi="Calibri"/>
          <w:color w:val="222632"/>
          <w:sz w:val="22"/>
        </w:rPr>
        <w:t xml:space="preserve"> — depressed (1) or not depressed (0), thresholded at 0.5 by default.</w:t>
      </w:r>
    </w:p>
    <w:p>
      <w:pPr>
        <w:pStyle w:val="ListBullet"/>
        <w:spacing w:after="40" w:line="288" w:lineRule="auto"/>
      </w:pPr>
      <w:r>
        <w:rPr>
          <w:rFonts w:ascii="Calibri" w:hAnsi="Calibri"/>
          <w:b/>
          <w:color w:val="222632"/>
          <w:sz w:val="22"/>
        </w:rPr>
        <w:t>Calibrated probabilities</w:t>
      </w:r>
      <w:r>
        <w:rPr>
          <w:rFonts w:ascii="Calibri" w:hAnsi="Calibri"/>
          <w:color w:val="222632"/>
          <w:sz w:val="22"/>
        </w:rPr>
        <w:t xml:space="preserve"> — after isotonic regression, these are trustworthy: a "30% chance" really means 30 in 100 such people will develop depression.</w:t>
      </w:r>
    </w:p>
    <w:p>
      <w:pPr>
        <w:keepNext/>
        <w:spacing w:before="240" w:after="120"/>
      </w:pPr>
      <w:r>
        <w:rPr>
          <w:rFonts w:ascii="Calibri" w:hAnsi="Calibri"/>
          <w:b/>
          <w:color w:val="186F82"/>
          <w:sz w:val="26"/>
        </w:rPr>
        <w:t>7.2 What it tells you</w:t>
      </w:r>
    </w:p>
    <w:p>
      <w:pPr>
        <w:spacing w:after="120" w:line="300" w:lineRule="auto"/>
      </w:pPr>
      <w:r>
        <w:rPr>
          <w:rFonts w:ascii="Calibri" w:hAnsi="Calibri"/>
          <w:color w:val="222632"/>
          <w:sz w:val="22"/>
        </w:rPr>
        <w:t xml:space="preserve">If you rank everyone by predicted risk and screen the top 30%, you would catch about </w:t>
      </w:r>
      <w:r>
        <w:rPr>
          <w:rFonts w:ascii="Calibri" w:hAnsi="Calibri"/>
          <w:b/>
          <w:color w:val="222632"/>
          <w:sz w:val="22"/>
        </w:rPr>
        <w:t>71% of all future depression cases</w:t>
      </w:r>
      <w:r>
        <w:rPr>
          <w:rFonts w:ascii="Calibri" w:hAnsi="Calibri"/>
          <w:color w:val="222632"/>
          <w:sz w:val="22"/>
        </w:rPr>
        <w:t xml:space="preserve"> in that population. The remaining 29% are missed — false negatives. About half of those flagged are false positives (would not actually develop depression). For a screening tool intended to prioritise people for clinical follow-up, that recall/precision balance is acceptable; for a standalone diagnostic instrument, it is not.</w:t>
      </w:r>
    </w:p>
    <w:p>
      <w:pPr>
        <w:keepNext/>
        <w:spacing w:before="240" w:after="120"/>
      </w:pPr>
      <w:r>
        <w:rPr>
          <w:rFonts w:ascii="Calibri" w:hAnsi="Calibri"/>
          <w:b/>
          <w:color w:val="186F82"/>
          <w:sz w:val="26"/>
        </w:rPr>
        <w:t>7.3 What it is not</w:t>
      </w:r>
    </w:p>
    <w:tbl>
      <w:tblPr>
        <w:tblStyle w:val="LightGrid-Accent1"/>
        <w:tblW w:type="auto" w:w="0"/>
        <w:jc w:val="left"/>
        <w:tblLayout w:type="autofit"/>
        <w:tblLook w:firstColumn="1" w:firstRow="1" w:lastColumn="0" w:lastRow="0" w:noHBand="0" w:noVBand="1" w:val="04A0"/>
      </w:tblPr>
      <w:tblGrid>
        <w:gridCol w:w="4873"/>
        <w:gridCol w:w="4873"/>
      </w:tblGrid>
      <w:tr>
        <w:tc>
          <w:tcPr>
            <w:tcW w:type="dxa" w:w="4873"/>
            <w:vAlign w:val="center"/>
            <w:shd w:val="clear" w:color="auto" w:fill="1F2D5C"/>
          </w:tcPr>
          <w:p>
            <w:r/>
            <w:r>
              <w:rPr>
                <w:rFonts w:ascii="Calibri" w:hAnsi="Calibri"/>
                <w:b/>
                <w:color w:val="FFFFFF"/>
                <w:sz w:val="21"/>
              </w:rPr>
              <w:t>It is</w:t>
            </w:r>
          </w:p>
        </w:tc>
        <w:tc>
          <w:tcPr>
            <w:tcW w:type="dxa" w:w="4873"/>
            <w:vAlign w:val="center"/>
            <w:shd w:val="clear" w:color="auto" w:fill="1F2D5C"/>
          </w:tcPr>
          <w:p>
            <w:r/>
            <w:r>
              <w:rPr>
                <w:rFonts w:ascii="Calibri" w:hAnsi="Calibri"/>
                <w:b/>
                <w:color w:val="FFFFFF"/>
                <w:sz w:val="21"/>
              </w:rPr>
              <w:t>It is not</w:t>
            </w:r>
          </w:p>
        </w:tc>
      </w:tr>
      <w:tr>
        <w:tc>
          <w:tcPr>
            <w:tcW w:type="dxa" w:w="4873"/>
            <w:vAlign w:val="center"/>
          </w:tcPr>
          <w:p>
            <w:r/>
            <w:r>
              <w:rPr>
                <w:rFonts w:ascii="Calibri" w:hAnsi="Calibri"/>
                <w:color w:val="222632"/>
                <w:sz w:val="20"/>
              </w:rPr>
              <w:t xml:space="preserve">A risk </w:t>
            </w:r>
            <w:r>
              <w:rPr>
                <w:rFonts w:ascii="Calibri" w:hAnsi="Calibri"/>
                <w:i/>
                <w:color w:val="222632"/>
                <w:sz w:val="20"/>
              </w:rPr>
              <w:t>probability</w:t>
            </w:r>
            <w:r>
              <w:rPr>
                <w:rFonts w:ascii="Calibri" w:hAnsi="Calibri"/>
                <w:color w:val="222632"/>
                <w:sz w:val="20"/>
              </w:rPr>
              <w:t xml:space="preserve"> for elevated depressive symptomatology</w:t>
            </w:r>
          </w:p>
        </w:tc>
        <w:tc>
          <w:tcPr>
            <w:tcW w:type="dxa" w:w="4873"/>
            <w:vAlign w:val="center"/>
          </w:tcPr>
          <w:p>
            <w:r/>
            <w:r>
              <w:rPr>
                <w:rFonts w:ascii="Calibri" w:hAnsi="Calibri"/>
                <w:color w:val="222632"/>
                <w:sz w:val="20"/>
              </w:rPr>
              <w:t>A diagnosis of Major Depressive Disorder</w:t>
            </w:r>
          </w:p>
        </w:tc>
      </w:tr>
      <w:tr>
        <w:tc>
          <w:tcPr>
            <w:tcW w:type="dxa" w:w="4873"/>
            <w:vAlign w:val="center"/>
          </w:tcPr>
          <w:p>
            <w:r/>
            <w:r>
              <w:rPr>
                <w:rFonts w:ascii="Calibri" w:hAnsi="Calibri"/>
                <w:color w:val="222632"/>
                <w:sz w:val="20"/>
              </w:rPr>
              <w:t>A correlation-based predictor</w:t>
            </w:r>
          </w:p>
        </w:tc>
        <w:tc>
          <w:tcPr>
            <w:tcW w:type="dxa" w:w="4873"/>
            <w:vAlign w:val="center"/>
          </w:tcPr>
          <w:p>
            <w:r/>
            <w:r>
              <w:rPr>
                <w:rFonts w:ascii="Calibri" w:hAnsi="Calibri"/>
                <w:color w:val="222632"/>
                <w:sz w:val="20"/>
              </w:rPr>
              <w:t>A causal model</w:t>
            </w:r>
          </w:p>
        </w:tc>
      </w:tr>
      <w:tr>
        <w:tc>
          <w:tcPr>
            <w:tcW w:type="dxa" w:w="4873"/>
            <w:vAlign w:val="center"/>
          </w:tcPr>
          <w:p>
            <w:r/>
            <w:r>
              <w:rPr>
                <w:rFonts w:ascii="Calibri" w:hAnsi="Calibri"/>
                <w:color w:val="222632"/>
                <w:sz w:val="20"/>
              </w:rPr>
              <w:t>Validated on the English population aged 50+</w:t>
            </w:r>
          </w:p>
        </w:tc>
        <w:tc>
          <w:tcPr>
            <w:tcW w:type="dxa" w:w="4873"/>
            <w:vAlign w:val="center"/>
          </w:tcPr>
          <w:p>
            <w:r/>
            <w:r>
              <w:rPr>
                <w:rFonts w:ascii="Calibri" w:hAnsi="Calibri"/>
                <w:color w:val="222632"/>
                <w:sz w:val="20"/>
              </w:rPr>
              <w:t>Validated on younger adults, non-English populations, or institutionalised individuals</w:t>
            </w:r>
          </w:p>
        </w:tc>
      </w:tr>
      <w:tr>
        <w:tc>
          <w:tcPr>
            <w:tcW w:type="dxa" w:w="4873"/>
            <w:vAlign w:val="center"/>
          </w:tcPr>
          <w:p>
            <w:r/>
            <w:r>
              <w:rPr>
                <w:rFonts w:ascii="Calibri" w:hAnsi="Calibri"/>
                <w:color w:val="222632"/>
                <w:sz w:val="20"/>
              </w:rPr>
              <w:t>Useful as a population-screening prioritisation tool</w:t>
            </w:r>
          </w:p>
        </w:tc>
        <w:tc>
          <w:tcPr>
            <w:tcW w:type="dxa" w:w="4873"/>
            <w:vAlign w:val="center"/>
          </w:tcPr>
          <w:p>
            <w:r/>
            <w:r>
              <w:rPr>
                <w:rFonts w:ascii="Calibri" w:hAnsi="Calibri"/>
                <w:color w:val="222632"/>
                <w:sz w:val="20"/>
              </w:rPr>
              <w:t>Useful as a standalone clinical instrument</w:t>
            </w:r>
          </w:p>
        </w:tc>
      </w:tr>
      <w:tr>
        <w:tc>
          <w:tcPr>
            <w:tcW w:type="dxa" w:w="4873"/>
            <w:vAlign w:val="center"/>
          </w:tcPr>
          <w:p>
            <w:r/>
            <w:r>
              <w:rPr>
                <w:rFonts w:ascii="Calibri" w:hAnsi="Calibri"/>
                <w:color w:val="222632"/>
                <w:sz w:val="20"/>
              </w:rPr>
              <w:t>Honest about uncertainty (calibrated probabilities)</w:t>
            </w:r>
          </w:p>
        </w:tc>
        <w:tc>
          <w:tcPr>
            <w:tcW w:type="dxa" w:w="4873"/>
            <w:vAlign w:val="center"/>
          </w:tcPr>
          <w:p>
            <w:r/>
            <w:r>
              <w:rPr>
                <w:rFonts w:ascii="Calibri" w:hAnsi="Calibri"/>
                <w:color w:val="222632"/>
                <w:sz w:val="20"/>
              </w:rPr>
              <w:t>A black-box "yes/no" verdict</w:t>
            </w:r>
          </w:p>
        </w:tc>
      </w:tr>
    </w:tbl>
    <w:p>
      <w:pPr>
        <w:keepNext/>
        <w:spacing w:before="240" w:after="120"/>
      </w:pPr>
      <w:r>
        <w:rPr>
          <w:rFonts w:ascii="Calibri" w:hAnsi="Calibri"/>
          <w:b/>
          <w:color w:val="186F82"/>
          <w:sz w:val="26"/>
        </w:rPr>
        <w:t>7.4 The clinical scenario</w:t>
      </w:r>
    </w:p>
    <w:p>
      <w:pPr>
        <w:spacing w:after="120" w:line="300" w:lineRule="auto"/>
      </w:pPr>
      <w:r>
        <w:rPr>
          <w:rFonts w:ascii="Calibri" w:hAnsi="Calibri"/>
          <w:color w:val="222632"/>
          <w:sz w:val="22"/>
        </w:rPr>
        <w:t>Imagine a GP practice that already records ELSA-style data through routine over-50 health checks. The model could flag, say, the 200 patients out of 1,000 with the highest predicted depression risk. Those 200 would be invited for a 15-minute clinical interview using a validated diagnostic tool (e.g. PHQ-9 or structured clinical interview). Roughly 100 of them (precision ~50%) would meet criteria for early intervention; the other 900 patients are not screened in detail, saving substantial clinician time. Of the 1,000, about 142 would actually develop depression in the next 2-4 years; the model catches ~100 of them (71% recall). Compared to no targeted screening, this is a meaningful improvement in early detection.</w:t>
      </w:r>
    </w:p>
    <w:p>
      <w:pPr>
        <w:spacing w:before="120" w:after="120"/>
        <w:pBdr>
          <w:bottom w:val="single" w:sz="6" w:space="1" w:color="AAAAAA"/>
        </w:pBdr>
      </w:pPr>
    </w:p>
    <w:p>
      <w:pPr>
        <w:keepNext/>
        <w:spacing w:before="240" w:after="120"/>
      </w:pPr>
      <w:r>
        <w:rPr>
          <w:rFonts w:ascii="Calibri" w:hAnsi="Calibri"/>
          <w:b/>
          <w:color w:val="1F2D5C"/>
          <w:sz w:val="32"/>
        </w:rPr>
        <w:t>8. Limitations</w:t>
      </w:r>
    </w:p>
    <w:p>
      <w:pPr>
        <w:keepNext/>
        <w:spacing w:before="240" w:after="120"/>
      </w:pPr>
      <w:r>
        <w:rPr>
          <w:rFonts w:ascii="Calibri" w:hAnsi="Calibri"/>
          <w:b/>
          <w:color w:val="186F82"/>
          <w:sz w:val="26"/>
        </w:rPr>
        <w:t>Methodological</w:t>
      </w:r>
    </w:p>
    <w:p>
      <w:pPr>
        <w:pStyle w:val="ListBullet"/>
        <w:spacing w:after="40" w:line="288" w:lineRule="auto"/>
      </w:pPr>
      <w:r>
        <w:rPr>
          <w:rFonts w:ascii="Calibri" w:hAnsi="Calibri"/>
          <w:b/>
          <w:color w:val="222632"/>
          <w:sz w:val="22"/>
        </w:rPr>
        <w:t>Prior depression dominates.</w:t>
      </w:r>
      <w:r>
        <w:rPr>
          <w:rFonts w:ascii="Calibri" w:hAnsi="Calibri"/>
          <w:color w:val="222632"/>
          <w:sz w:val="22"/>
        </w:rPr>
        <w:t xml:space="preserve"> Removing CES-D drops AUC from 0.85 to 0.77. The model's main signal is depression history (state dependence). The leakage sensitivity is what rescues the clinical novelty claim.</w:t>
      </w:r>
    </w:p>
    <w:p>
      <w:pPr>
        <w:pStyle w:val="ListBullet"/>
        <w:spacing w:after="40" w:line="288" w:lineRule="auto"/>
      </w:pPr>
      <w:r>
        <w:rPr>
          <w:rFonts w:ascii="Calibri" w:hAnsi="Calibri"/>
          <w:b/>
          <w:color w:val="222632"/>
          <w:sz w:val="22"/>
        </w:rPr>
        <w:t>Attrition bias.</w:t>
      </w:r>
      <w:r>
        <w:rPr>
          <w:rFonts w:ascii="Calibri" w:hAnsi="Calibri"/>
          <w:color w:val="222632"/>
          <w:sz w:val="22"/>
        </w:rPr>
        <w:t xml:space="preserve"> Our analytic sample requires presence in all three waves. About 30% of Wave 6 respondents are excluded — and those people may be sicker, more isolated, or institutionalised, exactly the population at highest risk. The model likely underestimates true population risk.</w:t>
      </w:r>
    </w:p>
    <w:p>
      <w:pPr>
        <w:pStyle w:val="ListBullet"/>
        <w:spacing w:after="40" w:line="288" w:lineRule="auto"/>
      </w:pPr>
      <w:r>
        <w:rPr>
          <w:rFonts w:ascii="Calibri" w:hAnsi="Calibri"/>
          <w:b/>
          <w:color w:val="222632"/>
          <w:sz w:val="22"/>
        </w:rPr>
        <w:t>CES-D ≥ 3 is screening, not diagnosis.</w:t>
      </w:r>
      <w:r>
        <w:rPr>
          <w:rFonts w:ascii="Calibri" w:hAnsi="Calibri"/>
          <w:color w:val="222632"/>
          <w:sz w:val="22"/>
        </w:rPr>
        <w:t xml:space="preserve"> It captures elevated depressive symptomatology, not Major Depressive Disorder. A person flagged by the model needs clinical confirmation before any treatment decision.</w:t>
      </w:r>
    </w:p>
    <w:p>
      <w:pPr>
        <w:pStyle w:val="ListBullet"/>
        <w:spacing w:after="40" w:line="288" w:lineRule="auto"/>
      </w:pPr>
      <w:r>
        <w:rPr>
          <w:rFonts w:ascii="Calibri" w:hAnsi="Calibri"/>
          <w:b/>
          <w:color w:val="222632"/>
          <w:sz w:val="22"/>
        </w:rPr>
        <w:t>Observational design.</w:t>
      </w:r>
      <w:r>
        <w:rPr>
          <w:rFonts w:ascii="Calibri" w:hAnsi="Calibri"/>
          <w:color w:val="222632"/>
          <w:sz w:val="22"/>
        </w:rPr>
        <w:t xml:space="preserve"> We identify </w:t>
      </w:r>
      <w:r>
        <w:rPr>
          <w:rFonts w:ascii="Calibri" w:hAnsi="Calibri"/>
          <w:i/>
          <w:color w:val="222632"/>
          <w:sz w:val="22"/>
        </w:rPr>
        <w:t>predictors</w:t>
      </w:r>
      <w:r>
        <w:rPr>
          <w:rFonts w:ascii="Calibri" w:hAnsi="Calibri"/>
          <w:color w:val="222632"/>
          <w:sz w:val="22"/>
        </w:rPr>
        <w:t xml:space="preserve">, not </w:t>
      </w:r>
      <w:r>
        <w:rPr>
          <w:rFonts w:ascii="Calibri" w:hAnsi="Calibri"/>
          <w:i/>
          <w:color w:val="222632"/>
          <w:sz w:val="22"/>
        </w:rPr>
        <w:t>causes</w:t>
      </w:r>
      <w:r>
        <w:rPr>
          <w:rFonts w:ascii="Calibri" w:hAnsi="Calibri"/>
          <w:color w:val="222632"/>
          <w:sz w:val="22"/>
        </w:rPr>
        <w:t>. Low wealth predicts depression; we cannot say poverty causes depression from this analysis alone — there may be unmeasured confounders (childhood adversity, undiagnosed physical illness, social network).</w:t>
      </w:r>
    </w:p>
    <w:p>
      <w:pPr>
        <w:pStyle w:val="ListBullet"/>
        <w:spacing w:after="40" w:line="288" w:lineRule="auto"/>
      </w:pPr>
      <w:r>
        <w:rPr>
          <w:rFonts w:ascii="Calibri" w:hAnsi="Calibri"/>
          <w:b/>
          <w:color w:val="222632"/>
          <w:sz w:val="22"/>
        </w:rPr>
        <w:t>Class imbalance.</w:t>
      </w:r>
      <w:r>
        <w:rPr>
          <w:rFonts w:ascii="Calibri" w:hAnsi="Calibri"/>
          <w:color w:val="222632"/>
          <w:sz w:val="22"/>
        </w:rPr>
        <w:t xml:space="preserve"> Precision for the depressed class is moderate (~49%). About half of model-flagged people would not develop depression. In a screening context this is acceptable; in a confirmatory context it is not.</w:t>
      </w:r>
    </w:p>
    <w:p>
      <w:pPr>
        <w:pStyle w:val="ListBullet"/>
        <w:spacing w:after="40" w:line="288" w:lineRule="auto"/>
      </w:pPr>
      <w:r>
        <w:rPr>
          <w:rFonts w:ascii="Calibri" w:hAnsi="Calibri"/>
          <w:b/>
          <w:color w:val="222632"/>
          <w:sz w:val="22"/>
        </w:rPr>
        <w:t>Wave selection introduces survivor effects.</w:t>
      </w:r>
      <w:r>
        <w:rPr>
          <w:rFonts w:ascii="Calibri" w:hAnsi="Calibri"/>
          <w:color w:val="222632"/>
          <w:sz w:val="22"/>
        </w:rPr>
        <w:t xml:space="preserve"> Anyone who died, was institutionalised, or refused between W6 and W8 is excluded by the inner join.</w:t>
      </w:r>
    </w:p>
    <w:p>
      <w:pPr>
        <w:keepNext/>
        <w:spacing w:before="240" w:after="120"/>
      </w:pPr>
      <w:r>
        <w:rPr>
          <w:rFonts w:ascii="Calibri" w:hAnsi="Calibri"/>
          <w:b/>
          <w:color w:val="186F82"/>
          <w:sz w:val="26"/>
        </w:rPr>
        <w:t>Technical (acknowledged from PR review process)</w:t>
      </w:r>
    </w:p>
    <w:p>
      <w:pPr>
        <w:pStyle w:val="ListBullet"/>
        <w:spacing w:after="40" w:line="288" w:lineRule="auto"/>
      </w:pPr>
      <w:r>
        <w:rPr>
          <w:rFonts w:ascii="Calibri" w:hAnsi="Calibri"/>
          <w:b/>
          <w:color w:val="222632"/>
          <w:sz w:val="22"/>
        </w:rPr>
        <w:t>Missingness filter is computed once on a training split, not within each CV fold.</w:t>
      </w:r>
      <w:r>
        <w:rPr>
          <w:rFonts w:ascii="Calibri" w:hAnsi="Calibri"/>
          <w:color w:val="222632"/>
          <w:sz w:val="22"/>
        </w:rPr>
        <w:t xml:space="preserve"> The gold standard for nested validation would wrap the missingness gate inside a custom transformer fit per fold. In practice the only column dropped (</w:t>
      </w:r>
      <w:r>
        <w:rPr>
          <w:rFonts w:ascii="Consolas" w:hAnsi="Consolas"/>
          <w:color w:val="1F2D5C"/>
          <w:sz w:val="20"/>
        </w:rPr>
        <w:t>ndepriv_w7</w:t>
      </w:r>
      <w:r>
        <w:rPr>
          <w:rFonts w:ascii="Calibri" w:hAnsi="Calibri"/>
          <w:color w:val="222632"/>
          <w:sz w:val="22"/>
        </w:rPr>
        <w:t xml:space="preserve"> at 56%) would be dropped under any reasonable split, so the simplification has no practical impact.</w:t>
      </w:r>
    </w:p>
    <w:p>
      <w:pPr>
        <w:pStyle w:val="ListBullet"/>
        <w:spacing w:after="40" w:line="288" w:lineRule="auto"/>
      </w:pPr>
      <w:r>
        <w:rPr>
          <w:rFonts w:ascii="Calibri" w:hAnsi="Calibri"/>
          <w:b/>
          <w:color w:val="222632"/>
          <w:sz w:val="22"/>
        </w:rPr>
        <w:t>Engineered features bypass the missingness gate.</w:t>
      </w:r>
      <w:r>
        <w:rPr>
          <w:rFonts w:ascii="Calibri" w:hAnsi="Calibri"/>
          <w:color w:val="222632"/>
          <w:sz w:val="22"/>
        </w:rPr>
        <w:t xml:space="preserve"> All 10 derived features have &lt;0.3% missingness in our data, so this is theoretical only — but a production pipeline should apply the same gate uniformly.</w:t>
      </w:r>
    </w:p>
    <w:p>
      <w:pPr>
        <w:pStyle w:val="ListBullet"/>
        <w:spacing w:after="40" w:line="288" w:lineRule="auto"/>
      </w:pPr>
      <w:r>
        <w:rPr>
          <w:rFonts w:ascii="Calibri" w:hAnsi="Calibri"/>
          <w:b/>
          <w:color w:val="222632"/>
          <w:sz w:val="22"/>
        </w:rPr>
        <w:t>Logistic regression coefficients are on a standardised scale.</w:t>
      </w:r>
      <w:r>
        <w:rPr>
          <w:rFonts w:ascii="Calibri" w:hAnsi="Calibri"/>
          <w:color w:val="222632"/>
          <w:sz w:val="22"/>
        </w:rPr>
        <w:t xml:space="preserve"> Because features pass through StandardScaler before LR, the reported coefficients are log-odds per 1 SD change, not per 1 raw unit. This is labelled correctly on the plot but should be noted when interpreting.</w:t>
      </w:r>
    </w:p>
    <w:p>
      <w:pPr>
        <w:pStyle w:val="ListBullet"/>
        <w:spacing w:after="40" w:line="288" w:lineRule="auto"/>
      </w:pPr>
      <w:r>
        <w:rPr>
          <w:rFonts w:ascii="Calibri" w:hAnsi="Calibri"/>
          <w:b/>
          <w:color w:val="222632"/>
          <w:sz w:val="22"/>
        </w:rPr>
        <w:t>`functional_burden` uses `+` rather than `sum(..., min_count=1)`</w:t>
      </w:r>
      <w:r>
        <w:rPr>
          <w:rFonts w:ascii="Calibri" w:hAnsi="Calibri"/>
          <w:color w:val="222632"/>
          <w:sz w:val="22"/>
        </w:rPr>
        <w:t xml:space="preserve"> — meaning if either ADL or IADL is fully missing, the burden score is NaN even if the other component is present. In our data this scenario does not occur (ADL and IADL come from the same questionnaire block) but the implementation is not maximally NaN-tolerant.</w:t>
      </w:r>
    </w:p>
    <w:p>
      <w:pPr>
        <w:spacing w:before="120" w:after="120"/>
        <w:pBdr>
          <w:bottom w:val="single" w:sz="6" w:space="1" w:color="AAAAAA"/>
        </w:pBdr>
      </w:pPr>
    </w:p>
    <w:p>
      <w:pPr>
        <w:keepNext/>
        <w:spacing w:before="240" w:after="120"/>
      </w:pPr>
      <w:r>
        <w:rPr>
          <w:rFonts w:ascii="Calibri" w:hAnsi="Calibri"/>
          <w:b/>
          <w:color w:val="1F2D5C"/>
          <w:sz w:val="32"/>
        </w:rPr>
        <w:t>9. Future Directions</w:t>
      </w:r>
    </w:p>
    <w:p>
      <w:pPr>
        <w:pStyle w:val="ListBullet"/>
        <w:spacing w:after="40" w:line="288" w:lineRule="auto"/>
      </w:pPr>
      <w:r>
        <w:rPr>
          <w:rFonts w:ascii="Calibri" w:hAnsi="Calibri"/>
          <w:b/>
          <w:color w:val="222632"/>
          <w:sz w:val="22"/>
        </w:rPr>
        <w:t>Incident depression model.</w:t>
      </w:r>
      <w:r>
        <w:rPr>
          <w:rFonts w:ascii="Calibri" w:hAnsi="Calibri"/>
          <w:color w:val="222632"/>
          <w:sz w:val="22"/>
        </w:rPr>
        <w:t xml:space="preserve"> Exclude participants with CES-D ≥ 3 at baseline (W6) and predict only first-onset depression at W8. This is harder but more clinically meaningful.</w:t>
      </w:r>
    </w:p>
    <w:p>
      <w:pPr>
        <w:pStyle w:val="ListBullet"/>
        <w:spacing w:after="40" w:line="288" w:lineRule="auto"/>
      </w:pPr>
      <w:r>
        <w:rPr>
          <w:rFonts w:ascii="Calibri" w:hAnsi="Calibri"/>
          <w:b/>
          <w:color w:val="222632"/>
          <w:sz w:val="22"/>
        </w:rPr>
        <w:t>External validation.</w:t>
      </w:r>
      <w:r>
        <w:rPr>
          <w:rFonts w:ascii="Calibri" w:hAnsi="Calibri"/>
          <w:color w:val="222632"/>
          <w:sz w:val="22"/>
        </w:rPr>
        <w:t xml:space="preserve"> Test the trained pipeline on the US Health and Retirement Study (HRS), the Survey of Health, Ageing and Retirement in Europe (SHARE), and the Irish Longitudinal Study on Ageing (TILDA). All three use harmonised CES-D measures and could test cross-population generalisability.</w:t>
      </w:r>
    </w:p>
    <w:p>
      <w:pPr>
        <w:pStyle w:val="ListBullet"/>
        <w:spacing w:after="40" w:line="288" w:lineRule="auto"/>
      </w:pPr>
      <w:r>
        <w:rPr>
          <w:rFonts w:ascii="Calibri" w:hAnsi="Calibri"/>
          <w:b/>
          <w:color w:val="222632"/>
          <w:sz w:val="22"/>
        </w:rPr>
        <w:t>Nurse visit biomarkers.</w:t>
      </w:r>
      <w:r>
        <w:rPr>
          <w:rFonts w:ascii="Calibri" w:hAnsi="Calibri"/>
          <w:color w:val="222632"/>
          <w:sz w:val="22"/>
        </w:rPr>
        <w:t xml:space="preserve"> ELSA collects blood pressure, BMI, grip strength, and inflammatory markers (CRP, fibrinogen) from nurse visits at Waves 2, 4, 6, and 8. None were used here. Adding biological signal could distinguish physical-decline-driven depression from socially-driven depression.</w:t>
      </w:r>
    </w:p>
    <w:p>
      <w:pPr>
        <w:pStyle w:val="ListBullet"/>
        <w:spacing w:after="40" w:line="288" w:lineRule="auto"/>
      </w:pPr>
      <w:r>
        <w:rPr>
          <w:rFonts w:ascii="Calibri" w:hAnsi="Calibri"/>
          <w:b/>
          <w:color w:val="222632"/>
          <w:sz w:val="22"/>
        </w:rPr>
        <w:t>Multi-wave trajectory modelling.</w:t>
      </w:r>
      <w:r>
        <w:rPr>
          <w:rFonts w:ascii="Calibri" w:hAnsi="Calibri"/>
          <w:color w:val="222632"/>
          <w:sz w:val="22"/>
        </w:rPr>
        <w:t xml:space="preserve"> Rather than two snapshots (W6, W7), latent growth curve models or recurrent neural networks could capture richer temporal patterns across many waves.</w:t>
      </w:r>
    </w:p>
    <w:p>
      <w:pPr>
        <w:pStyle w:val="ListBullet"/>
        <w:spacing w:after="40" w:line="288" w:lineRule="auto"/>
      </w:pPr>
      <w:r>
        <w:rPr>
          <w:rFonts w:ascii="Calibri" w:hAnsi="Calibri"/>
          <w:b/>
          <w:color w:val="222632"/>
          <w:sz w:val="22"/>
        </w:rPr>
        <w:t>Subgroup analysis.</w:t>
      </w:r>
      <w:r>
        <w:rPr>
          <w:rFonts w:ascii="Calibri" w:hAnsi="Calibri"/>
          <w:color w:val="222632"/>
          <w:sz w:val="22"/>
        </w:rPr>
        <w:t xml:space="preserve"> Are the predictors equally informative across sex, ethnicity, and socioeconomic strata? Differential calibration is a major fairness concern in clinical ML and was not evaluated here.</w:t>
      </w:r>
    </w:p>
    <w:p>
      <w:pPr>
        <w:pStyle w:val="ListBullet"/>
        <w:spacing w:after="40" w:line="288" w:lineRule="auto"/>
      </w:pPr>
      <w:r>
        <w:rPr>
          <w:rFonts w:ascii="Calibri" w:hAnsi="Calibri"/>
          <w:b/>
          <w:color w:val="222632"/>
          <w:sz w:val="22"/>
        </w:rPr>
        <w:t>Cost-effectiveness modelling.</w:t>
      </w:r>
      <w:r>
        <w:rPr>
          <w:rFonts w:ascii="Calibri" w:hAnsi="Calibri"/>
          <w:color w:val="222632"/>
          <w:sz w:val="22"/>
        </w:rPr>
        <w:t xml:space="preserve"> Combined with intervention efficacy data (e.g. CBT acceptance and remission rates in this population), the model's outputs could feed a Markov decision-process analysis estimating quality-adjusted life-years (QALYs) gained per pound of screening cost.</w:t>
      </w:r>
    </w:p>
    <w:p>
      <w:pPr>
        <w:spacing w:before="120" w:after="120"/>
        <w:pBdr>
          <w:bottom w:val="single" w:sz="6" w:space="1" w:color="AAAAAA"/>
        </w:pBdr>
      </w:pPr>
    </w:p>
    <w:p>
      <w:pPr>
        <w:keepNext/>
        <w:spacing w:before="240" w:after="120"/>
      </w:pPr>
      <w:r>
        <w:rPr>
          <w:rFonts w:ascii="Calibri" w:hAnsi="Calibri"/>
          <w:b/>
          <w:color w:val="1F2D5C"/>
          <w:sz w:val="32"/>
        </w:rPr>
        <w:t>10. Pipeline Summary</w:t>
      </w:r>
    </w:p>
    <w:p>
      <w:pPr>
        <w:spacing w:before="80" w:after="160"/>
        <w:ind w:left="283"/>
        <w:shd w:val="clear" w:color="auto" w:fill="F4F5F7"/>
      </w:pPr>
      <w:r>
        <w:rPr>
          <w:rFonts w:ascii="Consolas" w:hAnsi="Consolas"/>
          <w:color w:val="1F2D5C"/>
          <w:sz w:val="19"/>
        </w:rPr>
        <w:t>ELSA UKDA-5050 Stata files</w:t>
      </w:r>
      <w:r>
        <w:br/>
      </w:r>
      <w:r>
        <w:rPr>
          <w:rFonts w:ascii="Consolas" w:hAnsi="Consolas"/>
          <w:color w:val="1F2D5C"/>
          <w:sz w:val="19"/>
        </w:rPr>
        <w:t xml:space="preserve">        │</w:t>
      </w:r>
      <w:r>
        <w:br/>
      </w:r>
      <w:r>
        <w:rPr>
          <w:rFonts w:ascii="Consolas" w:hAnsi="Consolas"/>
          <w:color w:val="1F2D5C"/>
          <w:sz w:val="19"/>
        </w:rPr>
        <w:t xml:space="preserve">        ▼</w:t>
      </w:r>
      <w:r>
        <w:br/>
      </w:r>
      <w:r>
        <w:rPr>
          <w:rFonts w:ascii="Consolas" w:hAnsi="Consolas"/>
          <w:color w:val="1F2D5C"/>
          <w:sz w:val="19"/>
        </w:rPr>
        <w:t>[1. Audit] — Akeeb</w:t>
      </w:r>
      <w:r>
        <w:br/>
      </w:r>
      <w:r>
        <w:rPr>
          <w:rFonts w:ascii="Consolas" w:hAnsi="Consolas"/>
          <w:color w:val="1F2D5C"/>
          <w:sz w:val="19"/>
        </w:rPr>
        <w:t xml:space="preserve">   waves, CES-D quality, feature overlap, attrition</w:t>
      </w:r>
      <w:r>
        <w:br/>
      </w:r>
      <w:r>
        <w:rPr>
          <w:rFonts w:ascii="Consolas" w:hAnsi="Consolas"/>
          <w:color w:val="1F2D5C"/>
          <w:sz w:val="19"/>
        </w:rPr>
        <w:t xml:space="preserve">        │</w:t>
      </w:r>
      <w:r>
        <w:br/>
      </w:r>
      <w:r>
        <w:rPr>
          <w:rFonts w:ascii="Consolas" w:hAnsi="Consolas"/>
          <w:color w:val="1F2D5C"/>
          <w:sz w:val="19"/>
        </w:rPr>
        <w:t xml:space="preserve">        ▼</w:t>
      </w:r>
      <w:r>
        <w:br/>
      </w:r>
      <w:r>
        <w:rPr>
          <w:rFonts w:ascii="Consolas" w:hAnsi="Consolas"/>
          <w:color w:val="1F2D5C"/>
          <w:sz w:val="19"/>
        </w:rPr>
        <w:t>[2. Wave selection] — W6, W7, W8 (highest consecutive overlap)</w:t>
      </w:r>
      <w:r>
        <w:br/>
      </w:r>
      <w:r>
        <w:rPr>
          <w:rFonts w:ascii="Consolas" w:hAnsi="Consolas"/>
          <w:color w:val="1F2D5C"/>
          <w:sz w:val="19"/>
        </w:rPr>
        <w:t xml:space="preserve">        │</w:t>
      </w:r>
      <w:r>
        <w:br/>
      </w:r>
      <w:r>
        <w:rPr>
          <w:rFonts w:ascii="Consolas" w:hAnsi="Consolas"/>
          <w:color w:val="1F2D5C"/>
          <w:sz w:val="19"/>
        </w:rPr>
        <w:t xml:space="preserve">        ▼</w:t>
      </w:r>
      <w:r>
        <w:br/>
      </w:r>
      <w:r>
        <w:rPr>
          <w:rFonts w:ascii="Consolas" w:hAnsi="Consolas"/>
          <w:color w:val="1F2D5C"/>
          <w:sz w:val="19"/>
        </w:rPr>
        <w:t>[3. Data load + merge] — IFS + Core + Financial, inner join on idauniq</w:t>
      </w:r>
      <w:r>
        <w:br/>
      </w:r>
      <w:r>
        <w:rPr>
          <w:rFonts w:ascii="Consolas" w:hAnsi="Consolas"/>
          <w:color w:val="1F2D5C"/>
          <w:sz w:val="19"/>
        </w:rPr>
        <w:t xml:space="preserve">        │</w:t>
      </w:r>
      <w:r>
        <w:br/>
      </w:r>
      <w:r>
        <w:rPr>
          <w:rFonts w:ascii="Consolas" w:hAnsi="Consolas"/>
          <w:color w:val="1F2D5C"/>
          <w:sz w:val="19"/>
        </w:rPr>
        <w:t xml:space="preserve">        ▼</w:t>
      </w:r>
      <w:r>
        <w:br/>
      </w:r>
      <w:r>
        <w:rPr>
          <w:rFonts w:ascii="Consolas" w:hAnsi="Consolas"/>
          <w:color w:val="1F2D5C"/>
          <w:sz w:val="19"/>
        </w:rPr>
        <w:t>[4. Outcome] — cesd_sc_w8 ≥ 3 → binary label</w:t>
      </w:r>
      <w:r>
        <w:br/>
      </w:r>
      <w:r>
        <w:rPr>
          <w:rFonts w:ascii="Consolas" w:hAnsi="Consolas"/>
          <w:color w:val="1F2D5C"/>
          <w:sz w:val="19"/>
        </w:rPr>
        <w:t xml:space="preserve">        │</w:t>
      </w:r>
      <w:r>
        <w:br/>
      </w:r>
      <w:r>
        <w:rPr>
          <w:rFonts w:ascii="Consolas" w:hAnsi="Consolas"/>
          <w:color w:val="1F2D5C"/>
          <w:sz w:val="19"/>
        </w:rPr>
        <w:t xml:space="preserve">        ▼</w:t>
      </w:r>
      <w:r>
        <w:br/>
      </w:r>
      <w:r>
        <w:rPr>
          <w:rFonts w:ascii="Consolas" w:hAnsi="Consolas"/>
          <w:color w:val="1F2D5C"/>
          <w:sz w:val="19"/>
        </w:rPr>
        <w:t>[5. Preprocessing]</w:t>
      </w:r>
      <w:r>
        <w:br/>
      </w:r>
      <w:r>
        <w:rPr>
          <w:rFonts w:ascii="Consolas" w:hAnsi="Consolas"/>
          <w:color w:val="1F2D5C"/>
          <w:sz w:val="19"/>
        </w:rPr>
        <w:t xml:space="preserve">   • Recode survey missing codes (-1, -2, -8, -9 → NaN)</w:t>
      </w:r>
      <w:r>
        <w:br/>
      </w:r>
      <w:r>
        <w:rPr>
          <w:rFonts w:ascii="Consolas" w:hAnsi="Consolas"/>
          <w:color w:val="1F2D5C"/>
          <w:sz w:val="19"/>
        </w:rPr>
        <w:t xml:space="preserve">   • Drop columns &gt;40% missing (training-only estimate)</w:t>
      </w:r>
      <w:r>
        <w:br/>
      </w:r>
      <w:r>
        <w:rPr>
          <w:rFonts w:ascii="Consolas" w:hAnsi="Consolas"/>
          <w:color w:val="1F2D5C"/>
          <w:sz w:val="19"/>
        </w:rPr>
        <w:t xml:space="preserve">   • Wave-symmetry enforcement</w:t>
      </w:r>
      <w:r>
        <w:br/>
      </w:r>
      <w:r>
        <w:rPr>
          <w:rFonts w:ascii="Consolas" w:hAnsi="Consolas"/>
          <w:color w:val="1F2D5C"/>
          <w:sz w:val="19"/>
        </w:rPr>
        <w:t xml:space="preserve">        │</w:t>
      </w:r>
      <w:r>
        <w:br/>
      </w:r>
      <w:r>
        <w:rPr>
          <w:rFonts w:ascii="Consolas" w:hAnsi="Consolas"/>
          <w:color w:val="1F2D5C"/>
          <w:sz w:val="19"/>
        </w:rPr>
        <w:t xml:space="preserve">        ▼</w:t>
      </w:r>
      <w:r>
        <w:br/>
      </w:r>
      <w:r>
        <w:rPr>
          <w:rFonts w:ascii="Consolas" w:hAnsi="Consolas"/>
          <w:color w:val="1F2D5C"/>
          <w:sz w:val="19"/>
        </w:rPr>
        <w:t>[6. Feature engineering]</w:t>
      </w:r>
      <w:r>
        <w:br/>
      </w:r>
      <w:r>
        <w:rPr>
          <w:rFonts w:ascii="Consolas" w:hAnsi="Consolas"/>
          <w:color w:val="1F2D5C"/>
          <w:sz w:val="19"/>
        </w:rPr>
        <w:t xml:space="preserve">   • cesd_change, mobility/ADL/IADL counts</w:t>
      </w:r>
      <w:r>
        <w:br/>
      </w:r>
      <w:r>
        <w:rPr>
          <w:rFonts w:ascii="Consolas" w:hAnsi="Consolas"/>
          <w:color w:val="1F2D5C"/>
          <w:sz w:val="19"/>
        </w:rPr>
        <w:t xml:space="preserve">   • functional_burden, mobility_change</w:t>
      </w:r>
      <w:r>
        <w:br/>
      </w:r>
      <w:r>
        <w:rPr>
          <w:rFonts w:ascii="Consolas" w:hAnsi="Consolas"/>
          <w:color w:val="1F2D5C"/>
          <w:sz w:val="19"/>
        </w:rPr>
        <w:t xml:space="preserve">        │</w:t>
      </w:r>
      <w:r>
        <w:br/>
      </w:r>
      <w:r>
        <w:rPr>
          <w:rFonts w:ascii="Consolas" w:hAnsi="Consolas"/>
          <w:color w:val="1F2D5C"/>
          <w:sz w:val="19"/>
        </w:rPr>
        <w:t xml:space="preserve">        ▼</w:t>
      </w:r>
      <w:r>
        <w:br/>
      </w:r>
      <w:r>
        <w:rPr>
          <w:rFonts w:ascii="Consolas" w:hAnsi="Consolas"/>
          <w:color w:val="1F2D5C"/>
          <w:sz w:val="19"/>
        </w:rPr>
        <w:t>[7. Three prediction arms]</w:t>
      </w:r>
      <w:r>
        <w:br/>
      </w:r>
      <w:r>
        <w:rPr>
          <w:rFonts w:ascii="Consolas" w:hAnsi="Consolas"/>
          <w:color w:val="1F2D5C"/>
          <w:sz w:val="19"/>
        </w:rPr>
        <w:t xml:space="preserve">   • W6 only (~4yr)  • W7 only (~2yr)  • W6+W7 (combined)</w:t>
      </w:r>
      <w:r>
        <w:br/>
      </w:r>
      <w:r>
        <w:rPr>
          <w:rFonts w:ascii="Consolas" w:hAnsi="Consolas"/>
          <w:color w:val="1F2D5C"/>
          <w:sz w:val="19"/>
        </w:rPr>
        <w:t xml:space="preserve">        │</w:t>
      </w:r>
      <w:r>
        <w:br/>
      </w:r>
      <w:r>
        <w:rPr>
          <w:rFonts w:ascii="Consolas" w:hAnsi="Consolas"/>
          <w:color w:val="1F2D5C"/>
          <w:sz w:val="19"/>
        </w:rPr>
        <w:t xml:space="preserve">        ▼</w:t>
      </w:r>
      <w:r>
        <w:br/>
      </w:r>
      <w:r>
        <w:rPr>
          <w:rFonts w:ascii="Consolas" w:hAnsi="Consolas"/>
          <w:color w:val="1F2D5C"/>
          <w:sz w:val="19"/>
        </w:rPr>
        <w:t>[8. Five configs per arm]</w:t>
      </w:r>
      <w:r>
        <w:br/>
      </w:r>
      <w:r>
        <w:rPr>
          <w:rFonts w:ascii="Consolas" w:hAnsi="Consolas"/>
          <w:color w:val="1F2D5C"/>
          <w:sz w:val="19"/>
        </w:rPr>
        <w:t xml:space="preserve">   • full • no_cesd • health_only • function_cog • socioeconomic</w:t>
      </w:r>
      <w:r>
        <w:br/>
      </w:r>
      <w:r>
        <w:rPr>
          <w:rFonts w:ascii="Consolas" w:hAnsi="Consolas"/>
          <w:color w:val="1F2D5C"/>
          <w:sz w:val="19"/>
        </w:rPr>
        <w:t xml:space="preserve">        │</w:t>
      </w:r>
      <w:r>
        <w:br/>
      </w:r>
      <w:r>
        <w:rPr>
          <w:rFonts w:ascii="Consolas" w:hAnsi="Consolas"/>
          <w:color w:val="1F2D5C"/>
          <w:sz w:val="19"/>
        </w:rPr>
        <w:t xml:space="preserve">        ▼</w:t>
      </w:r>
      <w:r>
        <w:br/>
      </w:r>
      <w:r>
        <w:rPr>
          <w:rFonts w:ascii="Consolas" w:hAnsi="Consolas"/>
          <w:color w:val="1F2D5C"/>
          <w:sz w:val="19"/>
        </w:rPr>
        <w:t>[9. Four models per config]</w:t>
      </w:r>
      <w:r>
        <w:br/>
      </w:r>
      <w:r>
        <w:rPr>
          <w:rFonts w:ascii="Consolas" w:hAnsi="Consolas"/>
          <w:color w:val="1F2D5C"/>
          <w:sz w:val="19"/>
        </w:rPr>
        <w:t xml:space="preserve">   • LR • RF • XGBoost • LightGBM (60 baseline experiments)</w:t>
      </w:r>
      <w:r>
        <w:br/>
      </w:r>
      <w:r>
        <w:rPr>
          <w:rFonts w:ascii="Consolas" w:hAnsi="Consolas"/>
          <w:color w:val="1F2D5C"/>
          <w:sz w:val="19"/>
        </w:rPr>
        <w:t xml:space="preserve">        │</w:t>
      </w:r>
      <w:r>
        <w:br/>
      </w:r>
      <w:r>
        <w:rPr>
          <w:rFonts w:ascii="Consolas" w:hAnsi="Consolas"/>
          <w:color w:val="1F2D5C"/>
          <w:sz w:val="19"/>
        </w:rPr>
        <w:t xml:space="preserve">        ▼</w:t>
      </w:r>
      <w:r>
        <w:br/>
      </w:r>
      <w:r>
        <w:rPr>
          <w:rFonts w:ascii="Consolas" w:hAnsi="Consolas"/>
          <w:color w:val="1F2D5C"/>
          <w:sz w:val="19"/>
        </w:rPr>
        <w:t>[10. Tune best config per arm]</w:t>
      </w:r>
      <w:r>
        <w:br/>
      </w:r>
      <w:r>
        <w:rPr>
          <w:rFonts w:ascii="Consolas" w:hAnsi="Consolas"/>
          <w:color w:val="1F2D5C"/>
          <w:sz w:val="19"/>
        </w:rPr>
        <w:t xml:space="preserve">   • RandomizedSearchCV on RF/XGB/LGBM (9 tuned models)</w:t>
      </w:r>
      <w:r>
        <w:br/>
      </w:r>
      <w:r>
        <w:rPr>
          <w:rFonts w:ascii="Consolas" w:hAnsi="Consolas"/>
          <w:color w:val="1F2D5C"/>
          <w:sz w:val="19"/>
        </w:rPr>
        <w:t xml:space="preserve">        │</w:t>
      </w:r>
      <w:r>
        <w:br/>
      </w:r>
      <w:r>
        <w:rPr>
          <w:rFonts w:ascii="Consolas" w:hAnsi="Consolas"/>
          <w:color w:val="1F2D5C"/>
          <w:sz w:val="19"/>
        </w:rPr>
        <w:t xml:space="preserve">        ▼</w:t>
      </w:r>
      <w:r>
        <w:br/>
      </w:r>
      <w:r>
        <w:rPr>
          <w:rFonts w:ascii="Consolas" w:hAnsi="Consolas"/>
          <w:color w:val="1F2D5C"/>
          <w:sz w:val="19"/>
        </w:rPr>
        <w:t>[11. Evaluate on held-out test set]</w:t>
      </w:r>
      <w:r>
        <w:br/>
      </w:r>
      <w:r>
        <w:rPr>
          <w:rFonts w:ascii="Consolas" w:hAnsi="Consolas"/>
          <w:color w:val="1F2D5C"/>
          <w:sz w:val="19"/>
        </w:rPr>
        <w:t xml:space="preserve">   • ROC-AUC, F1, Precision, Recall, Confusion matrix, Calibration</w:t>
      </w:r>
      <w:r>
        <w:br/>
      </w:r>
      <w:r>
        <w:rPr>
          <w:rFonts w:ascii="Consolas" w:hAnsi="Consolas"/>
          <w:color w:val="1F2D5C"/>
          <w:sz w:val="19"/>
        </w:rPr>
        <w:t xml:space="preserve">        │</w:t>
      </w:r>
      <w:r>
        <w:br/>
      </w:r>
      <w:r>
        <w:rPr>
          <w:rFonts w:ascii="Consolas" w:hAnsi="Consolas"/>
          <w:color w:val="1F2D5C"/>
          <w:sz w:val="19"/>
        </w:rPr>
        <w:t xml:space="preserve">        ▼</w:t>
      </w:r>
      <w:r>
        <w:br/>
      </w:r>
      <w:r>
        <w:rPr>
          <w:rFonts w:ascii="Consolas" w:hAnsi="Consolas"/>
          <w:color w:val="1F2D5C"/>
          <w:sz w:val="19"/>
        </w:rPr>
        <w:t>[12. Interpretation]</w:t>
      </w:r>
      <w:r>
        <w:br/>
      </w:r>
      <w:r>
        <w:rPr>
          <w:rFonts w:ascii="Consolas" w:hAnsi="Consolas"/>
          <w:color w:val="1F2D5C"/>
          <w:sz w:val="19"/>
        </w:rPr>
        <w:t xml:space="preserve">   • Domain ablation • SHAP Act 1 (full) • SHAP Act 2 (no CES-D)</w:t>
      </w:r>
      <w:r>
        <w:br/>
      </w:r>
      <w:r>
        <w:rPr>
          <w:rFonts w:ascii="Consolas" w:hAnsi="Consolas"/>
          <w:color w:val="1F2D5C"/>
          <w:sz w:val="19"/>
        </w:rPr>
        <w:t xml:space="preserve">        │</w:t>
      </w:r>
      <w:r>
        <w:br/>
      </w:r>
      <w:r>
        <w:rPr>
          <w:rFonts w:ascii="Consolas" w:hAnsi="Consolas"/>
          <w:color w:val="1F2D5C"/>
          <w:sz w:val="19"/>
        </w:rPr>
        <w:t xml:space="preserve">        ▼</w:t>
      </w:r>
      <w:r>
        <w:br/>
      </w:r>
      <w:r>
        <w:rPr>
          <w:rFonts w:ascii="Consolas" w:hAnsi="Consolas"/>
          <w:color w:val="1F2D5C"/>
          <w:sz w:val="19"/>
        </w:rPr>
        <w:t>[13. Sensitivity]</w:t>
      </w:r>
      <w:r>
        <w:br/>
      </w:r>
      <w:r>
        <w:rPr>
          <w:rFonts w:ascii="Consolas" w:hAnsi="Consolas"/>
          <w:color w:val="1F2D5C"/>
          <w:sz w:val="19"/>
        </w:rPr>
        <w:t xml:space="preserve">   • Leakage analysis (with vs without prior CES-D, all 3 arms)</w:t>
      </w:r>
      <w:r>
        <w:br/>
      </w:r>
      <w:r>
        <w:rPr>
          <w:rFonts w:ascii="Consolas" w:hAnsi="Consolas"/>
          <w:color w:val="1F2D5C"/>
          <w:sz w:val="19"/>
        </w:rPr>
        <w:t xml:space="preserve">        │</w:t>
      </w:r>
      <w:r>
        <w:br/>
      </w:r>
      <w:r>
        <w:rPr>
          <w:rFonts w:ascii="Consolas" w:hAnsi="Consolas"/>
          <w:color w:val="1F2D5C"/>
          <w:sz w:val="19"/>
        </w:rPr>
        <w:t xml:space="preserve">        ▼</w:t>
      </w:r>
      <w:r>
        <w:br/>
      </w:r>
      <w:r>
        <w:rPr>
          <w:rFonts w:ascii="Consolas" w:hAnsi="Consolas"/>
          <w:color w:val="1F2D5C"/>
          <w:sz w:val="19"/>
        </w:rPr>
        <w:t>[14. Reporting]</w:t>
      </w:r>
      <w:r>
        <w:br/>
      </w:r>
      <w:r>
        <w:rPr>
          <w:rFonts w:ascii="Consolas" w:hAnsi="Consolas"/>
          <w:color w:val="1F2D5C"/>
          <w:sz w:val="19"/>
        </w:rPr>
        <w:t xml:space="preserve">   • 16 figures, 4 results CSVs, this report, presentation</w:t>
      </w:r>
    </w:p>
    <w:p>
      <w:pPr>
        <w:spacing w:before="120" w:after="120"/>
        <w:pBdr>
          <w:bottom w:val="single" w:sz="6" w:space="1" w:color="AAAAAA"/>
        </w:pBdr>
      </w:pPr>
    </w:p>
    <w:p>
      <w:pPr>
        <w:keepNext/>
        <w:spacing w:before="240" w:after="120"/>
      </w:pPr>
      <w:r>
        <w:rPr>
          <w:rFonts w:ascii="Calibri" w:hAnsi="Calibri"/>
          <w:b/>
          <w:color w:val="1F2D5C"/>
          <w:sz w:val="32"/>
        </w:rPr>
        <w:t>11. Reproducibility</w:t>
      </w:r>
    </w:p>
    <w:p>
      <w:pPr>
        <w:spacing w:after="120" w:line="300" w:lineRule="auto"/>
      </w:pPr>
      <w:r>
        <w:rPr>
          <w:rFonts w:ascii="Calibri" w:hAnsi="Calibri"/>
          <w:color w:val="222632"/>
          <w:sz w:val="22"/>
        </w:rPr>
        <w:t>The submission notebook (</w:t>
      </w:r>
      <w:r>
        <w:rPr>
          <w:rFonts w:ascii="Consolas" w:hAnsi="Consolas"/>
          <w:color w:val="1F2D5C"/>
          <w:sz w:val="20"/>
        </w:rPr>
        <w:t>submission/ELSA_Depression_Prediction_Final_v2.ipynb</w:t>
      </w:r>
      <w:r>
        <w:rPr>
          <w:rFonts w:ascii="Calibri" w:hAnsi="Calibri"/>
          <w:color w:val="222632"/>
          <w:sz w:val="22"/>
        </w:rPr>
        <w:t>) is designed to run end-to-end in a single Colab session. The user sets one path variable (</w:t>
      </w:r>
      <w:r>
        <w:rPr>
          <w:rFonts w:ascii="Consolas" w:hAnsi="Consolas"/>
          <w:color w:val="1F2D5C"/>
          <w:sz w:val="20"/>
        </w:rPr>
        <w:t>ELSA_PATH</w:t>
      </w:r>
      <w:r>
        <w:rPr>
          <w:rFonts w:ascii="Calibri" w:hAnsi="Calibri"/>
          <w:color w:val="222632"/>
          <w:sz w:val="22"/>
        </w:rPr>
        <w:t>) pointing to either a downloaded UKDA-5050 zip file or the extracted folder. The notebook installs missing dependencies, locates the Stata files, runs all 60 baseline experiments + 9 tuning rounds + ensemble, and exports 16 figures and 4 CSVs to Google Drive. Expected runtime is 25 to 40 minutes on a standard Colab CPU instance.</w:t>
      </w:r>
    </w:p>
    <w:p>
      <w:pPr>
        <w:spacing w:after="120" w:line="300" w:lineRule="auto"/>
      </w:pPr>
      <w:r>
        <w:rPr>
          <w:rFonts w:ascii="Calibri" w:hAnsi="Calibri"/>
          <w:color w:val="222632"/>
          <w:sz w:val="22"/>
        </w:rPr>
        <w:t>A fixed random seed (</w:t>
      </w:r>
      <w:r>
        <w:rPr>
          <w:rFonts w:ascii="Consolas" w:hAnsi="Consolas"/>
          <w:color w:val="1F2D5C"/>
          <w:sz w:val="20"/>
        </w:rPr>
        <w:t>SEED=42</w:t>
      </w:r>
      <w:r>
        <w:rPr>
          <w:rFonts w:ascii="Calibri" w:hAnsi="Calibri"/>
          <w:color w:val="222632"/>
          <w:sz w:val="22"/>
        </w:rPr>
        <w:t>) is used throughout. All splits, CV folds, hyperparameter searches, and SHAP samples are deterministic. Any user with UKDS access can reproduce every figure and every number in this report.</w:t>
      </w:r>
    </w:p>
    <w:p>
      <w:pPr>
        <w:spacing w:before="120" w:after="120"/>
        <w:pBdr>
          <w:bottom w:val="single" w:sz="6" w:space="1" w:color="AAAAAA"/>
        </w:pBdr>
      </w:pPr>
    </w:p>
    <w:p>
      <w:pPr>
        <w:keepNext/>
        <w:spacing w:before="240" w:after="120"/>
      </w:pPr>
      <w:r>
        <w:rPr>
          <w:rFonts w:ascii="Calibri" w:hAnsi="Calibri"/>
          <w:b/>
          <w:color w:val="1F2D5C"/>
          <w:sz w:val="32"/>
        </w:rPr>
        <w:t>12. Team Contributions</w:t>
      </w:r>
    </w:p>
    <w:p>
      <w:pPr>
        <w:spacing w:after="120" w:line="300" w:lineRule="auto"/>
      </w:pPr>
      <w:r>
        <w:rPr>
          <w:rFonts w:ascii="Calibri" w:hAnsi="Calibri"/>
          <w:color w:val="222632"/>
          <w:sz w:val="22"/>
        </w:rPr>
        <w:t>See [</w:t>
      </w:r>
      <w:r>
        <w:rPr>
          <w:rFonts w:ascii="Consolas" w:hAnsi="Consolas"/>
          <w:color w:val="1F2D5C"/>
          <w:sz w:val="20"/>
        </w:rPr>
        <w:t>team_contributions.md</w:t>
      </w:r>
      <w:r>
        <w:rPr>
          <w:rFonts w:ascii="Calibri" w:hAnsi="Calibri"/>
          <w:color w:val="222632"/>
          <w:sz w:val="22"/>
        </w:rPr>
        <w:t>](team_contributions.md) for the full list. Brief summary:</w:t>
      </w:r>
    </w:p>
    <w:p>
      <w:pPr>
        <w:pStyle w:val="ListBullet"/>
        <w:spacing w:after="40" w:line="288" w:lineRule="auto"/>
      </w:pPr>
      <w:r>
        <w:rPr>
          <w:rFonts w:ascii="Calibri" w:hAnsi="Calibri"/>
          <w:b/>
          <w:color w:val="222632"/>
          <w:sz w:val="22"/>
        </w:rPr>
        <w:t>Akeeb Lawel</w:t>
      </w:r>
      <w:r>
        <w:rPr>
          <w:rFonts w:ascii="Calibri" w:hAnsi="Calibri"/>
          <w:color w:val="222632"/>
          <w:sz w:val="22"/>
        </w:rPr>
        <w:t xml:space="preserve"> — Data audit, wave selection, feature funnel</w:t>
      </w:r>
    </w:p>
    <w:p>
      <w:pPr>
        <w:pStyle w:val="ListBullet"/>
        <w:spacing w:after="40" w:line="288" w:lineRule="auto"/>
      </w:pPr>
      <w:r>
        <w:rPr>
          <w:rFonts w:ascii="Calibri" w:hAnsi="Calibri"/>
          <w:b/>
          <w:color w:val="222632"/>
          <w:sz w:val="22"/>
        </w:rPr>
        <w:t>Fiyin Akano</w:t>
      </w:r>
      <w:r>
        <w:rPr>
          <w:rFonts w:ascii="Calibri" w:hAnsi="Calibri"/>
          <w:color w:val="222632"/>
          <w:sz w:val="22"/>
        </w:rPr>
        <w:t xml:space="preserve"> — Original W6+W7 pipeline, CES-D fix, leakage analysis, PR review process</w:t>
      </w:r>
    </w:p>
    <w:p>
      <w:pPr>
        <w:pStyle w:val="ListBullet"/>
        <w:spacing w:after="40" w:line="288" w:lineRule="auto"/>
      </w:pPr>
      <w:r>
        <w:rPr>
          <w:rFonts w:ascii="Calibri" w:hAnsi="Calibri"/>
          <w:b/>
          <w:color w:val="222632"/>
          <w:sz w:val="22"/>
        </w:rPr>
        <w:t>Zannat Chowdhury Sagar</w:t>
      </w:r>
      <w:r>
        <w:rPr>
          <w:rFonts w:ascii="Calibri" w:hAnsi="Calibri"/>
          <w:color w:val="222632"/>
          <w:sz w:val="22"/>
        </w:rPr>
        <w:t xml:space="preserve"> — Preprocessing baseline, enhanced pipeline, final submission notebook</w:t>
      </w:r>
    </w:p>
    <w:p>
      <w:pPr>
        <w:pStyle w:val="ListBullet"/>
        <w:spacing w:after="40" w:line="288" w:lineRule="auto"/>
      </w:pPr>
      <w:r>
        <w:rPr>
          <w:rFonts w:ascii="Calibri" w:hAnsi="Calibri"/>
          <w:b/>
          <w:color w:val="222632"/>
          <w:sz w:val="22"/>
        </w:rPr>
        <w:t>Giridhar, Pushkar, Poorna</w:t>
      </w:r>
      <w:r>
        <w:rPr>
          <w:rFonts w:ascii="Calibri" w:hAnsi="Calibri"/>
          <w:color w:val="222632"/>
          <w:sz w:val="22"/>
        </w:rPr>
        <w:t xml:space="preserve"> — see contributions doc</w:t>
      </w:r>
    </w:p>
    <w:p>
      <w:pPr>
        <w:spacing w:before="120" w:after="120"/>
        <w:pBdr>
          <w:bottom w:val="single" w:sz="6" w:space="1" w:color="AAAAAA"/>
        </w:pBdr>
      </w:pPr>
    </w:p>
    <w:p>
      <w:pPr>
        <w:keepNext/>
        <w:spacing w:before="240" w:after="120"/>
      </w:pPr>
      <w:r>
        <w:rPr>
          <w:rFonts w:ascii="Calibri" w:hAnsi="Calibri"/>
          <w:b/>
          <w:color w:val="1F2D5C"/>
          <w:sz w:val="32"/>
        </w:rPr>
        <w:t>13. References</w:t>
      </w:r>
    </w:p>
    <w:p>
      <w:pPr>
        <w:spacing w:after="120" w:line="300" w:lineRule="auto"/>
      </w:pPr>
      <w:r>
        <w:rPr>
          <w:rFonts w:ascii="Calibri" w:hAnsi="Calibri"/>
          <w:color w:val="222632"/>
          <w:sz w:val="22"/>
        </w:rPr>
        <w:t xml:space="preserve">Banks, J., Breeze, E., Lessof, C., and Nazroo, J. (Eds.). (2006). </w:t>
      </w:r>
      <w:r>
        <w:rPr>
          <w:rFonts w:ascii="Calibri" w:hAnsi="Calibri"/>
          <w:i/>
          <w:color w:val="222632"/>
          <w:sz w:val="22"/>
        </w:rPr>
        <w:t>Retirement, health and relationships of the older population in England: The 2004 English Longitudinal Study of Ageing</w:t>
      </w:r>
      <w:r>
        <w:rPr>
          <w:rFonts w:ascii="Calibri" w:hAnsi="Calibri"/>
          <w:color w:val="222632"/>
          <w:sz w:val="22"/>
        </w:rPr>
        <w:t>. London: Institute for Fiscal Studies.</w:t>
      </w:r>
    </w:p>
    <w:p>
      <w:pPr>
        <w:spacing w:after="120" w:line="300" w:lineRule="auto"/>
      </w:pPr>
      <w:r>
        <w:rPr>
          <w:rFonts w:ascii="Calibri" w:hAnsi="Calibri"/>
          <w:color w:val="222632"/>
          <w:sz w:val="22"/>
        </w:rPr>
        <w:t xml:space="preserve">Bergstra, J., and Bengio, Y. (2012). Random search for hyper-parameter optimization. </w:t>
      </w:r>
      <w:r>
        <w:rPr>
          <w:rFonts w:ascii="Calibri" w:hAnsi="Calibri"/>
          <w:i/>
          <w:color w:val="222632"/>
          <w:sz w:val="22"/>
        </w:rPr>
        <w:t>Journal of Machine Learning Research</w:t>
      </w:r>
      <w:r>
        <w:rPr>
          <w:rFonts w:ascii="Calibri" w:hAnsi="Calibri"/>
          <w:color w:val="222632"/>
          <w:sz w:val="22"/>
        </w:rPr>
        <w:t>, 13, 281–305.</w:t>
      </w:r>
    </w:p>
    <w:p>
      <w:pPr>
        <w:spacing w:after="120" w:line="300" w:lineRule="auto"/>
      </w:pPr>
      <w:r>
        <w:rPr>
          <w:rFonts w:ascii="Calibri" w:hAnsi="Calibri"/>
          <w:color w:val="222632"/>
          <w:sz w:val="22"/>
        </w:rPr>
        <w:t xml:space="preserve">Ke, G., Meng, Q., Finley, T., et al. (2017). LightGBM: A highly efficient gradient boosting decision tree. </w:t>
      </w:r>
      <w:r>
        <w:rPr>
          <w:rFonts w:ascii="Calibri" w:hAnsi="Calibri"/>
          <w:i/>
          <w:color w:val="222632"/>
          <w:sz w:val="22"/>
        </w:rPr>
        <w:t>Advances in Neural Information Processing Systems</w:t>
      </w:r>
      <w:r>
        <w:rPr>
          <w:rFonts w:ascii="Calibri" w:hAnsi="Calibri"/>
          <w:color w:val="222632"/>
          <w:sz w:val="22"/>
        </w:rPr>
        <w:t>, 30.</w:t>
      </w:r>
    </w:p>
    <w:p>
      <w:pPr>
        <w:spacing w:after="120" w:line="300" w:lineRule="auto"/>
      </w:pPr>
      <w:r>
        <w:rPr>
          <w:rFonts w:ascii="Calibri" w:hAnsi="Calibri"/>
          <w:color w:val="222632"/>
          <w:sz w:val="22"/>
        </w:rPr>
        <w:t xml:space="preserve">Lundberg, S. M., and Lee, S.-I. (2017). A unified approach to interpreting model predictions. </w:t>
      </w:r>
      <w:r>
        <w:rPr>
          <w:rFonts w:ascii="Calibri" w:hAnsi="Calibri"/>
          <w:i/>
          <w:color w:val="222632"/>
          <w:sz w:val="22"/>
        </w:rPr>
        <w:t>Advances in Neural Information Processing Systems</w:t>
      </w:r>
      <w:r>
        <w:rPr>
          <w:rFonts w:ascii="Calibri" w:hAnsi="Calibri"/>
          <w:color w:val="222632"/>
          <w:sz w:val="22"/>
        </w:rPr>
        <w:t>, 30.</w:t>
      </w:r>
    </w:p>
    <w:p>
      <w:pPr>
        <w:spacing w:after="120" w:line="300" w:lineRule="auto"/>
      </w:pPr>
      <w:r>
        <w:rPr>
          <w:rFonts w:ascii="Calibri" w:hAnsi="Calibri"/>
          <w:color w:val="222632"/>
          <w:sz w:val="22"/>
        </w:rPr>
        <w:t xml:space="preserve">Radloff, L. S. (1977). The CES-D scale: A self-report depression scale for research in the general population. </w:t>
      </w:r>
      <w:r>
        <w:rPr>
          <w:rFonts w:ascii="Calibri" w:hAnsi="Calibri"/>
          <w:i/>
          <w:color w:val="222632"/>
          <w:sz w:val="22"/>
        </w:rPr>
        <w:t>Applied Psychological Measurement</w:t>
      </w:r>
      <w:r>
        <w:rPr>
          <w:rFonts w:ascii="Calibri" w:hAnsi="Calibri"/>
          <w:color w:val="222632"/>
          <w:sz w:val="22"/>
        </w:rPr>
        <w:t>, 1(3), 385–401.</w:t>
      </w:r>
    </w:p>
    <w:p>
      <w:pPr>
        <w:spacing w:after="120" w:line="300" w:lineRule="auto"/>
      </w:pPr>
      <w:r>
        <w:rPr>
          <w:rFonts w:ascii="Calibri" w:hAnsi="Calibri"/>
          <w:color w:val="222632"/>
          <w:sz w:val="22"/>
        </w:rPr>
        <w:t xml:space="preserve">Steffick, D. E. (2000). </w:t>
      </w:r>
      <w:r>
        <w:rPr>
          <w:rFonts w:ascii="Calibri" w:hAnsi="Calibri"/>
          <w:i/>
          <w:color w:val="222632"/>
          <w:sz w:val="22"/>
        </w:rPr>
        <w:t>Documentation of affective functioning measures in the Health and Retirement Study</w:t>
      </w:r>
      <w:r>
        <w:rPr>
          <w:rFonts w:ascii="Calibri" w:hAnsi="Calibri"/>
          <w:color w:val="222632"/>
          <w:sz w:val="22"/>
        </w:rPr>
        <w:t>. HRS Documentation Report DR-005. Ann Arbor: University of Michigan.</w:t>
      </w:r>
    </w:p>
    <w:p>
      <w:pPr>
        <w:spacing w:after="120" w:line="300" w:lineRule="auto"/>
      </w:pPr>
      <w:r>
        <w:rPr>
          <w:rFonts w:ascii="Calibri" w:hAnsi="Calibri"/>
          <w:color w:val="222632"/>
          <w:sz w:val="22"/>
        </w:rPr>
        <w:t xml:space="preserve">Turvey, C. L., Wallace, R. B., and Herzog, R. (1999). A revised CES-D measure of depressive symptoms and a DSM-based measure of major depressive episodes in the elderly. </w:t>
      </w:r>
      <w:r>
        <w:rPr>
          <w:rFonts w:ascii="Calibri" w:hAnsi="Calibri"/>
          <w:i/>
          <w:color w:val="222632"/>
          <w:sz w:val="22"/>
        </w:rPr>
        <w:t>International Psychogeriatrics</w:t>
      </w:r>
      <w:r>
        <w:rPr>
          <w:rFonts w:ascii="Calibri" w:hAnsi="Calibri"/>
          <w:color w:val="222632"/>
          <w:sz w:val="22"/>
        </w:rPr>
        <w:t>, 11(2), 139–148.</w:t>
      </w:r>
    </w:p>
    <w:p>
      <w:pPr>
        <w:spacing w:after="120" w:line="300" w:lineRule="auto"/>
      </w:pPr>
      <w:r>
        <w:rPr>
          <w:rFonts w:ascii="Calibri" w:hAnsi="Calibri"/>
          <w:color w:val="222632"/>
          <w:sz w:val="22"/>
        </w:rPr>
        <w:t xml:space="preserve">Zhao, Y., Wan, X., and Liu, Z. (2025). Machine learning identifies determinants of depressive symptoms in multinational middle-aged and older adults. </w:t>
      </w:r>
      <w:r>
        <w:rPr>
          <w:rFonts w:ascii="Calibri" w:hAnsi="Calibri"/>
          <w:i/>
          <w:color w:val="222632"/>
          <w:sz w:val="22"/>
        </w:rPr>
        <w:t>npj Digital Medicine</w:t>
      </w:r>
      <w:r>
        <w:rPr>
          <w:rFonts w:ascii="Calibri" w:hAnsi="Calibri"/>
          <w:color w:val="222632"/>
          <w:sz w:val="22"/>
        </w:rPr>
        <w:t>.</w:t>
      </w:r>
    </w:p>
    <w:p>
      <w:pPr>
        <w:spacing w:before="120" w:after="120"/>
        <w:pBdr>
          <w:bottom w:val="single" w:sz="6" w:space="1" w:color="AAAAAA"/>
        </w:pBdr>
      </w:pPr>
    </w:p>
    <w:p>
      <w:pPr>
        <w:keepNext/>
        <w:spacing w:before="240" w:after="120"/>
      </w:pPr>
      <w:r>
        <w:rPr>
          <w:rFonts w:ascii="Calibri" w:hAnsi="Calibri"/>
          <w:b/>
          <w:color w:val="1F2D5C"/>
          <w:sz w:val="32"/>
        </w:rPr>
        <w:t>Appendix A — Figures Index</w:t>
      </w:r>
    </w:p>
    <w:p>
      <w:pPr>
        <w:spacing w:after="120" w:line="300" w:lineRule="auto"/>
      </w:pPr>
      <w:r>
        <w:rPr>
          <w:rFonts w:ascii="Calibri" w:hAnsi="Calibri"/>
          <w:color w:val="222632"/>
          <w:sz w:val="22"/>
        </w:rPr>
        <w:t xml:space="preserve">All saved to </w:t>
      </w:r>
      <w:r>
        <w:rPr>
          <w:rFonts w:ascii="Consolas" w:hAnsi="Consolas"/>
          <w:color w:val="1F2D5C"/>
          <w:sz w:val="20"/>
        </w:rPr>
        <w:t>outputs/figures/</w:t>
      </w:r>
      <w:r>
        <w:rPr>
          <w:rFonts w:ascii="Calibri" w:hAnsi="Calibri"/>
          <w:color w:val="222632"/>
          <w:sz w:val="22"/>
        </w:rPr>
        <w:t xml:space="preserve"> and </w:t>
      </w:r>
      <w:r>
        <w:rPr>
          <w:rFonts w:ascii="Consolas" w:hAnsi="Consolas"/>
          <w:color w:val="1F2D5C"/>
          <w:sz w:val="20"/>
        </w:rPr>
        <w:t>submission</w:t>
      </w:r>
      <w:r>
        <w:rPr>
          <w:rFonts w:ascii="Calibri" w:hAnsi="Calibri"/>
          <w:color w:val="222632"/>
          <w:sz w:val="22"/>
        </w:rPr>
        <w:t xml:space="preserve"> Drive output folder.</w:t>
      </w:r>
    </w:p>
    <w:tbl>
      <w:tblPr>
        <w:tblStyle w:val="LightGrid-Accent1"/>
        <w:tblW w:type="auto" w:w="0"/>
        <w:jc w:val="left"/>
        <w:tblLayout w:type="autofit"/>
        <w:tblLook w:firstColumn="1" w:firstRow="1" w:lastColumn="0" w:lastRow="0" w:noHBand="0" w:noVBand="1" w:val="04A0"/>
      </w:tblPr>
      <w:tblGrid>
        <w:gridCol w:w="3249"/>
        <w:gridCol w:w="3249"/>
        <w:gridCol w:w="3249"/>
      </w:tblGrid>
      <w:tr>
        <w:tc>
          <w:tcPr>
            <w:tcW w:type="dxa" w:w="3249"/>
            <w:vAlign w:val="center"/>
            <w:shd w:val="clear" w:color="auto" w:fill="1F2D5C"/>
          </w:tcPr>
          <w:p>
            <w:r/>
            <w:r>
              <w:rPr>
                <w:rFonts w:ascii="Calibri" w:hAnsi="Calibri"/>
                <w:b/>
                <w:color w:val="FFFFFF"/>
                <w:sz w:val="21"/>
              </w:rPr>
              <w:t>File</w:t>
            </w:r>
          </w:p>
        </w:tc>
        <w:tc>
          <w:tcPr>
            <w:tcW w:type="dxa" w:w="3249"/>
            <w:vAlign w:val="center"/>
            <w:shd w:val="clear" w:color="auto" w:fill="1F2D5C"/>
          </w:tcPr>
          <w:p>
            <w:r/>
            <w:r>
              <w:rPr>
                <w:rFonts w:ascii="Calibri" w:hAnsi="Calibri"/>
                <w:b/>
                <w:color w:val="FFFFFF"/>
                <w:sz w:val="21"/>
              </w:rPr>
              <w:t>Section</w:t>
            </w:r>
          </w:p>
        </w:tc>
        <w:tc>
          <w:tcPr>
            <w:tcW w:type="dxa" w:w="3249"/>
            <w:vAlign w:val="center"/>
            <w:shd w:val="clear" w:color="auto" w:fill="1F2D5C"/>
          </w:tcPr>
          <w:p>
            <w:r/>
            <w:r>
              <w:rPr>
                <w:rFonts w:ascii="Calibri" w:hAnsi="Calibri"/>
                <w:b/>
                <w:color w:val="FFFFFF"/>
                <w:sz w:val="21"/>
              </w:rPr>
              <w:t>Purpose</w:t>
            </w:r>
          </w:p>
        </w:tc>
      </w:tr>
      <w:tr>
        <w:tc>
          <w:tcPr>
            <w:tcW w:type="dxa" w:w="3249"/>
            <w:vAlign w:val="center"/>
          </w:tcPr>
          <w:p>
            <w:r/>
            <w:r>
              <w:rPr>
                <w:rFonts w:ascii="Consolas" w:hAnsi="Consolas"/>
                <w:color w:val="1F2D5C"/>
                <w:sz w:val="18"/>
              </w:rPr>
              <w:t>01_data/outcome_distribution.png</w:t>
            </w:r>
          </w:p>
        </w:tc>
        <w:tc>
          <w:tcPr>
            <w:tcW w:type="dxa" w:w="3249"/>
            <w:vAlign w:val="center"/>
          </w:tcPr>
          <w:p>
            <w:r/>
            <w:r>
              <w:rPr>
                <w:rFonts w:ascii="Calibri" w:hAnsi="Calibri"/>
                <w:color w:val="222632"/>
                <w:sz w:val="20"/>
              </w:rPr>
              <w:t>Background</w:t>
            </w:r>
          </w:p>
        </w:tc>
        <w:tc>
          <w:tcPr>
            <w:tcW w:type="dxa" w:w="3249"/>
            <w:vAlign w:val="center"/>
          </w:tcPr>
          <w:p>
            <w:r/>
            <w:r>
              <w:rPr>
                <w:rFonts w:ascii="Calibri" w:hAnsi="Calibri"/>
                <w:color w:val="222632"/>
                <w:sz w:val="20"/>
              </w:rPr>
              <w:t>CES-D histogram, class balance</w:t>
            </w:r>
          </w:p>
        </w:tc>
      </w:tr>
      <w:tr>
        <w:tc>
          <w:tcPr>
            <w:tcW w:type="dxa" w:w="3249"/>
            <w:vAlign w:val="center"/>
          </w:tcPr>
          <w:p>
            <w:r/>
            <w:r>
              <w:rPr>
                <w:rFonts w:ascii="Consolas" w:hAnsi="Consolas"/>
                <w:color w:val="1F2D5C"/>
                <w:sz w:val="18"/>
              </w:rPr>
              <w:t>02_experiments/auc_all_arms_configs.png</w:t>
            </w:r>
          </w:p>
        </w:tc>
        <w:tc>
          <w:tcPr>
            <w:tcW w:type="dxa" w:w="3249"/>
            <w:vAlign w:val="center"/>
          </w:tcPr>
          <w:p>
            <w:r/>
            <w:r>
              <w:rPr>
                <w:rFonts w:ascii="Calibri" w:hAnsi="Calibri"/>
                <w:color w:val="222632"/>
                <w:sz w:val="20"/>
              </w:rPr>
              <w:t>Experiment</w:t>
            </w:r>
          </w:p>
        </w:tc>
        <w:tc>
          <w:tcPr>
            <w:tcW w:type="dxa" w:w="3249"/>
            <w:vAlign w:val="center"/>
          </w:tcPr>
          <w:p>
            <w:r/>
            <w:r>
              <w:rPr>
                <w:rFonts w:ascii="Calibri" w:hAnsi="Calibri"/>
                <w:color w:val="222632"/>
                <w:sz w:val="20"/>
              </w:rPr>
              <w:t>AUC across all 60 baseline experiments</w:t>
            </w:r>
          </w:p>
        </w:tc>
      </w:tr>
      <w:tr>
        <w:tc>
          <w:tcPr>
            <w:tcW w:type="dxa" w:w="3249"/>
            <w:vAlign w:val="center"/>
          </w:tcPr>
          <w:p>
            <w:r/>
            <w:r>
              <w:rPr>
                <w:rFonts w:ascii="Consolas" w:hAnsi="Consolas"/>
                <w:color w:val="1F2D5C"/>
                <w:sz w:val="18"/>
              </w:rPr>
              <w:t>03_results/arm_comparison.png</w:t>
            </w:r>
          </w:p>
        </w:tc>
        <w:tc>
          <w:tcPr>
            <w:tcW w:type="dxa" w:w="3249"/>
            <w:vAlign w:val="center"/>
          </w:tcPr>
          <w:p>
            <w:r/>
            <w:r>
              <w:rPr>
                <w:rFonts w:ascii="Calibri" w:hAnsi="Calibri"/>
                <w:color w:val="222632"/>
                <w:sz w:val="20"/>
              </w:rPr>
              <w:t>Results</w:t>
            </w:r>
          </w:p>
        </w:tc>
        <w:tc>
          <w:tcPr>
            <w:tcW w:type="dxa" w:w="3249"/>
            <w:vAlign w:val="center"/>
          </w:tcPr>
          <w:p>
            <w:r/>
            <w:r>
              <w:rPr>
                <w:rFonts w:ascii="Calibri" w:hAnsi="Calibri"/>
                <w:color w:val="222632"/>
                <w:sz w:val="20"/>
              </w:rPr>
              <w:t>Cross-arm AUC comparison</w:t>
            </w:r>
          </w:p>
        </w:tc>
      </w:tr>
      <w:tr>
        <w:tc>
          <w:tcPr>
            <w:tcW w:type="dxa" w:w="3249"/>
            <w:vAlign w:val="center"/>
          </w:tcPr>
          <w:p>
            <w:r/>
            <w:r>
              <w:rPr>
                <w:rFonts w:ascii="Consolas" w:hAnsi="Consolas"/>
                <w:color w:val="1F2D5C"/>
                <w:sz w:val="18"/>
              </w:rPr>
              <w:t>03_results/roc_curves.png</w:t>
            </w:r>
          </w:p>
        </w:tc>
        <w:tc>
          <w:tcPr>
            <w:tcW w:type="dxa" w:w="3249"/>
            <w:vAlign w:val="center"/>
          </w:tcPr>
          <w:p>
            <w:r/>
            <w:r>
              <w:rPr>
                <w:rFonts w:ascii="Calibri" w:hAnsi="Calibri"/>
                <w:color w:val="222632"/>
                <w:sz w:val="20"/>
              </w:rPr>
              <w:t>Results</w:t>
            </w:r>
          </w:p>
        </w:tc>
        <w:tc>
          <w:tcPr>
            <w:tcW w:type="dxa" w:w="3249"/>
            <w:vAlign w:val="center"/>
          </w:tcPr>
          <w:p>
            <w:r/>
            <w:r>
              <w:rPr>
                <w:rFonts w:ascii="Calibri" w:hAnsi="Calibri"/>
                <w:color w:val="222632"/>
                <w:sz w:val="20"/>
              </w:rPr>
              <w:t>ROC curves, best model per arm</w:t>
            </w:r>
          </w:p>
        </w:tc>
      </w:tr>
      <w:tr>
        <w:tc>
          <w:tcPr>
            <w:tcW w:type="dxa" w:w="3249"/>
            <w:vAlign w:val="center"/>
          </w:tcPr>
          <w:p>
            <w:r/>
            <w:r>
              <w:rPr>
                <w:rFonts w:ascii="Consolas" w:hAnsi="Consolas"/>
                <w:color w:val="1F2D5C"/>
                <w:sz w:val="18"/>
              </w:rPr>
              <w:t>03_results/pr_curves.png</w:t>
            </w:r>
          </w:p>
        </w:tc>
        <w:tc>
          <w:tcPr>
            <w:tcW w:type="dxa" w:w="3249"/>
            <w:vAlign w:val="center"/>
          </w:tcPr>
          <w:p>
            <w:r/>
            <w:r>
              <w:rPr>
                <w:rFonts w:ascii="Calibri" w:hAnsi="Calibri"/>
                <w:color w:val="222632"/>
                <w:sz w:val="20"/>
              </w:rPr>
              <w:t>Results</w:t>
            </w:r>
          </w:p>
        </w:tc>
        <w:tc>
          <w:tcPr>
            <w:tcW w:type="dxa" w:w="3249"/>
            <w:vAlign w:val="center"/>
          </w:tcPr>
          <w:p>
            <w:r/>
            <w:r>
              <w:rPr>
                <w:rFonts w:ascii="Calibri" w:hAnsi="Calibri"/>
                <w:color w:val="222632"/>
                <w:sz w:val="20"/>
              </w:rPr>
              <w:t>Precision-recall curves</w:t>
            </w:r>
          </w:p>
        </w:tc>
      </w:tr>
      <w:tr>
        <w:tc>
          <w:tcPr>
            <w:tcW w:type="dxa" w:w="3249"/>
            <w:vAlign w:val="center"/>
          </w:tcPr>
          <w:p>
            <w:r/>
            <w:r>
              <w:rPr>
                <w:rFonts w:ascii="Consolas" w:hAnsi="Consolas"/>
                <w:color w:val="1F2D5C"/>
                <w:sz w:val="18"/>
              </w:rPr>
              <w:t>03_results/confusion_matrices.png</w:t>
            </w:r>
          </w:p>
        </w:tc>
        <w:tc>
          <w:tcPr>
            <w:tcW w:type="dxa" w:w="3249"/>
            <w:vAlign w:val="center"/>
          </w:tcPr>
          <w:p>
            <w:r/>
            <w:r>
              <w:rPr>
                <w:rFonts w:ascii="Calibri" w:hAnsi="Calibri"/>
                <w:color w:val="222632"/>
                <w:sz w:val="20"/>
              </w:rPr>
              <w:t>Results</w:t>
            </w:r>
          </w:p>
        </w:tc>
        <w:tc>
          <w:tcPr>
            <w:tcW w:type="dxa" w:w="3249"/>
            <w:vAlign w:val="center"/>
          </w:tcPr>
          <w:p>
            <w:r/>
            <w:r>
              <w:rPr>
                <w:rFonts w:ascii="Calibri" w:hAnsi="Calibri"/>
                <w:color w:val="222632"/>
                <w:sz w:val="20"/>
              </w:rPr>
              <w:t>Test-set confusion matrices</w:t>
            </w:r>
          </w:p>
        </w:tc>
      </w:tr>
      <w:tr>
        <w:tc>
          <w:tcPr>
            <w:tcW w:type="dxa" w:w="3249"/>
            <w:vAlign w:val="center"/>
          </w:tcPr>
          <w:p>
            <w:r/>
            <w:r>
              <w:rPr>
                <w:rFonts w:ascii="Consolas" w:hAnsi="Consolas"/>
                <w:color w:val="1F2D5C"/>
                <w:sz w:val="18"/>
              </w:rPr>
              <w:t>03_results/ensemble_roc.png</w:t>
            </w:r>
          </w:p>
        </w:tc>
        <w:tc>
          <w:tcPr>
            <w:tcW w:type="dxa" w:w="3249"/>
            <w:vAlign w:val="center"/>
          </w:tcPr>
          <w:p>
            <w:r/>
            <w:r>
              <w:rPr>
                <w:rFonts w:ascii="Calibri" w:hAnsi="Calibri"/>
                <w:color w:val="222632"/>
                <w:sz w:val="20"/>
              </w:rPr>
              <w:t>Results</w:t>
            </w:r>
          </w:p>
        </w:tc>
        <w:tc>
          <w:tcPr>
            <w:tcW w:type="dxa" w:w="3249"/>
            <w:vAlign w:val="center"/>
          </w:tcPr>
          <w:p>
            <w:r/>
            <w:r>
              <w:rPr>
                <w:rFonts w:ascii="Calibri" w:hAnsi="Calibri"/>
                <w:color w:val="222632"/>
                <w:sz w:val="20"/>
              </w:rPr>
              <w:t>Ensemble vs individual models</w:t>
            </w:r>
          </w:p>
        </w:tc>
      </w:tr>
      <w:tr>
        <w:tc>
          <w:tcPr>
            <w:tcW w:type="dxa" w:w="3249"/>
            <w:vAlign w:val="center"/>
          </w:tcPr>
          <w:p>
            <w:r/>
            <w:r>
              <w:rPr>
                <w:rFonts w:ascii="Consolas" w:hAnsi="Consolas"/>
                <w:color w:val="1F2D5C"/>
                <w:sz w:val="18"/>
              </w:rPr>
              <w:t>04_interpretation/domain_ablation.png</w:t>
            </w:r>
          </w:p>
        </w:tc>
        <w:tc>
          <w:tcPr>
            <w:tcW w:type="dxa" w:w="3249"/>
            <w:vAlign w:val="center"/>
          </w:tcPr>
          <w:p>
            <w:r/>
            <w:r>
              <w:rPr>
                <w:rFonts w:ascii="Calibri" w:hAnsi="Calibri"/>
                <w:color w:val="222632"/>
                <w:sz w:val="20"/>
              </w:rPr>
              <w:t>Interpretation</w:t>
            </w:r>
          </w:p>
        </w:tc>
        <w:tc>
          <w:tcPr>
            <w:tcW w:type="dxa" w:w="3249"/>
            <w:vAlign w:val="center"/>
          </w:tcPr>
          <w:p>
            <w:r/>
            <w:r>
              <w:rPr>
                <w:rFonts w:ascii="Calibri" w:hAnsi="Calibri"/>
                <w:color w:val="222632"/>
                <w:sz w:val="20"/>
              </w:rPr>
              <w:t>Leave-one-domain-out</w:t>
            </w:r>
          </w:p>
        </w:tc>
      </w:tr>
      <w:tr>
        <w:tc>
          <w:tcPr>
            <w:tcW w:type="dxa" w:w="3249"/>
            <w:vAlign w:val="center"/>
          </w:tcPr>
          <w:p>
            <w:r/>
            <w:r>
              <w:rPr>
                <w:rFonts w:ascii="Consolas" w:hAnsi="Consolas"/>
                <w:color w:val="1F2D5C"/>
                <w:sz w:val="18"/>
              </w:rPr>
              <w:t>04_interpretation/shap_act1_full.png</w:t>
            </w:r>
          </w:p>
        </w:tc>
        <w:tc>
          <w:tcPr>
            <w:tcW w:type="dxa" w:w="3249"/>
            <w:vAlign w:val="center"/>
          </w:tcPr>
          <w:p>
            <w:r/>
            <w:r>
              <w:rPr>
                <w:rFonts w:ascii="Calibri" w:hAnsi="Calibri"/>
                <w:color w:val="222632"/>
                <w:sz w:val="20"/>
              </w:rPr>
              <w:t>Interpretation</w:t>
            </w:r>
          </w:p>
        </w:tc>
        <w:tc>
          <w:tcPr>
            <w:tcW w:type="dxa" w:w="3249"/>
            <w:vAlign w:val="center"/>
          </w:tcPr>
          <w:p>
            <w:r/>
            <w:r>
              <w:rPr>
                <w:rFonts w:ascii="Calibri" w:hAnsi="Calibri"/>
                <w:color w:val="222632"/>
                <w:sz w:val="20"/>
              </w:rPr>
              <w:t>SHAP, full model</w:t>
            </w:r>
          </w:p>
        </w:tc>
      </w:tr>
      <w:tr>
        <w:tc>
          <w:tcPr>
            <w:tcW w:type="dxa" w:w="3249"/>
            <w:vAlign w:val="center"/>
          </w:tcPr>
          <w:p>
            <w:r/>
            <w:r>
              <w:rPr>
                <w:rFonts w:ascii="Consolas" w:hAnsi="Consolas"/>
                <w:color w:val="1F2D5C"/>
                <w:sz w:val="18"/>
              </w:rPr>
              <w:t>04_interpretation/shap_act2_no_cesd.png</w:t>
            </w:r>
          </w:p>
        </w:tc>
        <w:tc>
          <w:tcPr>
            <w:tcW w:type="dxa" w:w="3249"/>
            <w:vAlign w:val="center"/>
          </w:tcPr>
          <w:p>
            <w:r/>
            <w:r>
              <w:rPr>
                <w:rFonts w:ascii="Calibri" w:hAnsi="Calibri"/>
                <w:color w:val="222632"/>
                <w:sz w:val="20"/>
              </w:rPr>
              <w:t>Interpretation</w:t>
            </w:r>
          </w:p>
        </w:tc>
        <w:tc>
          <w:tcPr>
            <w:tcW w:type="dxa" w:w="3249"/>
            <w:vAlign w:val="center"/>
          </w:tcPr>
          <w:p>
            <w:r/>
            <w:r>
              <w:rPr>
                <w:rFonts w:ascii="Calibri" w:hAnsi="Calibri"/>
                <w:color w:val="222632"/>
                <w:sz w:val="20"/>
              </w:rPr>
              <w:t>SHAP, no prior CES-D</w:t>
            </w:r>
          </w:p>
        </w:tc>
      </w:tr>
      <w:tr>
        <w:tc>
          <w:tcPr>
            <w:tcW w:type="dxa" w:w="3249"/>
            <w:vAlign w:val="center"/>
          </w:tcPr>
          <w:p>
            <w:r/>
            <w:r>
              <w:rPr>
                <w:rFonts w:ascii="Consolas" w:hAnsi="Consolas"/>
                <w:color w:val="1F2D5C"/>
                <w:sz w:val="18"/>
              </w:rPr>
              <w:t>04_interpretation/calibration.png</w:t>
            </w:r>
          </w:p>
        </w:tc>
        <w:tc>
          <w:tcPr>
            <w:tcW w:type="dxa" w:w="3249"/>
            <w:vAlign w:val="center"/>
          </w:tcPr>
          <w:p>
            <w:r/>
            <w:r>
              <w:rPr>
                <w:rFonts w:ascii="Calibri" w:hAnsi="Calibri"/>
                <w:color w:val="222632"/>
                <w:sz w:val="20"/>
              </w:rPr>
              <w:t>Interpretation</w:t>
            </w:r>
          </w:p>
        </w:tc>
        <w:tc>
          <w:tcPr>
            <w:tcW w:type="dxa" w:w="3249"/>
            <w:vAlign w:val="center"/>
          </w:tcPr>
          <w:p>
            <w:r/>
            <w:r>
              <w:rPr>
                <w:rFonts w:ascii="Calibri" w:hAnsi="Calibri"/>
                <w:color w:val="222632"/>
                <w:sz w:val="20"/>
              </w:rPr>
              <w:t>Reliability diagrams</w:t>
            </w:r>
          </w:p>
        </w:tc>
      </w:tr>
      <w:tr>
        <w:tc>
          <w:tcPr>
            <w:tcW w:type="dxa" w:w="3249"/>
            <w:vAlign w:val="center"/>
          </w:tcPr>
          <w:p>
            <w:r/>
            <w:r>
              <w:rPr>
                <w:rFonts w:ascii="Consolas" w:hAnsi="Consolas"/>
                <w:color w:val="1F2D5C"/>
                <w:sz w:val="18"/>
              </w:rPr>
              <w:t>04_interpretation/lr_coefficients_standardised.png</w:t>
            </w:r>
          </w:p>
        </w:tc>
        <w:tc>
          <w:tcPr>
            <w:tcW w:type="dxa" w:w="3249"/>
            <w:vAlign w:val="center"/>
          </w:tcPr>
          <w:p>
            <w:r/>
            <w:r>
              <w:rPr>
                <w:rFonts w:ascii="Calibri" w:hAnsi="Calibri"/>
                <w:color w:val="222632"/>
                <w:sz w:val="20"/>
              </w:rPr>
              <w:t>Interpretation</w:t>
            </w:r>
          </w:p>
        </w:tc>
        <w:tc>
          <w:tcPr>
            <w:tcW w:type="dxa" w:w="3249"/>
            <w:vAlign w:val="center"/>
          </w:tcPr>
          <w:p>
            <w:r/>
            <w:r>
              <w:rPr>
                <w:rFonts w:ascii="Calibri" w:hAnsi="Calibri"/>
                <w:color w:val="222632"/>
                <w:sz w:val="20"/>
              </w:rPr>
              <w:t>LR coefficients</w:t>
            </w:r>
          </w:p>
        </w:tc>
      </w:tr>
      <w:tr>
        <w:tc>
          <w:tcPr>
            <w:tcW w:type="dxa" w:w="3249"/>
            <w:vAlign w:val="center"/>
          </w:tcPr>
          <w:p>
            <w:r/>
            <w:r>
              <w:rPr>
                <w:rFonts w:ascii="Consolas" w:hAnsi="Consolas"/>
                <w:color w:val="1F2D5C"/>
                <w:sz w:val="18"/>
              </w:rPr>
              <w:t>04_interpretation/lgbm_importance_top20.png</w:t>
            </w:r>
          </w:p>
        </w:tc>
        <w:tc>
          <w:tcPr>
            <w:tcW w:type="dxa" w:w="3249"/>
            <w:vAlign w:val="center"/>
          </w:tcPr>
          <w:p>
            <w:r/>
            <w:r>
              <w:rPr>
                <w:rFonts w:ascii="Calibri" w:hAnsi="Calibri"/>
                <w:color w:val="222632"/>
                <w:sz w:val="20"/>
              </w:rPr>
              <w:t>Interpretation</w:t>
            </w:r>
          </w:p>
        </w:tc>
        <w:tc>
          <w:tcPr>
            <w:tcW w:type="dxa" w:w="3249"/>
            <w:vAlign w:val="center"/>
          </w:tcPr>
          <w:p>
            <w:r/>
            <w:r>
              <w:rPr>
                <w:rFonts w:ascii="Calibri" w:hAnsi="Calibri"/>
                <w:color w:val="222632"/>
                <w:sz w:val="20"/>
              </w:rPr>
              <w:t>LightGBM importance</w:t>
            </w:r>
          </w:p>
        </w:tc>
      </w:tr>
      <w:tr>
        <w:tc>
          <w:tcPr>
            <w:tcW w:type="dxa" w:w="3249"/>
            <w:vAlign w:val="center"/>
          </w:tcPr>
          <w:p>
            <w:r/>
            <w:r>
              <w:rPr>
                <w:rFonts w:ascii="Consolas" w:hAnsi="Consolas"/>
                <w:color w:val="1F2D5C"/>
                <w:sz w:val="18"/>
              </w:rPr>
              <w:t>04_interpretation/feature_target_correlation.png</w:t>
            </w:r>
          </w:p>
        </w:tc>
        <w:tc>
          <w:tcPr>
            <w:tcW w:type="dxa" w:w="3249"/>
            <w:vAlign w:val="center"/>
          </w:tcPr>
          <w:p>
            <w:r/>
            <w:r>
              <w:rPr>
                <w:rFonts w:ascii="Calibri" w:hAnsi="Calibri"/>
                <w:color w:val="222632"/>
                <w:sz w:val="20"/>
              </w:rPr>
              <w:t>Interpretation</w:t>
            </w:r>
          </w:p>
        </w:tc>
        <w:tc>
          <w:tcPr>
            <w:tcW w:type="dxa" w:w="3249"/>
            <w:vAlign w:val="center"/>
          </w:tcPr>
          <w:p>
            <w:r/>
            <w:r>
              <w:rPr>
                <w:rFonts w:ascii="Calibri" w:hAnsi="Calibri"/>
                <w:color w:val="222632"/>
                <w:sz w:val="20"/>
              </w:rPr>
              <w:t>Pearson correlations</w:t>
            </w:r>
          </w:p>
        </w:tc>
      </w:tr>
      <w:tr>
        <w:tc>
          <w:tcPr>
            <w:tcW w:type="dxa" w:w="3249"/>
            <w:vAlign w:val="center"/>
          </w:tcPr>
          <w:p>
            <w:r/>
            <w:r>
              <w:rPr>
                <w:rFonts w:ascii="Consolas" w:hAnsi="Consolas"/>
                <w:color w:val="1F2D5C"/>
                <w:sz w:val="18"/>
              </w:rPr>
              <w:t>04_interpretation/domain_correlation_heatmap.png</w:t>
            </w:r>
          </w:p>
        </w:tc>
        <w:tc>
          <w:tcPr>
            <w:tcW w:type="dxa" w:w="3249"/>
            <w:vAlign w:val="center"/>
          </w:tcPr>
          <w:p>
            <w:r/>
            <w:r>
              <w:rPr>
                <w:rFonts w:ascii="Calibri" w:hAnsi="Calibri"/>
                <w:color w:val="222632"/>
                <w:sz w:val="20"/>
              </w:rPr>
              <w:t>Interpretation</w:t>
            </w:r>
          </w:p>
        </w:tc>
        <w:tc>
          <w:tcPr>
            <w:tcW w:type="dxa" w:w="3249"/>
            <w:vAlign w:val="center"/>
          </w:tcPr>
          <w:p>
            <w:r/>
            <w:r>
              <w:rPr>
                <w:rFonts w:ascii="Calibri" w:hAnsi="Calibri"/>
                <w:color w:val="222632"/>
                <w:sz w:val="20"/>
              </w:rPr>
              <w:t>Cross-feature correlations</w:t>
            </w:r>
          </w:p>
        </w:tc>
      </w:tr>
      <w:tr>
        <w:tc>
          <w:tcPr>
            <w:tcW w:type="dxa" w:w="3249"/>
            <w:vAlign w:val="center"/>
          </w:tcPr>
          <w:p>
            <w:r/>
            <w:r>
              <w:rPr>
                <w:rFonts w:ascii="Consolas" w:hAnsi="Consolas"/>
                <w:color w:val="1F2D5C"/>
                <w:sz w:val="18"/>
              </w:rPr>
              <w:t>05_sensitivity/leakage_sensitivity.png</w:t>
            </w:r>
          </w:p>
        </w:tc>
        <w:tc>
          <w:tcPr>
            <w:tcW w:type="dxa" w:w="3249"/>
            <w:vAlign w:val="center"/>
          </w:tcPr>
          <w:p>
            <w:r/>
            <w:r>
              <w:rPr>
                <w:rFonts w:ascii="Calibri" w:hAnsi="Calibri"/>
                <w:color w:val="222632"/>
                <w:sz w:val="20"/>
              </w:rPr>
              <w:t>Sensitivity</w:t>
            </w:r>
          </w:p>
        </w:tc>
        <w:tc>
          <w:tcPr>
            <w:tcW w:type="dxa" w:w="3249"/>
            <w:vAlign w:val="center"/>
          </w:tcPr>
          <w:p>
            <w:r/>
            <w:r>
              <w:rPr>
                <w:rFonts w:ascii="Calibri" w:hAnsi="Calibri"/>
                <w:color w:val="222632"/>
                <w:sz w:val="20"/>
              </w:rPr>
              <w:t>With vs without CES-D</w:t>
            </w:r>
          </w:p>
        </w:tc>
      </w:tr>
    </w:tbl>
    <w:p>
      <w:pPr>
        <w:keepNext/>
        <w:spacing w:before="240" w:after="120"/>
      </w:pPr>
      <w:r>
        <w:rPr>
          <w:rFonts w:ascii="Calibri" w:hAnsi="Calibri"/>
          <w:b/>
          <w:color w:val="1F2D5C"/>
          <w:sz w:val="32"/>
        </w:rPr>
        <w:t>Appendix B — Results Files</w:t>
      </w:r>
    </w:p>
    <w:p>
      <w:pPr>
        <w:pStyle w:val="ListBullet"/>
        <w:spacing w:after="40" w:line="288" w:lineRule="auto"/>
      </w:pPr>
      <w:r>
        <w:rPr>
          <w:rFonts w:ascii="Consolas" w:hAnsi="Consolas"/>
          <w:color w:val="1F2D5C"/>
          <w:sz w:val="20"/>
        </w:rPr>
        <w:t>results/all_experiments.csv</w:t>
      </w:r>
      <w:r>
        <w:rPr>
          <w:rFonts w:ascii="Calibri" w:hAnsi="Calibri"/>
          <w:color w:val="222632"/>
          <w:sz w:val="22"/>
        </w:rPr>
        <w:t xml:space="preserve"> — every (arm × config × model) combination, baseline run</w:t>
      </w:r>
    </w:p>
    <w:p>
      <w:pPr>
        <w:pStyle w:val="ListBullet"/>
        <w:spacing w:after="40" w:line="288" w:lineRule="auto"/>
      </w:pPr>
      <w:r>
        <w:rPr>
          <w:rFonts w:ascii="Consolas" w:hAnsi="Consolas"/>
          <w:color w:val="1F2D5C"/>
          <w:sz w:val="20"/>
        </w:rPr>
        <w:t>results/tuned_models.csv</w:t>
      </w:r>
      <w:r>
        <w:rPr>
          <w:rFonts w:ascii="Calibri" w:hAnsi="Calibri"/>
          <w:color w:val="222632"/>
          <w:sz w:val="22"/>
        </w:rPr>
        <w:t xml:space="preserve"> — best tuned model per arm with CV best AUC</w:t>
      </w:r>
    </w:p>
    <w:p>
      <w:pPr>
        <w:pStyle w:val="ListBullet"/>
        <w:spacing w:after="40" w:line="288" w:lineRule="auto"/>
      </w:pPr>
      <w:r>
        <w:rPr>
          <w:rFonts w:ascii="Consolas" w:hAnsi="Consolas"/>
          <w:color w:val="1F2D5C"/>
          <w:sz w:val="20"/>
        </w:rPr>
        <w:t>results/domain_ablation.csv</w:t>
      </w:r>
      <w:r>
        <w:rPr>
          <w:rFonts w:ascii="Calibri" w:hAnsi="Calibri"/>
          <w:color w:val="222632"/>
          <w:sz w:val="22"/>
        </w:rPr>
        <w:t xml:space="preserve"> — leave-one-domain-out AUC drops</w:t>
      </w:r>
    </w:p>
    <w:p>
      <w:pPr>
        <w:pStyle w:val="ListBullet"/>
        <w:spacing w:after="40" w:line="288" w:lineRule="auto"/>
      </w:pPr>
      <w:r>
        <w:rPr>
          <w:rFonts w:ascii="Consolas" w:hAnsi="Consolas"/>
          <w:color w:val="1F2D5C"/>
          <w:sz w:val="20"/>
        </w:rPr>
        <w:t>results/leakage_sensitivity.csv</w:t>
      </w:r>
      <w:r>
        <w:rPr>
          <w:rFonts w:ascii="Calibri" w:hAnsi="Calibri"/>
          <w:color w:val="222632"/>
          <w:sz w:val="22"/>
        </w:rPr>
        <w:t xml:space="preserve"> — full vs no-CES-D for every arm</w:t>
      </w:r>
    </w:p>
    <w:p>
      <w:pPr>
        <w:spacing w:before="120" w:after="120"/>
        <w:pBdr>
          <w:bottom w:val="single" w:sz="6" w:space="1" w:color="AAAAAA"/>
        </w:pBdr>
      </w:pPr>
    </w:p>
    <w:p>
      <w:pPr>
        <w:spacing w:after="120" w:line="300" w:lineRule="auto"/>
      </w:pPr>
      <w:r>
        <w:rPr>
          <w:rFonts w:ascii="Calibri" w:hAnsi="Calibri"/>
          <w:i/>
          <w:color w:val="222632"/>
          <w:sz w:val="22"/>
        </w:rPr>
        <w:t>End of report.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