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Malgun Gothic" w:cs="Malgun Gothic" w:eastAsia="Malgun Gothic" w:hAnsi="Malgun Gothic"/>
          <w:color w:val="666666"/>
          <w:sz w:val="22"/>
          <w:szCs w:val="22"/>
        </w:rPr>
        <w:t xml:space="preserve">풍력 메인베어링 기본설계</w:t>
      </w:r>
    </w:p>
    <w:p>
      <w:pPr>
        <w:spacing w:after="0" w:before="160"/>
        <w:jc w:val="center"/>
      </w:pPr>
      <w:r>
        <w:rPr>
          <w:rFonts w:ascii="Malgun Gothic" w:cs="Malgun Gothic" w:eastAsia="Malgun Gothic" w:hAnsi="Malgun Gothic"/>
          <w:b/>
          <w:bCs/>
          <w:color w:val="1F3864"/>
          <w:sz w:val="38"/>
          <w:szCs w:val="38"/>
        </w:rPr>
        <w:t xml:space="preserve">Asperity Load Ratio (L</w:t>
      </w:r>
      <w:r>
        <w:rPr>
          <w:rFonts w:ascii="Malgun Gothic" w:cs="Malgun Gothic" w:eastAsia="Malgun Gothic" w:hAnsi="Malgun Gothic"/>
          <w:b/>
          <w:bCs/>
          <w:color w:val="1F3864"/>
          <w:sz w:val="26"/>
          <w:szCs w:val="26"/>
        </w:rPr>
        <w:t xml:space="preserve">a</w:t>
      </w:r>
      <w:r>
        <w:rPr>
          <w:rFonts w:ascii="Malgun Gothic" w:cs="Malgun Gothic" w:eastAsia="Malgun Gothic" w:hAnsi="Malgun Gothic"/>
          <w:b/>
          <w:bCs/>
          <w:color w:val="1F3864"/>
          <w:sz w:val="38"/>
          <w:szCs w:val="38"/>
        </w:rPr>
        <w:t xml:space="preserve">) 기반</w:t>
      </w:r>
    </w:p>
    <w:p>
      <w:pPr>
        <w:spacing w:after="0" w:before="60"/>
        <w:jc w:val="center"/>
      </w:pPr>
      <w:r>
        <w:rPr>
          <w:rFonts w:ascii="Malgun Gothic" w:cs="Malgun Gothic" w:eastAsia="Malgun Gothic" w:hAnsi="Malgun Gothic"/>
          <w:b/>
          <w:bCs/>
          <w:color w:val="1F3864"/>
          <w:sz w:val="32"/>
          <w:szCs w:val="32"/>
        </w:rPr>
        <w:t xml:space="preserve">혼합윤활 정량평가 지표화 — 문헌조사 보고서</w:t>
      </w:r>
    </w:p>
    <w:p>
      <w:pPr>
        <w:spacing w:after="0" w:before="300"/>
        <w:jc w:val="center"/>
      </w:pPr>
      <w:r>
        <w:rPr>
          <w:rFonts w:ascii="Malgun Gothic" w:cs="Malgun Gothic" w:eastAsia="Malgun Gothic" w:hAnsi="Malgun Gothic"/>
          <w:color w:val="444444"/>
          <w:sz w:val="20"/>
          <w:szCs w:val="20"/>
        </w:rPr>
        <w:t xml:space="preserve">κ / Λ 체계의 정량 분해능 한계와 L</w:t>
      </w:r>
      <w:r>
        <w:rPr>
          <w:rFonts w:ascii="Malgun Gothic" w:cs="Malgun Gothic" w:eastAsia="Malgun Gothic" w:hAnsi="Malgun Gothic"/>
          <w:color w:val="444444"/>
          <w:sz w:val="15"/>
          <w:szCs w:val="15"/>
        </w:rPr>
        <w:t xml:space="preserve">a</w:t>
      </w:r>
      <w:r>
        <w:rPr>
          <w:rFonts w:ascii="Malgun Gothic" w:cs="Malgun Gothic" w:eastAsia="Malgun Gothic" w:hAnsi="Malgun Gothic"/>
          <w:color w:val="444444"/>
          <w:sz w:val="20"/>
          <w:szCs w:val="20"/>
        </w:rPr>
        <w:t xml:space="preserve"> 도입 타당성 검토</w:t>
      </w:r>
    </w:p>
    <w:p>
      <w:pPr>
        <w:spacing w:after="0" w:before="900"/>
        <w:jc w:val="center"/>
      </w:pPr>
      <w:r>
        <w:rPr>
          <w:rFonts w:ascii="Malgun Gothic" w:cs="Malgun Gothic" w:eastAsia="Malgun Gothic" w:hAnsi="Malgun Gothic"/>
          <w:color w:val="666666"/>
          <w:sz w:val="18"/>
          <w:szCs w:val="18"/>
        </w:rPr>
        <w:t xml:space="preserve">문서번호 WMB-BD-LUB-RS-01   |   2026-07-31   |   Rev. 1</w:t>
      </w:r>
    </w:p>
    <w:p>
      <w:pPr>
        <w:spacing w:after="0" w:before="80"/>
        <w:jc w:val="center"/>
      </w:pPr>
      <w:r>
        <w:rPr>
          <w:rFonts w:ascii="Malgun Gothic" w:cs="Malgun Gothic" w:eastAsia="Malgun Gothic" w:hAnsi="Malgun Gothic"/>
          <w:color w:val="666666"/>
          <w:sz w:val="18"/>
          <w:szCs w:val="18"/>
        </w:rPr>
        <w:t xml:space="preserve">대상: 테이퍼롤러 메인베어링(TRB), 그리스 윤활</w:t>
      </w:r>
    </w:p>
    <w:p>
      <w:pPr>
        <w:spacing w:after="0" w:before="60"/>
        <w:jc w:val="center"/>
      </w:pPr>
      <w:r>
        <w:rPr>
          <w:rFonts w:ascii="Malgun Gothic" w:cs="Malgun Gothic" w:eastAsia="Malgun Gothic" w:hAnsi="Malgun Gothic"/>
          <w:color w:val="666666"/>
          <w:sz w:val="18"/>
          <w:szCs w:val="18"/>
        </w:rPr>
        <w:t xml:space="preserve">근거논문: Masjedi &amp; Khonsari, ASME J. Tribol. 134(1):011503 (2012)</w:t>
      </w:r>
    </w:p>
    <w:p>
      <w:pPr>
        <w:spacing w:after="0" w:before="50"/>
        <w:jc w:val="center"/>
      </w:pPr>
      <w:r>
        <w:rPr>
          <w:rFonts w:ascii="Malgun Gothic" w:cs="Malgun Gothic" w:eastAsia="Malgun Gothic" w:hAnsi="Malgun Gothic"/>
          <w:color w:val="C00000"/>
          <w:sz w:val="18"/>
          <w:szCs w:val="18"/>
        </w:rPr>
        <w:t xml:space="preserve">Rev.1 추가: Wu et al., Tribology Letters 70:128 (2022) 그리스 전용 공식 원문 검증 (§5)</w:t>
      </w:r>
    </w:p>
    <w:p>
      <w:pPr>
        <w:spacing w:after="0" w:before="50"/>
        <w:jc w:val="center"/>
      </w:pPr>
      <w:r>
        <w:rPr>
          <w:rFonts w:ascii="Malgun Gothic" w:cs="Malgun Gothic" w:eastAsia="Malgun Gothic" w:hAnsi="Malgun Gothic"/>
          <w:color w:val="C00000"/>
          <w:sz w:val="18"/>
          <w:szCs w:val="18"/>
        </w:rPr>
        <w:t xml:space="preserve">Rev.1 추가: Wu et al., Tribology Letters 70:128 (2022) 그리스 전용 공식 원문 검증 (§5)</w:t>
      </w:r>
    </w:p>
    <w:p>
      <w:r>
        <w:br w:type="page"/>
      </w:r>
    </w:p>
    <w:p>
      <w:pPr>
        <w:pStyle w:val="Heading1"/>
        <w:spacing w:after="120" w:before="320"/>
      </w:pPr>
      <w:r>
        <w:rPr>
          <w:rFonts w:ascii="Malgun Gothic" w:cs="Malgun Gothic" w:eastAsia="Malgun Gothic" w:hAnsi="Malgun Gothic"/>
          <w:b/>
          <w:bCs/>
          <w:color w:val="1F3864"/>
          <w:sz w:val="27"/>
          <w:szCs w:val="27"/>
        </w:rPr>
        <w:t xml:space="preserve">0. 조사 요약 (Executive Summary)</w:t>
      </w:r>
    </w:p>
    <w:p>
      <w:pPr>
        <w:spacing w:after="100" w:line="300"/>
      </w:pPr>
      <w:r>
        <w:rPr>
          <w:rFonts w:ascii="Malgun Gothic" w:cs="Malgun Gothic" w:eastAsia="Malgun Gothic" w:hAnsi="Malgun Gothic"/>
          <w:b/>
          <w:bCs/>
          <w:sz w:val="19"/>
          <w:szCs w:val="19"/>
        </w:rPr>
        <w:t xml:space="preserve">결론: </w:t>
      </w: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κ/Λ가 뭉뚱그리는 혼합윤활 영역을 정량 분해하는 유효한 보조 지표이나, </w:t>
      </w:r>
      <w:r>
        <w:rPr>
          <w:rFonts w:ascii="Malgun Gothic" w:cs="Malgun Gothic" w:eastAsia="Malgun Gothic" w:hAnsi="Malgun Gothic"/>
          <w:b/>
          <w:bCs/>
          <w:sz w:val="19"/>
          <w:szCs w:val="19"/>
        </w:rPr>
        <w:t xml:space="preserve">회전체 베어링 분야의 적용 선례가 사실상 전무</w:t>
      </w:r>
      <w:r>
        <w:rPr>
          <w:rFonts w:ascii="Malgun Gothic" w:cs="Malgun Gothic" w:eastAsia="Malgun Gothic" w:hAnsi="Malgun Gothic"/>
          <w:sz w:val="19"/>
          <w:szCs w:val="19"/>
        </w:rPr>
        <w:t xml:space="preserve">하고 표준 근거도 없다. 따라서 절대 판정값이 아니라 </w:t>
      </w:r>
      <w:r>
        <w:rPr>
          <w:rFonts w:ascii="Malgun Gothic" w:cs="Malgun Gothic" w:eastAsia="Malgun Gothic" w:hAnsi="Malgun Gothic"/>
          <w:b/>
          <w:bCs/>
          <w:sz w:val="19"/>
          <w:szCs w:val="19"/>
        </w:rPr>
        <w:t xml:space="preserve">설계안 상대비교 지표</w:t>
      </w:r>
      <w:r>
        <w:rPr>
          <w:rFonts w:ascii="Malgun Gothic" w:cs="Malgun Gothic" w:eastAsia="Malgun Gothic" w:hAnsi="Malgun Gothic"/>
          <w:sz w:val="19"/>
          <w:szCs w:val="19"/>
        </w:rPr>
        <w:t xml:space="preserve">로 도입하고, 손상 연결은 비율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가 아니라 절대 돌기하중 W</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·W 로 하는 것이 물리적으로 타당하다.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5429"/>
        <w:gridCol w:w="3276"/>
      </w:tblGrid>
      <w:tr>
        <w:trPr>
          <w:tblHeader/>
        </w:trPr>
        <w:tc>
          <w:tcPr>
            <w:tcW w:type="dxa" w:w="65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w:t>
            </w:r>
          </w:p>
        </w:tc>
        <w:tc>
          <w:tcPr>
            <w:tcW w:type="dxa" w:w="542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핵심 발견</w:t>
            </w:r>
          </w:p>
        </w:tc>
        <w:tc>
          <w:tcPr>
            <w:tcW w:type="dxa" w:w="3276"/>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근거·등급</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1</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회전체 베어링(구름베어링)에 Lₐ를 공학 평가지표로 사용한 문헌은 발견되지 않음. 인용 178건 중 대부분이 '조도보정 유막두께식'만 채택</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§4.1 【전수검증】</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Hart et al.(2022, WES)은 풍력 메인베어링 해석에 같은 논문의 유막식을 채택하고도, 같은 논문의 Lₐ 식은 쓰지 않고 Λ 임계값 판정에서 멈춤 → 문헌상 '빈 자리'가 명확</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§4.2 【원문검증】</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3</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산업계 유일한 아날로그는 SKF 마찰모델의 φ_bl. 그러나 φ_bl은 조도 σ와 하중 W를 전혀 반영하지 않아 표면사양 최적화 변수가 될 수 없음</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§4.3 【SKF 원문】</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그리스 전용 Lₐ 공식 존재 (Wu et al. 2022, Tribol. Lett. 70:128, Ostwald 유동모델). 원문 전문 검증 결과 유막식 Eq.(29)·(30)은 재현되나 ★ Lₐ 식 Eq.(31)은 논문 자체 Table 6을 142~111,237배 벗어나 사용 불가</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§5.4 【원문검증】</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4b</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그리스 물성으로 평가하면 무차원 속도 U가 두 자릿수 상승하여 기동(u=0.03 m/s)까지 전 운전점이 검증범위 내로 진입. 오일 기준의 '저속 외삽 리스크'가 상당 부분 해소됨</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§5.5 【자체계산】</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4c</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그리스 기준 유막은 오일 기준의 2.7~3.0배. Λ가 0.51~1.40 → 1.37~3.92 로 상승 → 오일식 기준 판단은 과소평가일 수 있음 (단 완전침수 전제)</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§5.5 【자체계산】</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5</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자체계산 검증: 동일 Λ=1.00 인 4개 운전점에서 Lₐ가 13.6~45.0% (3.3배)로 벌어짐 → κ/Λ 분해능 한계를 정량 입증</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§7.3 【자체계산】</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6</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자체계산 검증: 하중 증가 시 Λ는 악화(0.92→0.62)되는데 Lₐ는 개선(55→26.6%) — 순위 역전. 절대 돌기하중 Wₐ는 27.5→119.7 kN 증가</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§7.4 【자체계산】</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7</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원문 검증범위(W,U,G)가 Hart 등이 인용한 Moes 범위 M_l∈[1.41,353.55], L∈[2.97,28.20]과 완전 일치함을 계산으로 확인</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§7.1 【자체검증】</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8</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단, 조도·돌기 항은 Moes 유사성으로 환원되지 않음 → 'Moes 좌표가 범위 안'이라는 논리로 U 하한 이탈이 면제되지 않음</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§7.2 【자체증명】</w:t>
            </w:r>
          </w:p>
        </w:tc>
      </w:tr>
      <w:tr>
        <w:tc>
          <w:tcPr>
            <w:tcW w:type="dxa" w:w="65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9</w:t>
            </w:r>
          </w:p>
        </w:tc>
        <w:tc>
          <w:tcPr>
            <w:tcW w:type="dxa" w:w="542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asperity 하중분담을 판정량으로 채택한 ISO/DIN/AGMA 표준은 하나도 없음. 모든 표준은 막 파라미터(κ, λ_GF) 또는 온도 기반</w:t>
            </w:r>
          </w:p>
        </w:tc>
        <w:tc>
          <w:tcPr>
            <w:tcW w:type="dxa" w:w="327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§6.4 【전수확인】</w:t>
            </w:r>
          </w:p>
        </w:tc>
      </w:tr>
      <w:tr>
        <w:tc>
          <w:tcPr>
            <w:tcW w:type="dxa" w:w="65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10</w:t>
            </w:r>
          </w:p>
        </w:tc>
        <w:tc>
          <w:tcPr>
            <w:tcW w:type="dxa" w:w="542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ISO 281은 κ&lt;0.1 에서 명시적으로 무효이며 대안을 제시하지 않음 → 저속 대형 메인베어링에 표준적 답이 부재. Lₐ 도입의 최강 표준측 논거</w:t>
            </w:r>
          </w:p>
        </w:tc>
        <w:tc>
          <w:tcPr>
            <w:tcW w:type="dxa" w:w="327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§6.4 【NTN 원문】</w:t>
            </w:r>
          </w:p>
        </w:tc>
      </w:tr>
    </w:tbl>
    <w:p>
      <w:r>
        <w:br w:type="page"/>
      </w:r>
    </w:p>
    <w:p>
      <w:pPr>
        <w:pStyle w:val="Heading1"/>
        <w:spacing w:after="120" w:before="320"/>
      </w:pPr>
      <w:r>
        <w:rPr>
          <w:rFonts w:ascii="Malgun Gothic" w:cs="Malgun Gothic" w:eastAsia="Malgun Gothic" w:hAnsi="Malgun Gothic"/>
          <w:b/>
          <w:bCs/>
          <w:color w:val="1F3864"/>
          <w:sz w:val="27"/>
          <w:szCs w:val="27"/>
        </w:rPr>
        <w:t xml:space="preserve">1. 조사 개요</w:t>
      </w:r>
    </w:p>
    <w:p>
      <w:pPr>
        <w:pStyle w:val="Heading2"/>
        <w:spacing w:after="120" w:before="240"/>
      </w:pPr>
      <w:r>
        <w:rPr>
          <w:rFonts w:ascii="Malgun Gothic" w:cs="Malgun Gothic" w:eastAsia="Malgun Gothic" w:hAnsi="Malgun Gothic"/>
          <w:b/>
          <w:bCs/>
          <w:color w:val="2E5C8A"/>
          <w:sz w:val="22"/>
          <w:szCs w:val="22"/>
        </w:rPr>
        <w:t xml:space="preserve">1.1 배경 및 목적</w:t>
      </w:r>
    </w:p>
    <w:p>
      <w:pPr>
        <w:spacing w:after="100" w:line="300"/>
      </w:pPr>
      <w:r>
        <w:rPr>
          <w:rFonts w:ascii="Malgun Gothic" w:cs="Malgun Gothic" w:eastAsia="Malgun Gothic" w:hAnsi="Malgun Gothic"/>
          <w:sz w:val="19"/>
          <w:szCs w:val="19"/>
        </w:rPr>
        <w:t xml:space="preserve">기존 κ(점도비)·Λ(막 파라미터) 기반 평가는 '혼합윤활 영역에 있다/없다'는 판정만 제공하며, 그 안에서 얼마나 심각한지를 구분하지 못한다. 풍력 메인베어링은 저속·대형·그리스 윤활 조건으로 운전 전 구간이 이 혼합윤활 영역에 놓이므로, κ/Λ 판정은 설계 변별력을 사실상 제공하지 않는다.</w:t>
      </w:r>
    </w:p>
    <w:p>
      <w:pPr>
        <w:spacing w:after="100" w:line="300"/>
      </w:pPr>
      <w:r>
        <w:rPr>
          <w:rFonts w:ascii="Malgun Gothic" w:cs="Malgun Gothic" w:eastAsia="Malgun Gothic" w:hAnsi="Malgun Gothic"/>
          <w:sz w:val="19"/>
          <w:szCs w:val="19"/>
        </w:rPr>
        <w:t xml:space="preserve">본 조사는 Masjedi &amp; Khonsari(2012)가 제시한 asperity load ratio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 전체 접촉하중 중 조도 돌기(asperity)가 지탱하는 비율 — 를 풍력 메인베어링 윤활 성능 평가지표로 활용할 수 있는지를 (a) 선행 활용사례, (b) 경쟁 정량체계, (c) 그리스·저속 조건 보정의 3개 축으로 조사하고, 자체 계산으로 적용성을 검증한 결과를 정리한 것이다.</w:t>
      </w:r>
    </w:p>
    <w:p>
      <w:pPr>
        <w:pStyle w:val="Heading2"/>
        <w:spacing w:after="120" w:before="240"/>
      </w:pPr>
      <w:r>
        <w:rPr>
          <w:rFonts w:ascii="Malgun Gothic" w:cs="Malgun Gothic" w:eastAsia="Malgun Gothic" w:hAnsi="Malgun Gothic"/>
          <w:b/>
          <w:bCs/>
          <w:color w:val="2E5C8A"/>
          <w:sz w:val="22"/>
          <w:szCs w:val="22"/>
        </w:rPr>
        <w:t xml:space="preserve">1.2 조사 범위 및 확정 조건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항목</w:t>
            </w:r>
          </w:p>
        </w:tc>
        <w:tc>
          <w:tcPr>
            <w:tcW w:type="dxa" w:w="702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확정 내용</w:t>
            </w:r>
          </w:p>
        </w:tc>
      </w:tr>
      <w:tr>
        <w:tc>
          <w:tcPr>
            <w:tcW w:type="dxa" w:w="234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대상 베어링</w:t>
            </w:r>
          </w:p>
        </w:tc>
        <w:tc>
          <w:tcPr>
            <w:tcW w:type="dxa" w:w="702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테이퍼롤러 베어링(TRB) — 선접촉이므로 첨부 2012년 선접촉 논문식이 직접 적용됨</w:t>
            </w:r>
          </w:p>
        </w:tc>
      </w:tr>
      <w:tr>
        <w:tc>
          <w:tcPr>
            <w:tcW w:type="dxa" w:w="234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윤활 방식</w:t>
            </w:r>
          </w:p>
        </w:tc>
        <w:tc>
          <w:tcPr>
            <w:tcW w:type="dxa" w:w="702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그리스 윤활 — 원식의 완전침수(fully flooded) 오일 전제와 불일치. 보정 필요</w:t>
            </w:r>
          </w:p>
        </w:tc>
      </w:tr>
      <w:tr>
        <w:tc>
          <w:tcPr>
            <w:tcW w:type="dxa" w:w="234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산출물 범위</w:t>
            </w:r>
          </w:p>
        </w:tc>
        <w:tc>
          <w:tcPr>
            <w:tcW w:type="dxa" w:w="702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문헌조사 보고서 (계산기·설계기준 제정은 후속 과제)</w:t>
            </w:r>
          </w:p>
        </w:tc>
      </w:tr>
      <w:tr>
        <w:tc>
          <w:tcPr>
            <w:tcW w:type="dxa" w:w="234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검증범위 이탈 처리</w:t>
            </w:r>
          </w:p>
        </w:tc>
        <w:tc>
          <w:tcPr>
            <w:tcW w:type="dxa" w:w="702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상대비교 전용 지표로 한정하고, 이탈 구간을 명시적으로 플래깅</w:t>
            </w:r>
          </w:p>
        </w:tc>
      </w:tr>
    </w:tbl>
    <w:p>
      <w:pPr>
        <w:pStyle w:val="Heading2"/>
        <w:spacing w:after="120" w:before="240"/>
      </w:pPr>
      <w:r>
        <w:rPr>
          <w:rFonts w:ascii="Malgun Gothic" w:cs="Malgun Gothic" w:eastAsia="Malgun Gothic" w:hAnsi="Malgun Gothic"/>
          <w:b/>
          <w:bCs/>
          <w:color w:val="2E5C8A"/>
          <w:sz w:val="22"/>
          <w:szCs w:val="22"/>
        </w:rPr>
        <w:t xml:space="preserve">1.3 조사 방법 및 검증 등급</w:t>
      </w:r>
    </w:p>
    <w:p>
      <w:pPr>
        <w:spacing w:after="100" w:line="300"/>
      </w:pPr>
      <w:r>
        <w:rPr>
          <w:rFonts w:ascii="Malgun Gothic" w:cs="Malgun Gothic" w:eastAsia="Malgun Gothic" w:hAnsi="Malgun Gothic"/>
          <w:sz w:val="19"/>
          <w:szCs w:val="19"/>
        </w:rPr>
        <w:t xml:space="preserve">Masjedi–Khonsari 논문군 전수 추적, 원논문 인용문헌 약 100건 스크리닝, 제조사 기술문헌(SKF/Schaeffler/Timken/NTN/NSK), 국제표준(ISO/AGMA/IEC), 공공보고서(NREL) 및 풍력 전문 저널(Wind Energy Science)을 조사하였다. 확인 수준은 다음 3등급으로 표기한다.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등급</w:t>
            </w:r>
          </w:p>
        </w:tc>
        <w:tc>
          <w:tcPr>
            <w:tcW w:type="dxa" w:w="767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의미</w:t>
            </w:r>
          </w:p>
        </w:tc>
      </w:tr>
      <w:tr>
        <w:tc>
          <w:tcPr>
            <w:tcW w:type="dxa" w:w="168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【검증】</w:t>
            </w:r>
          </w:p>
        </w:tc>
        <w:tc>
          <w:tcPr>
            <w:tcW w:type="dxa" w:w="767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원문 PDF/HTML을 직접 확보하여 본문·수식·수치를 확인</w:t>
            </w:r>
          </w:p>
        </w:tc>
      </w:tr>
      <w:tr>
        <w:tc>
          <w:tcPr>
            <w:tcW w:type="dxa" w:w="168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【초록】</w:t>
            </w:r>
          </w:p>
        </w:tc>
        <w:tc>
          <w:tcPr>
            <w:tcW w:type="dxa" w:w="767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초록 또는 2차 인용까지만 확인. 본문 미확보</w:t>
            </w:r>
          </w:p>
        </w:tc>
      </w:tr>
      <w:tr>
        <w:tc>
          <w:tcPr>
            <w:tcW w:type="dxa" w:w="168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【미검증】</w:t>
            </w:r>
          </w:p>
        </w:tc>
        <w:tc>
          <w:tcPr>
            <w:tcW w:type="dxa" w:w="767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확인 실패. 인용 전 원문 대조 필수</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첨부된 원논문 PDF(Masjedi &amp; Khonsari 2012)는 본 조사에서 전문을 직접 확보·검증하였다. 따라서 원식·검증범위·사용한계에 관한 §2의 모든 서술은 1차 출처 검증분이다. 반면 후속 논문(점접촉편·트랙션편·마모편)과 그리스 확장판은 출판사 접근 제한으로 초록 수준까지만 확인되었다.</w:t>
      </w:r>
    </w:p>
    <w:p>
      <w:r>
        <w:br w:type="page"/>
      </w:r>
    </w:p>
    <w:p>
      <w:pPr>
        <w:pStyle w:val="Heading1"/>
        <w:spacing w:after="120" w:before="320"/>
      </w:pPr>
      <w:r>
        <w:rPr>
          <w:rFonts w:ascii="Malgun Gothic" w:cs="Malgun Gothic" w:eastAsia="Malgun Gothic" w:hAnsi="Malgun Gothic"/>
          <w:b/>
          <w:bCs/>
          <w:color w:val="1F3864"/>
          <w:sz w:val="27"/>
          <w:szCs w:val="27"/>
        </w:rPr>
        <w:t xml:space="preserve">2. Lₐ의 정의와 원식 — 원문 검증분</w:t>
      </w:r>
    </w:p>
    <w:p>
      <w:pPr>
        <w:pStyle w:val="Heading2"/>
        <w:spacing w:after="120" w:before="240"/>
      </w:pPr>
      <w:r>
        <w:rPr>
          <w:rFonts w:ascii="Malgun Gothic" w:cs="Malgun Gothic" w:eastAsia="Malgun Gothic" w:hAnsi="Malgun Gothic"/>
          <w:b/>
          <w:bCs/>
          <w:color w:val="2E5C8A"/>
          <w:sz w:val="22"/>
          <w:szCs w:val="22"/>
        </w:rPr>
        <w:t xml:space="preserve">2.1 정의와 이론적 위치</w:t>
      </w:r>
    </w:p>
    <w:p>
      <w:pPr>
        <w:spacing w:after="100" w:line="300"/>
      </w:pPr>
      <w:r>
        <w:rPr>
          <w:rFonts w:ascii="Malgun Gothic" w:cs="Malgun Gothic" w:eastAsia="Malgun Gothic" w:hAnsi="Malgun Gothic"/>
          <w:sz w:val="19"/>
          <w:szCs w:val="19"/>
        </w:rPr>
        <w:t xml:space="preserve">혼합 EHL에서 접촉부의 총압력은 유체압과 돌기압의 합으로 분해된다.</w:t>
      </w:r>
    </w:p>
    <w:p>
      <w:pPr>
        <w:shd w:fill="F2F4F7" w:val="clear"/>
        <w:spacing w:after="80" w:before="80"/>
      </w:pPr>
      <w:r>
        <w:rPr>
          <w:rFonts w:ascii="Consolas" w:cs="Consolas" w:eastAsia="Consolas" w:hAnsi="Consolas"/>
          <w:sz w:val="17"/>
          <w:szCs w:val="17"/>
        </w:rPr>
        <w:t xml:space="preserve">  p(x) = p_h(x) + p_a(x)                                    ... (1)</w:t>
      </w:r>
    </w:p>
    <w:p>
      <w:pPr>
        <w:spacing w:after="100" w:line="30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이 중 돌기가 지탱하는 하중의 백분율이다.</w:t>
      </w:r>
    </w:p>
    <w:p>
      <w:pPr>
        <w:shd w:fill="F2F4F7" w:val="clear"/>
        <w:spacing w:after="80" w:before="80"/>
      </w:pPr>
      <w:r>
        <w:rPr>
          <w:rFonts w:ascii="Consolas" w:cs="Consolas" w:eastAsia="Consolas" w:hAnsi="Consolas"/>
          <w:sz w:val="17"/>
          <w:szCs w:val="17"/>
        </w:rPr>
        <w:t xml:space="preserve">  L_a = 100 × ∫p_a dx / ∫(p_h + p_a) dx   [%]              ... (2)</w:t>
      </w:r>
    </w:p>
    <w:p>
      <w:pPr>
        <w:spacing w:after="100" w:line="300"/>
      </w:pPr>
      <w:r>
        <w:rPr>
          <w:rFonts w:ascii="Malgun Gothic" w:cs="Malgun Gothic" w:eastAsia="Malgun Gothic" w:hAnsi="Malgun Gothic"/>
          <w:sz w:val="19"/>
          <w:szCs w:val="19"/>
        </w:rPr>
        <w:t xml:space="preserve">원논문은 (i) Patir–Cheng 평균유동 수정 Reynolds 식, (ii) 탄성변형 적분식, (iii) Zhao–Maietta–Chang(ZMC) 탄성-탄소성-완전소성 돌기접촉 모델을 연립하여 300여 케이스를 수치해석하고, 그 결과를 무차원 5변수로 커브핏하였다.</w:t>
      </w:r>
    </w:p>
    <w:p>
      <w:pPr>
        <w:pBdr>
          <w:left w:val="single" w:color="E08A00" w:sz="18"/>
        </w:pBdr>
        <w:shd w:fill="E8F0FE" w:val="clear"/>
        <w:spacing w:after="120" w:before="60"/>
        <w:ind w:left="120"/>
      </w:pPr>
      <w:r>
        <w:rPr>
          <w:rFonts w:ascii="Malgun Gothic" w:cs="Malgun Gothic" w:eastAsia="Malgun Gothic" w:hAnsi="Malgun Gothic"/>
          <w:sz w:val="19"/>
          <w:szCs w:val="19"/>
        </w:rPr>
        <w:t xml:space="preserve">ZMC 모델 채택의 의미: Greenwood–Williamson(GW) 모델은 돌기의 탄성변형만 다루므로 조도가 커지면 돌기하중을 과대평가한다. ZMC는 탄성→탄소성→완전소성의 연속 천이를 다루며, 예측 돌기압이 GW(과대)와 CEB(과소) 사이에 위치한다. 즉 Lₐ는 경쟁 load-sharing 모델 중 상대적으로 덜 보수적인 값을 준다.</w:t>
      </w:r>
    </w:p>
    <w:p>
      <w:pPr>
        <w:pStyle w:val="Heading2"/>
        <w:spacing w:after="120" w:before="240"/>
      </w:pPr>
      <w:r>
        <w:rPr>
          <w:rFonts w:ascii="Malgun Gothic" w:cs="Malgun Gothic" w:eastAsia="Malgun Gothic" w:hAnsi="Malgun Gothic"/>
          <w:b/>
          <w:bCs/>
          <w:color w:val="2E5C8A"/>
          <w:sz w:val="22"/>
          <w:szCs w:val="22"/>
        </w:rPr>
        <w:t xml:space="preserve">2.2 원식 3종 (원문 Eq. 19~21, 검증완료)</w:t>
      </w:r>
    </w:p>
    <w:p>
      <w:pPr>
        <w:shd w:fill="F2F4F7" w:val="clear"/>
        <w:spacing w:after="80" w:before="80"/>
      </w:pPr>
      <w:r>
        <w:rPr>
          <w:rFonts w:ascii="Consolas" w:cs="Consolas" w:eastAsia="Consolas" w:hAnsi="Consolas"/>
          <w:sz w:val="17"/>
          <w:szCs w:val="17"/>
        </w:rPr>
        <w:t xml:space="preserve">  H_c   = h_c/R   = 2.691 W^(-0.135) U^(0.705) G^(0.556)</w:t>
      </w:r>
    </w:p>
    <w:p>
      <w:pPr>
        <w:shd w:fill="F2F4F7" w:val="clear"/>
        <w:spacing w:after="80" w:before="80"/>
      </w:pPr>
      <w:r>
        <w:rPr>
          <w:rFonts w:ascii="Consolas" w:cs="Consolas" w:eastAsia="Consolas" w:hAnsi="Consolas"/>
          <w:sz w:val="17"/>
          <w:szCs w:val="17"/>
        </w:rPr>
        <w:t xml:space="preserve">                    × [1 + 0.2  σ̄^(1.222) V^(0.223) W^(-0.229) U^(-0.748) G^(-0.842)]     (19)</w:t>
      </w:r>
    </w:p>
    <w:p>
      <w:pPr>
        <w:shd w:fill="F2F4F7" w:val="clear"/>
        <w:spacing w:after="80" w:before="80"/>
      </w:pPr>
      <w:r>
        <w:rPr>
          <w:rFonts w:ascii="Consolas" w:cs="Consolas" w:eastAsia="Consolas" w:hAnsi="Consolas"/>
          <w:sz w:val="17"/>
          <w:szCs w:val="17"/>
        </w:rPr>
        <w:t xml:space="preserve">  H_min = h_min/R = 1.652 W^(-0.077) U^(0.716) G^(0.695)</w:t>
      </w:r>
    </w:p>
    <w:p>
      <w:pPr>
        <w:shd w:fill="F2F4F7" w:val="clear"/>
        <w:spacing w:after="80" w:before="80"/>
      </w:pPr>
      <w:r>
        <w:rPr>
          <w:rFonts w:ascii="Consolas" w:cs="Consolas" w:eastAsia="Consolas" w:hAnsi="Consolas"/>
          <w:sz w:val="17"/>
          <w:szCs w:val="17"/>
        </w:rPr>
        <w:t xml:space="preserve">                    × [1 + 0.026 σ̄^(1.120) V^(0.185) W^(-0.312) U^(-0.809) G^(-0.977)]     (20)</w:t>
      </w:r>
    </w:p>
    <w:p>
      <w:pPr>
        <w:shd w:fill="F2F4F7" w:val="clear"/>
        <w:spacing w:after="80" w:before="80"/>
      </w:pPr>
      <w:r>
        <w:rPr>
          <w:rFonts w:ascii="Consolas" w:cs="Consolas" w:eastAsia="Consolas" w:hAnsi="Consolas"/>
          <w:sz w:val="17"/>
          <w:szCs w:val="17"/>
        </w:rPr>
        <w:t xml:space="preserve">  L_a [%]         = 0.005 W^(-0.408) U^(-0.088) G^(0.103)</w:t>
      </w:r>
    </w:p>
    <w:p>
      <w:pPr>
        <w:shd w:fill="F2F4F7" w:val="clear"/>
        <w:spacing w:after="80" w:before="80"/>
      </w:pPr>
      <w:r>
        <w:rPr>
          <w:rFonts w:ascii="Consolas" w:cs="Consolas" w:eastAsia="Consolas" w:hAnsi="Consolas"/>
          <w:sz w:val="17"/>
          <w:szCs w:val="17"/>
        </w:rPr>
        <w:t xml:space="preserve">                    × ln[1 + 4470 σ̄^(6.015) V^(1.168) W^(0.485) U^(-3.741) G^(-2.898)]     (21)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118"/>
        <w:gridCol w:w="3931"/>
      </w:tblGrid>
      <w:tr>
        <w:trPr>
          <w:tblHeader/>
        </w:trPr>
        <w:tc>
          <w:tcPr>
            <w:tcW w:type="dxa" w:w="131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기호</w:t>
            </w:r>
          </w:p>
        </w:tc>
        <w:tc>
          <w:tcPr>
            <w:tcW w:type="dxa" w:w="411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정의</w:t>
            </w:r>
          </w:p>
        </w:tc>
        <w:tc>
          <w:tcPr>
            <w:tcW w:type="dxa" w:w="3931"/>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비고</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 /(E′R) — 하중</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 = 단위접촉길이당 하중 [N/m]</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U</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μ₀u /(E′R) — 속도</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u = 유입(구름)속도 [m/s]</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α E′ — 재료</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α = 압력-점도계수</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 /R — 무차원 조도</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 = 합성 RMS 조도, Λ비와 혼동 금지</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V</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h_d /E′ — 경도</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h_d = 비커스 경도 [Pa]</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 중요: V(경도) 항의 존재. κ/Λ 체계에는 재료 경도가 아예 들어가지 않는다. Lₐ는 '같은 유막·같은 조도라도 경도가 다르면 돌기 분담이 다르다'를 표현하는 사실상 유일한 실용 폐형식이다. 다만 §7.1에서 보듯 베어링강 58~62 HRC는 V 검증 상한(0.03)에 걸쳐 있다.</w:t>
      </w:r>
    </w:p>
    <w:p>
      <w:pPr>
        <w:pStyle w:val="Heading2"/>
        <w:spacing w:after="120" w:before="240"/>
      </w:pPr>
      <w:r>
        <w:rPr>
          <w:rFonts w:ascii="Malgun Gothic" w:cs="Malgun Gothic" w:eastAsia="Malgun Gothic" w:hAnsi="Malgun Gothic"/>
          <w:b/>
          <w:bCs/>
          <w:color w:val="2E5C8A"/>
          <w:sz w:val="22"/>
          <w:szCs w:val="22"/>
        </w:rPr>
        <w:t xml:space="preserve">2.3 원문이 명시한 검증범위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파라미터</w:t>
            </w:r>
          </w:p>
        </w:tc>
        <w:tc>
          <w:tcPr>
            <w:tcW w:type="dxa" w:w="374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최소</w:t>
            </w:r>
          </w:p>
        </w:tc>
        <w:tc>
          <w:tcPr>
            <w:tcW w:type="dxa" w:w="374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최대</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 (하중)</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 × 10⁻⁵</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 × 10⁻⁴</w:t>
            </w:r>
          </w:p>
        </w:tc>
      </w:tr>
      <w:tr>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U (속도)</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 × 10⁻¹²</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 × 10⁻¹⁰</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 (재료)</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2,500</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7,500</w:t>
            </w:r>
          </w:p>
        </w:tc>
      </w:tr>
      <w:tr>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 (조도)</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 (평활)</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 × 10⁻⁵</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β̄ (돌기반경)</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 × 10⁻⁵</w:t>
            </w:r>
          </w:p>
        </w:tc>
        <w:tc>
          <w:tcPr>
            <w:tcW w:type="dxa" w:w="374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 × 10⁻³</w:t>
            </w:r>
          </w:p>
        </w:tc>
      </w:tr>
      <w:tr>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V (경도)</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0.005</w:t>
            </w:r>
          </w:p>
        </w:tc>
        <w:tc>
          <w:tcPr>
            <w:tcW w:type="dxa" w:w="374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0.03</w:t>
            </w:r>
          </w:p>
        </w:tc>
      </w:tr>
    </w:tbl>
    <w:p>
      <w:pPr>
        <w:spacing w:after="100" w:line="300"/>
      </w:pPr>
      <w:r>
        <w:rPr>
          <w:rFonts w:ascii="Malgun Gothic" w:cs="Malgun Gothic" w:eastAsia="Malgun Gothic" w:hAnsi="Malgun Gothic"/>
          <w:sz w:val="19"/>
          <w:szCs w:val="19"/>
        </w:rPr>
        <w:t xml:space="preserve">부수 조건 및 정확도: σ̄/β̄ = 0.01 고정, nβσ = 0.05 가정, 가우시안 조도 분포. 커브핏 오차는 H_c 최대 7.41%, H_min 최대 10.41%, Lₐ 최대 5.97%p.</w:t>
      </w:r>
    </w:p>
    <w:p>
      <w:pPr>
        <w:spacing w:after="100" w:line="300"/>
      </w:pPr>
      <w:r>
        <w:rPr>
          <w:rFonts w:ascii="Malgun Gothic" w:cs="Malgun Gothic" w:eastAsia="Malgun Gothic" w:hAnsi="Malgun Gothic"/>
          <w:sz w:val="19"/>
          <w:szCs w:val="19"/>
        </w:rPr>
        <w:t xml:space="preserve">W 범위는 강재(E′=228 GPa) 기준 최대 헤르츠압 </w:t>
      </w:r>
      <w:r>
        <w:rPr>
          <w:rFonts w:ascii="Malgun Gothic" w:cs="Malgun Gothic" w:eastAsia="Malgun Gothic" w:hAnsi="Malgun Gothic"/>
          <w:b/>
          <w:bCs/>
          <w:sz w:val="19"/>
          <w:szCs w:val="19"/>
        </w:rPr>
        <w:t xml:space="preserve">0.4 ~ 2.0 GPa</w:t>
      </w:r>
      <w:r>
        <w:rPr>
          <w:rFonts w:ascii="Malgun Gothic" w:cs="Malgun Gothic" w:eastAsia="Malgun Gothic" w:hAnsi="Malgun Gothic"/>
          <w:sz w:val="19"/>
          <w:szCs w:val="19"/>
        </w:rPr>
        <w:t xml:space="preserve">에 대응하고, V 상한 0.03은 </w:t>
      </w:r>
      <w:r>
        <w:rPr>
          <w:rFonts w:ascii="Malgun Gothic" w:cs="Malgun Gothic" w:eastAsia="Malgun Gothic" w:hAnsi="Malgun Gothic"/>
          <w:b/>
          <w:bCs/>
          <w:sz w:val="19"/>
          <w:szCs w:val="19"/>
        </w:rPr>
        <w:t xml:space="preserve">60 HRC</w:t>
      </w:r>
      <w:r>
        <w:rPr>
          <w:rFonts w:ascii="Malgun Gothic" w:cs="Malgun Gothic" w:eastAsia="Malgun Gothic" w:hAnsi="Malgun Gothic"/>
          <w:sz w:val="19"/>
          <w:szCs w:val="19"/>
        </w:rPr>
        <w:t xml:space="preserve">에 대응한다.</w:t>
      </w:r>
    </w:p>
    <w:p>
      <w:pPr>
        <w:pStyle w:val="Heading2"/>
        <w:spacing w:after="120" w:before="240"/>
      </w:pPr>
      <w:r>
        <w:rPr>
          <w:rFonts w:ascii="Malgun Gothic" w:cs="Malgun Gothic" w:eastAsia="Malgun Gothic" w:hAnsi="Malgun Gothic"/>
          <w:b/>
          <w:bCs/>
          <w:color w:val="2E5C8A"/>
          <w:sz w:val="22"/>
          <w:szCs w:val="22"/>
        </w:rPr>
        <w:t xml:space="preserve">2.4 원문이 명시한 사용 한계 — 반드시 준수</w:t>
      </w:r>
    </w:p>
    <w:p>
      <w:pPr>
        <w:pStyle w:val="ListParagraph"/>
        <w:numPr>
          <w:ilvl w:val="0"/>
          <w:numId w:val="2"/>
        </w:numPr>
        <w:spacing w:after="60" w:line="290"/>
      </w:pPr>
      <w:r>
        <w:rPr>
          <w:rFonts w:ascii="Malgun Gothic" w:cs="Malgun Gothic" w:eastAsia="Malgun Gothic" w:hAnsi="Malgun Gothic"/>
          <w:b/>
          <w:bCs/>
          <w:sz w:val="19"/>
          <w:szCs w:val="19"/>
        </w:rPr>
        <w:t xml:space="preserve">Λ = h_min/σ &lt; 0.5 인 경우 Patir–Cheng 수정 Reynolds 식 자체가 무효</w:t>
      </w:r>
      <w:r>
        <w:rPr>
          <w:rFonts w:ascii="Malgun Gothic" w:cs="Malgun Gothic" w:eastAsia="Malgun Gothic" w:hAnsi="Malgun Gothic"/>
          <w:sz w:val="19"/>
          <w:szCs w:val="19"/>
        </w:rPr>
        <w:t xml:space="preserve">. 이 경우 EHL이 아니라 경계윤활 영역으로 취급해야 한다. (원문 §5)</w:t>
      </w:r>
    </w:p>
    <w:p>
      <w:pPr>
        <w:pStyle w:val="ListParagraph"/>
        <w:numPr>
          <w:ilvl w:val="0"/>
          <w:numId w:val="2"/>
        </w:numPr>
        <w:spacing w:after="60" w:line="29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b/>
          <w:bCs/>
          <w:sz w:val="19"/>
          <w:szCs w:val="19"/>
        </w:rPr>
        <w:t xml:space="preserve"> &gt; 70% 인 경우 결과를 주의해서 사용</w:t>
      </w:r>
      <w:r>
        <w:rPr>
          <w:rFonts w:ascii="Malgun Gothic" w:cs="Malgun Gothic" w:eastAsia="Malgun Gothic" w:hAnsi="Malgun Gothic"/>
          <w:sz w:val="19"/>
          <w:szCs w:val="19"/>
        </w:rPr>
        <w:t xml:space="preserve">. Λ &gt; 0.5 이더라도 건접촉에 근접한 거동이 되기 때문. 통상 매우 거친 표면 + 저하중 조합에서 발생.</w:t>
      </w:r>
    </w:p>
    <w:p>
      <w:pPr>
        <w:pStyle w:val="ListParagraph"/>
        <w:numPr>
          <w:ilvl w:val="0"/>
          <w:numId w:val="2"/>
        </w:numPr>
        <w:spacing w:after="60" w:line="290"/>
      </w:pPr>
      <w:r>
        <w:rPr>
          <w:rFonts w:ascii="Malgun Gothic" w:cs="Malgun Gothic" w:eastAsia="Malgun Gothic" w:hAnsi="Malgun Gothic"/>
          <w:sz w:val="19"/>
          <w:szCs w:val="19"/>
        </w:rPr>
        <w:t xml:space="preserve">통계적 접근이므로 유막두께 h는 두 표면 평균선 사이의 거리이며, 돌기 정점 간 국부 거리가 아니다. 결정론적 관점의 실제 최소유막은 0이 될 수 있다.</w:t>
      </w:r>
    </w:p>
    <w:p>
      <w:pPr>
        <w:pStyle w:val="ListParagraph"/>
        <w:numPr>
          <w:ilvl w:val="0"/>
          <w:numId w:val="2"/>
        </w:numPr>
        <w:spacing w:after="60" w:line="290"/>
      </w:pPr>
      <w:r>
        <w:rPr>
          <w:rFonts w:ascii="Malgun Gothic" w:cs="Malgun Gothic" w:eastAsia="Malgun Gothic" w:hAnsi="Malgun Gothic"/>
          <w:sz w:val="19"/>
          <w:szCs w:val="19"/>
        </w:rPr>
        <w:t xml:space="preserve">등온·완전침수·뉴턴 유체 전제.</w:t>
      </w:r>
    </w:p>
    <w:p>
      <w:pPr>
        <w:pStyle w:val="Heading2"/>
        <w:spacing w:after="120" w:before="240"/>
      </w:pPr>
      <w:r>
        <w:rPr>
          <w:rFonts w:ascii="Malgun Gothic" w:cs="Malgun Gothic" w:eastAsia="Malgun Gothic" w:hAnsi="Malgun Gothic"/>
          <w:b/>
          <w:bCs/>
          <w:color w:val="2E5C8A"/>
          <w:sz w:val="22"/>
          <w:szCs w:val="22"/>
        </w:rPr>
        <w:t xml:space="preserve">2.5 원문 계산 예제 (검증용 기준점)</w:t>
      </w:r>
    </w:p>
    <w:p>
      <w:pPr>
        <w:spacing w:after="100" w:line="300"/>
      </w:pPr>
      <w:r>
        <w:rPr>
          <w:rFonts w:ascii="Malgun Gothic" w:cs="Malgun Gothic" w:eastAsia="Malgun Gothic" w:hAnsi="Malgun Gothic"/>
          <w:sz w:val="19"/>
          <w:szCs w:val="19"/>
        </w:rPr>
        <w:t xml:space="preserve">두 개의 동일 강재 롤러(R₁=R₂=25.4 mm, 폭 12.7 mm), 하중 4 kN, 구름속도 1 m/s, SAE 20W(μ₀=0.048 Pa·s, α=2.03×10⁻⁸ m²/N), 양면 연삭 σ=0.3 μm(합성 0.424 μm), 비커스 240 kg/mm².</w:t>
      </w:r>
    </w:p>
    <w:p>
      <w:pPr>
        <w:shd w:fill="F2F4F7" w:val="clear"/>
        <w:spacing w:after="80" w:before="80"/>
      </w:pPr>
      <w:r>
        <w:rPr>
          <w:rFonts w:ascii="Consolas" w:cs="Consolas" w:eastAsia="Consolas" w:hAnsi="Consolas"/>
          <w:sz w:val="17"/>
          <w:szCs w:val="17"/>
        </w:rPr>
        <w:t xml:space="preserve">  W = 1.09e-4,  U = 1.66e-11,  G = 4628,  σ̄ = 3.34e-5,  V = 0.0103</w:t>
      </w:r>
    </w:p>
    <w:p>
      <w:pPr>
        <w:shd w:fill="F2F4F7" w:val="clear"/>
        <w:spacing w:after="80" w:before="80"/>
      </w:pPr>
      <w:r>
        <w:rPr>
          <w:rFonts w:ascii="Consolas" w:cs="Consolas" w:eastAsia="Consolas" w:hAnsi="Consolas"/>
          <w:sz w:val="17"/>
          <w:szCs w:val="17"/>
        </w:rPr>
        <w:t xml:space="preserve">  → h_c = 0.399 µm,  h_min = 0.378 µm,  L_a = 26.02 %</w:t>
      </w:r>
    </w:p>
    <w:p>
      <w:pPr>
        <w:spacing w:after="100" w:line="300"/>
      </w:pPr>
      <w:r>
        <w:rPr>
          <w:rFonts w:ascii="Malgun Gothic" w:cs="Malgun Gothic" w:eastAsia="Malgun Gothic" w:hAnsi="Malgun Gothic"/>
          <w:sz w:val="19"/>
          <w:szCs w:val="19"/>
        </w:rPr>
        <w:t xml:space="preserve">계산기 구현 시 이 예제를 회귀 검증(regression test) 기준점으로 사용할 것을 권고한다.</w:t>
      </w:r>
    </w:p>
    <w:p>
      <w:r>
        <w:br w:type="page"/>
      </w:r>
    </w:p>
    <w:p>
      <w:pPr>
        <w:pStyle w:val="Heading1"/>
        <w:spacing w:after="120" w:before="320"/>
      </w:pPr>
      <w:r>
        <w:rPr>
          <w:rFonts w:ascii="Malgun Gothic" w:cs="Malgun Gothic" w:eastAsia="Malgun Gothic" w:hAnsi="Malgun Gothic"/>
          <w:b/>
          <w:bCs/>
          <w:color w:val="1F3864"/>
          <w:sz w:val="27"/>
          <w:szCs w:val="27"/>
        </w:rPr>
        <w:t xml:space="preserve">3. 계보와 문헌 지형</w:t>
      </w:r>
    </w:p>
    <w:p>
      <w:pPr>
        <w:pStyle w:val="Heading2"/>
        <w:spacing w:after="120" w:before="240"/>
      </w:pPr>
      <w:r>
        <w:rPr>
          <w:rFonts w:ascii="Malgun Gothic" w:cs="Malgun Gothic" w:eastAsia="Malgun Gothic" w:hAnsi="Malgun Gothic"/>
          <w:b/>
          <w:bCs/>
          <w:color w:val="2E5C8A"/>
          <w:sz w:val="22"/>
          <w:szCs w:val="22"/>
        </w:rPr>
        <w:t xml:space="preserve">3.1 Masjedi–Khonsari 논문군 (2012 ~ 2017, 8편)</w:t>
      </w:r>
    </w:p>
    <w:p>
      <w:pPr>
        <w:spacing w:after="100" w:line="300"/>
      </w:pPr>
      <w:r>
        <w:rPr>
          <w:rFonts w:ascii="Malgun Gothic" w:cs="Malgun Gothic" w:eastAsia="Malgun Gothic" w:hAnsi="Malgun Gothic"/>
          <w:sz w:val="19"/>
          <w:szCs w:val="19"/>
        </w:rPr>
        <w:t xml:space="preserve">Crossref 저자 전수 조회 결과 본 계보는 2012년에 시작하여 2017년에 종료된다. 2018년 이후 Masjedi–Khonsari 공저 논문은 존재하지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2434"/>
        <w:gridCol w:w="2246"/>
      </w:tblGrid>
      <w:tr>
        <w:trPr>
          <w:tblHeader/>
        </w:trPr>
        <w:tc>
          <w:tcPr>
            <w:tcW w:type="dxa" w:w="74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연도</w:t>
            </w:r>
          </w:p>
        </w:tc>
        <w:tc>
          <w:tcPr>
            <w:tcW w:type="dxa" w:w="3931"/>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논문 / 기여</w:t>
            </w:r>
          </w:p>
        </w:tc>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출처</w:t>
            </w:r>
          </w:p>
        </w:tc>
        <w:tc>
          <w:tcPr>
            <w:tcW w:type="dxa" w:w="2246"/>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프로젝트 관련성</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2012</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선접촉 H_c·H_min·Lₐ 원식 【검증: 첨부 원문】</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ASME J. Tribol. 134(1):011503</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직접 적용 (TRB=선접촉)</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2014</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트랙션 계수 — 이론+실험 검증 (Erratum 74:181 존재)</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Tribology Int. 70:179-189</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마찰토크 연계</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2014</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표면 패턴(이방성) 보정 — 2000+ 시뮬레이션</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IMechE Part J 228(8):849-859</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연삭 줄무늬 방향 영향</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2015</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점접촉(타원) 확장 — 타원비 k 의존성 추가</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Tribology Int. 82:228-244</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SRB/볼 적용 시 필요</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2015</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기아윤활(starvation) 영향</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Tribology Int. 85:26-36</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그리스 조건 대응</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2015</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Lₐ → 트랙션·마모 공학식 (손상 연결의 핵심)</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Tribology Int. 92:184-190</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지표→설계 브릿지</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2015</w:t>
            </w:r>
          </w:p>
        </w:tc>
        <w:tc>
          <w:tcPr>
            <w:tcW w:type="dxa" w:w="393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스퍼기어 정상상태 마모율 예측 (부품 적용례)</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Wear 342-343:234-243</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적용 방법론 참고</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2017</w:t>
            </w:r>
          </w:p>
        </w:tc>
        <w:tc>
          <w:tcPr>
            <w:tcW w:type="dxa" w:w="393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연질접촉(soft contact) 확장</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IMechE Part J 231(2):263-273</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씰 재료 검토 시</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주의: 비가우시안 조도 확장판(Pei·Han et al., Tribology Int. 152:106449, 2020)은 Masjedi–Khonsari 본인의 저작이 아니라 별개 그룹(중국 후난대)의 작업이다. 인용 시 구분해야 한다. 또한 이 그룹이 §4.5의 그리스 Lₐ 논문과 풍력 메인베어링 논문을 함께 저술하고 있어, Lₐ 계열의 풍력 적용에 관한 유일한 실질적 클러스터를 형성한다.</w:t>
      </w:r>
    </w:p>
    <w:p>
      <w:pPr>
        <w:pStyle w:val="Heading2"/>
        <w:spacing w:after="120" w:before="240"/>
      </w:pPr>
      <w:r>
        <w:rPr>
          <w:rFonts w:ascii="Malgun Gothic" w:cs="Malgun Gothic" w:eastAsia="Malgun Gothic" w:hAnsi="Malgun Gothic"/>
          <w:b/>
          <w:bCs/>
          <w:color w:val="2E5C8A"/>
          <w:sz w:val="22"/>
          <w:szCs w:val="22"/>
        </w:rPr>
        <w:t xml:space="preserve">3.2 지적 계보</w:t>
      </w:r>
    </w:p>
    <w:p>
      <w:pPr>
        <w:shd w:fill="F2F4F7" w:val="clear"/>
        <w:spacing w:after="80" w:before="80"/>
      </w:pPr>
      <w:r>
        <w:rPr>
          <w:rFonts w:ascii="Consolas" w:cs="Consolas" w:eastAsia="Consolas" w:hAnsi="Consolas"/>
          <w:sz w:val="17"/>
          <w:szCs w:val="17"/>
        </w:rPr>
        <w:t xml:space="preserve">  Patir–Cheng (1978/79) ─── 유체측: 수정 Reynolds + flow factors</w:t>
      </w:r>
    </w:p>
    <w:p>
      <w:pPr>
        <w:shd w:fill="F2F4F7" w:val="clear"/>
        <w:spacing w:after="80" w:before="80"/>
      </w:pPr>
      <w:r>
        <w:rPr>
          <w:rFonts w:ascii="Consolas" w:cs="Consolas" w:eastAsia="Consolas" w:hAnsi="Consolas"/>
          <w:sz w:val="17"/>
          <w:szCs w:val="17"/>
        </w:rPr>
        <w:t xml:space="preserve">           │                             │</w:t>
      </w:r>
    </w:p>
    <w:p>
      <w:pPr>
        <w:shd w:fill="F2F4F7" w:val="clear"/>
        <w:spacing w:after="80" w:before="80"/>
      </w:pPr>
      <w:r>
        <w:rPr>
          <w:rFonts w:ascii="Consolas" w:cs="Consolas" w:eastAsia="Consolas" w:hAnsi="Consolas"/>
          <w:sz w:val="17"/>
          <w:szCs w:val="17"/>
        </w:rPr>
        <w:t xml:space="preserve">  ZMC (Zhao et al. 2000) ── 고체측: 탄소성 돌기접촉 P(d)</w:t>
      </w:r>
    </w:p>
    <w:p>
      <w:pPr>
        <w:shd w:fill="F2F4F7" w:val="clear"/>
        <w:spacing w:after="80" w:before="80"/>
      </w:pPr>
      <w:r>
        <w:rPr>
          <w:rFonts w:ascii="Consolas" w:cs="Consolas" w:eastAsia="Consolas" w:hAnsi="Consolas"/>
          <w:sz w:val="17"/>
          <w:szCs w:val="17"/>
        </w:rPr>
        <w:t xml:space="preserve">           └──────── 연립 수치해 ────────┘</w:t>
      </w:r>
    </w:p>
    <w:p>
      <w:pPr>
        <w:shd w:fill="F2F4F7" w:val="clear"/>
        <w:spacing w:after="80" w:before="80"/>
      </w:pPr>
      <w:r>
        <w:rPr>
          <w:rFonts w:ascii="Consolas" w:cs="Consolas" w:eastAsia="Consolas" w:hAnsi="Consolas"/>
          <w:sz w:val="17"/>
          <w:szCs w:val="17"/>
        </w:rPr>
        <w:t xml:space="preserve">  Johnson–Greenwood–Poon (1972)  하중분담 개념 원조 (γ₁, γ₂, 반복해)</w:t>
      </w:r>
    </w:p>
    <w:p>
      <w:pPr>
        <w:shd w:fill="F2F4F7" w:val="clear"/>
        <w:spacing w:after="80" w:before="80"/>
      </w:pPr>
      <w:r>
        <w:rPr>
          <w:rFonts w:ascii="Consolas" w:cs="Consolas" w:eastAsia="Consolas" w:hAnsi="Consolas"/>
          <w:sz w:val="17"/>
          <w:szCs w:val="17"/>
        </w:rPr>
        <w:t xml:space="preserve">       └ Gelinck–Schipper (2000) 선접촉 Stribeck 커브핏</w:t>
      </w:r>
    </w:p>
    <w:p>
      <w:pPr>
        <w:shd w:fill="F2F4F7" w:val="clear"/>
        <w:spacing w:after="80" w:before="80"/>
      </w:pPr>
      <w:r>
        <w:rPr>
          <w:rFonts w:ascii="Consolas" w:cs="Consolas" w:eastAsia="Consolas" w:hAnsi="Consolas"/>
          <w:sz w:val="17"/>
          <w:szCs w:val="17"/>
        </w:rPr>
        <w:t xml:space="preserve">            └ Lu–Khonsari–Gelinck (2006) 실험검증</w:t>
      </w:r>
    </w:p>
    <w:p>
      <w:pPr>
        <w:shd w:fill="F2F4F7" w:val="clear"/>
        <w:spacing w:after="80" w:before="80"/>
      </w:pPr>
      <w:r>
        <w:rPr>
          <w:rFonts w:ascii="Consolas" w:cs="Consolas" w:eastAsia="Consolas" w:hAnsi="Consolas"/>
          <w:sz w:val="17"/>
          <w:szCs w:val="17"/>
        </w:rPr>
        <w:t xml:space="preserve">                 └ Beheshti–Khonsari (2013) γ₂ 기반 마모 예측</w:t>
      </w:r>
    </w:p>
    <w:p>
      <w:pPr>
        <w:shd w:fill="F2F4F7" w:val="clear"/>
        <w:spacing w:after="80" w:before="80"/>
      </w:pPr>
      <w:r>
        <w:rPr>
          <w:rFonts w:ascii="Consolas" w:cs="Consolas" w:eastAsia="Consolas" w:hAnsi="Consolas"/>
          <w:sz w:val="17"/>
          <w:szCs w:val="17"/>
        </w:rPr>
        <w:t xml:space="preserve">                      ▼</w:t>
      </w:r>
    </w:p>
    <w:p>
      <w:pPr>
        <w:shd w:fill="F2F4F7" w:val="clear"/>
        <w:spacing w:after="80" w:before="80"/>
      </w:pPr>
      <w:r>
        <w:rPr>
          <w:rFonts w:ascii="Consolas" w:cs="Consolas" w:eastAsia="Consolas" w:hAnsi="Consolas"/>
          <w:sz w:val="17"/>
          <w:szCs w:val="17"/>
        </w:rPr>
        <w:t xml:space="preserve">       Masjedi–Khonsari (2012) : 반복해 → 명시적 폐형식 L_a</w:t>
      </w:r>
    </w:p>
    <w:p>
      <w:pPr>
        <w:spacing w:after="100" w:line="30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의 고유 기여는 물리적 신규성이 아니라 </w:t>
      </w:r>
      <w:r>
        <w:rPr>
          <w:rFonts w:ascii="Malgun Gothic" w:cs="Malgun Gothic" w:eastAsia="Malgun Gothic" w:hAnsi="Malgun Gothic"/>
          <w:b/>
          <w:bCs/>
          <w:sz w:val="19"/>
          <w:szCs w:val="19"/>
        </w:rPr>
        <w:t xml:space="preserve">실용성</w:t>
      </w:r>
      <w:r>
        <w:rPr>
          <w:rFonts w:ascii="Malgun Gothic" w:cs="Malgun Gothic" w:eastAsia="Malgun Gothic" w:hAnsi="Malgun Gothic"/>
          <w:sz w:val="19"/>
          <w:szCs w:val="19"/>
        </w:rPr>
        <w:t xml:space="preserve">이다. 선행 모델이 모두 비선형 연립방정식의 반복해를 요구한 반면,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단일 대수식으로 축약되어 스프레드시트 수준에서 즉시 계산된다. 대가는 커브핏 유효범위 밖에서의 신뢰성 붕괴이다.</w:t>
      </w:r>
    </w:p>
    <w:p>
      <w:pPr>
        <w:pBdr>
          <w:left w:val="single" w:color="E08A00" w:sz="18"/>
        </w:pBdr>
        <w:shd w:fill="FDECEA" w:val="clear"/>
        <w:spacing w:after="120" w:before="60"/>
        <w:ind w:left="120"/>
      </w:pPr>
      <w:r>
        <w:rPr>
          <w:rFonts w:ascii="Malgun Gothic" w:cs="Malgun Gothic" w:eastAsia="Malgun Gothic" w:hAnsi="Malgun Gothic"/>
          <w:sz w:val="19"/>
          <w:szCs w:val="19"/>
        </w:rPr>
        <w:t xml:space="preserve">Khonsari 연구실 내부에서도 Lₐ는 주류가 아니다. Beheshti(γ₂ = W/Wₐ)와 Akbarzadeh(JGP γ₁/γ₂) 계열이 병존하며, Lₐ는 Masjedi 개인 계보에 국한된다. 이는 Lₐ의 권위를 과대평가하지 않아야 할 근거이다.</w:t>
      </w:r>
    </w:p>
    <w:p>
      <w:pPr>
        <w:pStyle w:val="Heading2"/>
        <w:spacing w:after="120" w:before="240"/>
      </w:pPr>
      <w:r>
        <w:rPr>
          <w:rFonts w:ascii="Malgun Gothic" w:cs="Malgun Gothic" w:eastAsia="Malgun Gothic" w:hAnsi="Malgun Gothic"/>
          <w:b/>
          <w:bCs/>
          <w:color w:val="2E5C8A"/>
          <w:sz w:val="22"/>
          <w:szCs w:val="22"/>
        </w:rPr>
        <w:t xml:space="preserve">3.3 Lₐ → 표면손상 연결식 (2015년 논문, 초록·본문 부분검증)</w:t>
      </w:r>
    </w:p>
    <w:p>
      <w:pPr>
        <w:spacing w:after="100" w:line="300"/>
      </w:pPr>
      <w:r>
        <w:rPr>
          <w:rFonts w:ascii="Malgun Gothic" w:cs="Malgun Gothic" w:eastAsia="Malgun Gothic" w:hAnsi="Malgun Gothic"/>
          <w:sz w:val="19"/>
          <w:szCs w:val="19"/>
        </w:rPr>
        <w:t xml:space="preserve">혼합 마찰계수 분해:</w:t>
      </w:r>
    </w:p>
    <w:p>
      <w:pPr>
        <w:shd w:fill="F2F4F7" w:val="clear"/>
        <w:spacing w:after="80" w:before="80"/>
      </w:pPr>
      <w:r>
        <w:rPr>
          <w:rFonts w:ascii="Consolas" w:cs="Consolas" w:eastAsia="Consolas" w:hAnsi="Consolas"/>
          <w:sz w:val="17"/>
          <w:szCs w:val="17"/>
        </w:rPr>
        <w:t xml:space="preserve">  f = (L_a/100)·f_c + (2bB·τ_lim/F)·[1 − exp(μ_avg·u_s /(τ_lim·h_c))]</w:t>
      </w:r>
    </w:p>
    <w:p>
      <w:pPr>
        <w:spacing w:after="100" w:line="300"/>
      </w:pPr>
      <w:r>
        <w:rPr>
          <w:rFonts w:ascii="Malgun Gothic" w:cs="Malgun Gothic" w:eastAsia="Malgun Gothic" w:hAnsi="Malgun Gothic"/>
          <w:sz w:val="19"/>
          <w:szCs w:val="19"/>
        </w:rPr>
        <w:t xml:space="preserve">윤활 마모율 (Archard 하중항을 돌기 지지 하중으로 치환):</w:t>
      </w:r>
    </w:p>
    <w:p>
      <w:pPr>
        <w:shd w:fill="F2F4F7" w:val="clear"/>
        <w:spacing w:after="80" w:before="80"/>
      </w:pPr>
      <w:r>
        <w:rPr>
          <w:rFonts w:ascii="Consolas" w:cs="Consolas" w:eastAsia="Consolas" w:hAnsi="Consolas"/>
          <w:sz w:val="17"/>
          <w:szCs w:val="17"/>
        </w:rPr>
        <w:t xml:space="preserve">  Ω_lub = K·ψ·(L_a/100)·F·u_s / H     (K ≈ 5×10⁻⁴,  ψ = fractional film defect)</w:t>
      </w:r>
    </w:p>
    <w:p>
      <w:pPr>
        <w:spacing w:after="100" w:line="300"/>
      </w:pPr>
      <w:r>
        <w:rPr>
          <w:rFonts w:ascii="Malgun Gothic" w:cs="Malgun Gothic" w:eastAsia="Malgun Gothic" w:hAnsi="Malgun Gothic"/>
          <w:sz w:val="19"/>
          <w:szCs w:val="19"/>
        </w:rPr>
        <w:t xml:space="preserve">★ 이 두 식이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를 '평가 지표'에서 '설계 지표'로 전환하는 브릿지이며, 동시에 </w:t>
      </w:r>
      <w:r>
        <w:rPr>
          <w:rFonts w:ascii="Malgun Gothic" w:cs="Malgun Gothic" w:eastAsia="Malgun Gothic" w:hAnsi="Malgun Gothic"/>
          <w:b/>
          <w:bCs/>
          <w:sz w:val="19"/>
          <w:szCs w:val="19"/>
        </w:rPr>
        <w:t xml:space="preserve">미끄럼속도 u_s(=SRR)가 L</w:t>
      </w:r>
      <w:r>
        <w:rPr>
          <w:rFonts w:ascii="Malgun Gothic" w:cs="Malgun Gothic" w:eastAsia="Malgun Gothic" w:hAnsi="Malgun Gothic"/>
          <w:b/>
          <w:bCs/>
          <w:sz w:val="14"/>
          <w:szCs w:val="14"/>
        </w:rPr>
        <w:t xml:space="preserve">a</w:t>
      </w:r>
      <w:r>
        <w:rPr>
          <w:rFonts w:ascii="Malgun Gothic" w:cs="Malgun Gothic" w:eastAsia="Malgun Gothic" w:hAnsi="Malgun Gothic"/>
          <w:b/>
          <w:bCs/>
          <w:sz w:val="19"/>
          <w:szCs w:val="19"/>
        </w:rPr>
        <w:t xml:space="preserve"> 바깥에서 곱해져 들어온다는 사실</w:t>
      </w:r>
      <w:r>
        <w:rPr>
          <w:rFonts w:ascii="Malgun Gothic" w:cs="Malgun Gothic" w:eastAsia="Malgun Gothic" w:hAnsi="Malgun Gothic"/>
          <w:sz w:val="19"/>
          <w:szCs w:val="19"/>
        </w:rPr>
        <w:t xml:space="preserve">을 보여준다.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자체에는 SRR이 전혀 포함되지 않는다.</w:t>
      </w:r>
    </w:p>
    <w:p>
      <w:r>
        <w:br w:type="page"/>
      </w:r>
    </w:p>
    <w:p>
      <w:pPr>
        <w:pStyle w:val="Heading1"/>
        <w:spacing w:after="120" w:before="320"/>
      </w:pPr>
      <w:r>
        <w:rPr>
          <w:rFonts w:ascii="Malgun Gothic" w:cs="Malgun Gothic" w:eastAsia="Malgun Gothic" w:hAnsi="Malgun Gothic"/>
          <w:b/>
          <w:bCs/>
          <w:color w:val="1F3864"/>
          <w:sz w:val="27"/>
          <w:szCs w:val="27"/>
        </w:rPr>
        <w:t xml:space="preserve">4. [핵심] Lₐ 활용 선행사례 조사 결과</w:t>
      </w:r>
    </w:p>
    <w:p>
      <w:pPr>
        <w:pStyle w:val="Heading2"/>
        <w:spacing w:after="120" w:before="240"/>
      </w:pPr>
      <w:r>
        <w:rPr>
          <w:rFonts w:ascii="Malgun Gothic" w:cs="Malgun Gothic" w:eastAsia="Malgun Gothic" w:hAnsi="Malgun Gothic"/>
          <w:b/>
          <w:bCs/>
          <w:color w:val="2E5C8A"/>
          <w:sz w:val="22"/>
          <w:szCs w:val="22"/>
        </w:rPr>
        <w:t xml:space="preserve">4.1 회전체 베어링 — 적용 선례 없음</w:t>
      </w:r>
    </w:p>
    <w:p>
      <w:pPr>
        <w:pBdr>
          <w:left w:val="single" w:color="E08A00" w:sz="18"/>
        </w:pBdr>
        <w:shd w:fill="FDECEA" w:val="clear"/>
        <w:spacing w:after="120" w:before="60"/>
        <w:ind w:left="120"/>
      </w:pPr>
      <w:r>
        <w:rPr>
          <w:rFonts w:ascii="Malgun Gothic" w:cs="Malgun Gothic" w:eastAsia="Malgun Gothic" w:hAnsi="Malgun Gothic"/>
          <w:sz w:val="19"/>
          <w:szCs w:val="19"/>
        </w:rPr>
        <w:t xml:space="preserve">★ 부정적 발견 (Negative Finding): 원논문은 178회 인용되었으나, 개별 본문 검증 결과 Lₐ를 회전체 베어링의 공학 평가지표로 사용한 문헌은 발견되지 않았다. 인용의 대부분은 '조도 보정된 유막두께식'을 쓰기 위한 것이며, 베어링 분야는 여전히 Λ(또는 κ)를 윤활영역 판정 지표로 사용한다.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995"/>
        <w:gridCol w:w="1685"/>
      </w:tblGrid>
      <w:tr>
        <w:trPr>
          <w:tblHeader/>
        </w:trPr>
        <w:tc>
          <w:tcPr>
            <w:tcW w:type="dxa" w:w="280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문헌</w:t>
            </w:r>
          </w:p>
        </w:tc>
        <w:tc>
          <w:tcPr>
            <w:tcW w:type="dxa" w:w="187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대상</w:t>
            </w:r>
          </w:p>
        </w:tc>
        <w:tc>
          <w:tcPr>
            <w:tcW w:type="dxa" w:w="299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Masjedi–Khonsari 사용 방식</w:t>
            </w:r>
          </w:p>
        </w:tc>
        <w:tc>
          <w:tcPr>
            <w:tcW w:type="dxa" w:w="168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등급</w:t>
            </w:r>
          </w:p>
        </w:tc>
      </w:tr>
      <w:tr>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Hart, de Mello, Dwyer-Joyce (2022) WES 7:1533</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풍력 메인베어링 (복열 SRB, 1.5 MW)</w:t>
            </w:r>
          </w:p>
        </w:tc>
        <w:tc>
          <w:tcPr>
            <w:tcW w:type="dxa" w:w="299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유막 조도보정계수 Ξ_l 채택. Lₐ 미사용 → Λ 임계값 판정</w:t>
            </w:r>
          </w:p>
        </w:tc>
        <w:tc>
          <w:tcPr>
            <w:tcW w:type="dxa" w:w="168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【검증】</w:t>
            </w:r>
          </w:p>
        </w:tc>
      </w:tr>
      <w:tr>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Hart et al. (2022) WES 7:1021 (Part 1)</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풍력 메인베어링 리뷰</w:t>
            </w:r>
          </w:p>
        </w:tc>
        <w:tc>
          <w:tcPr>
            <w:tcW w:type="dxa" w:w="299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선/점접촉 보정계수 모두 축어 인용. Lₐ 논의 자체가 없음</w:t>
            </w:r>
          </w:p>
        </w:tc>
        <w:tc>
          <w:tcPr>
            <w:tcW w:type="dxa" w:w="168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【검증】</w:t>
            </w:r>
          </w:p>
        </w:tc>
      </w:tr>
      <w:tr>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Cao et al. (2023) Lubricants 11(3):97</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TRB (본 프로젝트와 동일 형식)</w:t>
            </w:r>
          </w:p>
        </w:tc>
        <w:tc>
          <w:tcPr>
            <w:tcW w:type="dxa" w:w="299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인용은 하나 돌기하중은 Kogut–Etsion 완전수치해석 사용</w:t>
            </w:r>
          </w:p>
        </w:tc>
        <w:tc>
          <w:tcPr>
            <w:tcW w:type="dxa" w:w="168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【검증】</w:t>
            </w:r>
          </w:p>
        </w:tc>
      </w:tr>
      <w:tr>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Wu et al. (2026) Lubricants 14(3):108</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풍력 피치베어링 (그리스)</w:t>
            </w:r>
          </w:p>
        </w:tc>
        <w:tc>
          <w:tcPr>
            <w:tcW w:type="dxa" w:w="299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중앙유막 조도보정항만 채택. 수명수정은 점도비 κ</w:t>
            </w:r>
          </w:p>
        </w:tc>
        <w:tc>
          <w:tcPr>
            <w:tcW w:type="dxa" w:w="168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【검증】</w:t>
            </w:r>
          </w:p>
        </w:tc>
      </w:tr>
      <w:tr>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Prajapati et al. (2024) Lubricants 12(3):71</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일반 counterformal 접촉</w:t>
            </w:r>
          </w:p>
        </w:tc>
        <w:tc>
          <w:tcPr>
            <w:tcW w:type="dxa" w:w="299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진성 사용 — 자체 결정론 해와 Lₐ 식을 직접 대조 (Fig.13)</w:t>
            </w:r>
          </w:p>
        </w:tc>
        <w:tc>
          <w:tcPr>
            <w:tcW w:type="dxa" w:w="168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【검증】</w:t>
            </w:r>
          </w:p>
        </w:tc>
      </w:tr>
      <w:tr>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Wu, Han, Tao, Pei (2023) Tribology Int. 179:108181</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풍력 메인베어링 윤활 신뢰성</w:t>
            </w:r>
          </w:p>
        </w:tc>
        <w:tc>
          <w:tcPr>
            <w:tcW w:type="dxa" w:w="299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동일 그룹이 Lₐ 계열 연구 수행 중 — 최우선 후속 확인 대상</w:t>
            </w:r>
          </w:p>
        </w:tc>
        <w:tc>
          <w:tcPr>
            <w:tcW w:type="dxa" w:w="168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【미검증】</w:t>
            </w:r>
          </w:p>
        </w:tc>
      </w:tr>
    </w:tbl>
    <w:p>
      <w:pPr>
        <w:pStyle w:val="Heading2"/>
        <w:spacing w:after="120" w:before="240"/>
      </w:pPr>
      <w:r>
        <w:rPr>
          <w:rFonts w:ascii="Malgun Gothic" w:cs="Malgun Gothic" w:eastAsia="Malgun Gothic" w:hAnsi="Malgun Gothic"/>
          <w:b/>
          <w:bCs/>
          <w:color w:val="2E5C8A"/>
          <w:sz w:val="22"/>
          <w:szCs w:val="22"/>
        </w:rPr>
        <w:t xml:space="preserve">4.2 ★ 풍력 분야의 '빈 자리' — 본 제안의 최대 논거</w:t>
      </w:r>
    </w:p>
    <w:p>
      <w:pPr>
        <w:spacing w:after="100" w:line="300"/>
      </w:pPr>
      <w:r>
        <w:rPr>
          <w:rFonts w:ascii="Malgun Gothic" w:cs="Malgun Gothic" w:eastAsia="Malgun Gothic" w:hAnsi="Malgun Gothic"/>
          <w:sz w:val="19"/>
          <w:szCs w:val="19"/>
        </w:rPr>
        <w:t xml:space="preserve">풍력 메인베어링 윤활 분야의 사실상 표준 참고문헌인 Hart et al. (2022) Wind Energy Science Part 1·2는 </w:t>
      </w:r>
      <w:r>
        <w:rPr>
          <w:rFonts w:ascii="Malgun Gothic" w:cs="Malgun Gothic" w:eastAsia="Malgun Gothic" w:hAnsi="Malgun Gothic"/>
          <w:b/>
          <w:bCs/>
          <w:sz w:val="19"/>
          <w:szCs w:val="19"/>
        </w:rPr>
        <w:t xml:space="preserve">Masjedi &amp; Khonsari의 유막두께 식을 채택하고도, 같은 논문에 실린 asperity load ratio 식은 사용하지 않았다.</w:t>
      </w:r>
      <w:r>
        <w:rPr>
          <w:rFonts w:ascii="Malgun Gothic" w:cs="Malgun Gothic" w:eastAsia="Malgun Gothic" w:hAnsi="Malgun Gothic"/>
          <w:sz w:val="19"/>
          <w:szCs w:val="19"/>
        </w:rPr>
        <w:t xml:space="preserve"> Part 1은 개념을 인지하고 인용까지 하였다:</w:t>
      </w:r>
    </w:p>
    <w:p>
      <w:pPr>
        <w:spacing w:after="120" w:before="60"/>
        <w:ind w:left="360" w:right="360"/>
      </w:pPr>
      <w:r>
        <w:rPr>
          <w:rFonts w:ascii="Malgun Gothic" w:cs="Malgun Gothic" w:eastAsia="Malgun Gothic" w:hAnsi="Malgun Gothic"/>
          <w:i/>
          <w:iCs/>
          <w:color w:val="333333"/>
          <w:sz w:val="18"/>
          <w:szCs w:val="18"/>
        </w:rPr>
        <w:t xml:space="preserve">“The presence of roughness results in part of the load being carried by surface asperities (Masjedi and Khonsari, 2015a), as opposed to being carried purely hydrodynamically.”</w:t>
      </w:r>
    </w:p>
    <w:p>
      <w:pPr>
        <w:spacing w:after="100" w:line="300"/>
      </w:pPr>
      <w:r>
        <w:rPr>
          <w:rFonts w:ascii="Malgun Gothic" w:cs="Malgun Gothic" w:eastAsia="Malgun Gothic" w:hAnsi="Malgun Gothic"/>
          <w:sz w:val="19"/>
          <w:szCs w:val="19"/>
        </w:rPr>
        <w:t xml:space="preserve">그러나 Greenwood–Williamson/Tripp 모델도, load ratio 정량식도 도입하지 않고 조도를 유막두께 보정계수로만 반영한 뒤 Λ 임계값 판정에서 멈췄다.</w:t>
      </w:r>
    </w:p>
    <w:p>
      <w:pPr>
        <w:pStyle w:val="Heading3"/>
        <w:spacing w:after="120" w:before="240"/>
      </w:pPr>
      <w:r>
        <w:rPr>
          <w:rFonts w:ascii="Malgun Gothic" w:cs="Malgun Gothic" w:eastAsia="Malgun Gothic" w:hAnsi="Malgun Gothic"/>
          <w:b/>
          <w:bCs/>
          <w:color w:val="2E5C8A"/>
          <w:sz w:val="20"/>
          <w:szCs w:val="20"/>
        </w:rPr>
        <w:t xml:space="preserve">Hart et al. (2022) Part 2 정량 결과 — 본 프로젝트의 벤치마크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4118"/>
      </w:tblGrid>
      <w:tr>
        <w:trPr>
          <w:tblHeader/>
        </w:trPr>
        <w:tc>
          <w:tcPr>
            <w:tcW w:type="dxa" w:w="318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조건</w:t>
            </w:r>
          </w:p>
        </w:tc>
        <w:tc>
          <w:tcPr>
            <w:tcW w:type="dxa" w:w="205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결과</w:t>
            </w:r>
          </w:p>
        </w:tc>
        <w:tc>
          <w:tcPr>
            <w:tcW w:type="dxa" w:w="411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의미</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만유막, 35 °C, 내륜</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Λ = 2.7 ~ 5.1 (평균 3.8)</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대부분 EHL, 소량만 mixed</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만유막, 40 °C</w:t>
            </w:r>
          </w:p>
        </w:tc>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운전점의 79%가 Λ &lt; 3</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5 °C 상승으로 다수가 mixed 전이</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기아 70%, 35 °C</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운전점의 88%가 mixed</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기아 보정이 지배적 영향</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온도 민감도</w:t>
            </w:r>
          </w:p>
        </w:tc>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±5 °C → Λ −26% / +41%</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최대 민감 인자</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하중 민감도</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롤러하중 1/2 → Λ +6% 뿐</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Λ는 하중을 거의 반영하지 못함</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 하중 민감도 +6%는 결정적이다. 하중은 베어링 설계에서 가장 핵심적인 변수인데 Λ는 이를 거의 반영하지 못한다. 반면 Lₐ는 W^(-0.408) 및 ln 인자 내 W^(0.485) 로 하중에 직접 의존한다. 이것이 Lₐ 도입의 물리적 정당성이다.</w:t>
      </w:r>
    </w:p>
    <w:p>
      <w:pPr>
        <w:spacing w:after="100" w:line="300"/>
      </w:pPr>
      <w:r>
        <w:rPr>
          <w:rFonts w:ascii="Malgun Gothic" w:cs="Malgun Gothic" w:eastAsia="Malgun Gothic" w:hAnsi="Malgun Gothic"/>
          <w:sz w:val="19"/>
          <w:szCs w:val="19"/>
        </w:rPr>
        <w:t xml:space="preserve">Hart et al. 자신의 결론: “the studied main bearing is at risk of operating under mixed lubrication conditions for a non-negligible proportion of its operational life, indicating that </w:t>
      </w:r>
      <w:r>
        <w:rPr>
          <w:rFonts w:ascii="Malgun Gothic" w:cs="Malgun Gothic" w:eastAsia="Malgun Gothic" w:hAnsi="Malgun Gothic"/>
          <w:b/>
          <w:bCs/>
          <w:i/>
          <w:iCs/>
          <w:sz w:val="19"/>
          <w:szCs w:val="19"/>
        </w:rPr>
        <w:t xml:space="preserve">further work is required to better understand lubrication in this context</w:t>
      </w:r>
      <w:r>
        <w:rPr>
          <w:rFonts w:ascii="Malgun Gothic" w:cs="Malgun Gothic" w:eastAsia="Malgun Gothic" w:hAnsi="Malgun Gothic"/>
          <w:sz w:val="19"/>
          <w:szCs w:val="19"/>
        </w:rPr>
        <w:t xml:space="preserve">.” — 본 조사가 겨냥하는 자리가 바로 이곳이다.</w:t>
      </w:r>
    </w:p>
    <w:p>
      <w:pPr>
        <w:pStyle w:val="Heading2"/>
        <w:spacing w:after="120" w:before="240"/>
      </w:pPr>
      <w:r>
        <w:rPr>
          <w:rFonts w:ascii="Malgun Gothic" w:cs="Malgun Gothic" w:eastAsia="Malgun Gothic" w:hAnsi="Malgun Gothic"/>
          <w:b/>
          <w:bCs/>
          <w:color w:val="2E5C8A"/>
          <w:sz w:val="22"/>
          <w:szCs w:val="22"/>
        </w:rPr>
        <w:t xml:space="preserve">4.3 제조사 — 유일한 산업적 아날로그: SKF φ_bl</w:t>
      </w:r>
    </w:p>
    <w:p>
      <w:pPr>
        <w:spacing w:after="100" w:line="300"/>
      </w:pPr>
      <w:r>
        <w:rPr>
          <w:rFonts w:ascii="Malgun Gothic" w:cs="Malgun Gothic" w:eastAsia="Malgun Gothic" w:hAnsi="Malgun Gothic"/>
          <w:sz w:val="19"/>
          <w:szCs w:val="19"/>
        </w:rPr>
        <w:t xml:space="preserve">제조사 5사(SKF, Schaeffler, Timken, NTN, NSK)는 모두 점도비 κ = ν/ν₁ + 수명수정계수(a_ISO/a_SKF/a₂₃) + 오염계수 체계로 통일되어 있으며, 혼합윤활은 정성적 경고로만 처리한다. 유일한 예외가 SKF 마찰모멘트 모델의 경계윤활 가중계수 φ_bl 이다.</w:t>
      </w:r>
    </w:p>
    <w:p>
      <w:pPr>
        <w:shd w:fill="F2F4F7" w:val="clear"/>
        <w:spacing w:after="80" w:before="80"/>
      </w:pPr>
      <w:r>
        <w:rPr>
          <w:rFonts w:ascii="Consolas" w:cs="Consolas" w:eastAsia="Consolas" w:hAnsi="Consolas"/>
          <w:sz w:val="17"/>
          <w:szCs w:val="17"/>
        </w:rPr>
        <w:t xml:space="preserve">  μ_sl = φ_bl · μ_bl + (1 − φ_bl) · μ_EHL</w:t>
      </w:r>
    </w:p>
    <w:p>
      <w:pPr>
        <w:shd w:fill="F2F4F7" w:val="clear"/>
        <w:spacing w:after="80" w:before="80"/>
      </w:pPr>
      <w:r>
        <w:rPr>
          <w:rFonts w:ascii="Consolas" w:cs="Consolas" w:eastAsia="Consolas" w:hAnsi="Consolas"/>
          <w:sz w:val="17"/>
          <w:szCs w:val="17"/>
        </w:rPr>
        <w:t xml:space="preserve">  φ_bl = 1 / exp( 2.6×10⁻⁸ · (n·ν)^1.4 · d_m )        n[rpm], ν[mm²/s], d_m[mm]</w:t>
      </w:r>
    </w:p>
    <w:p>
      <w:pPr>
        <w:spacing w:after="100" w:line="300"/>
      </w:pPr>
      <w:r>
        <w:rPr>
          <w:rFonts w:ascii="Malgun Gothic" w:cs="Malgun Gothic" w:eastAsia="Malgun Gothic" w:hAnsi="Malgun Gothic"/>
          <w:sz w:val="19"/>
          <w:szCs w:val="19"/>
        </w:rPr>
        <w:t xml:space="preserve">SKF 자신의 설명: φ_bl은 “a weighting factor for the influence of asperity and lubricant shearing mechanisms”. 즉 개념적으로 Lₐ와 같은 자리를 노린다. 그러나 결정적 차이가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비교축</w:t>
            </w:r>
          </w:p>
        </w:tc>
        <w:tc>
          <w:tcPr>
            <w:tcW w:type="dxa" w:w="3463"/>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SKF φ_bl</w:t>
            </w:r>
          </w:p>
        </w:tc>
        <w:tc>
          <w:tcPr>
            <w:tcW w:type="dxa" w:w="3463"/>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Masjedi–Khonsari Lₐ</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물리적 근거</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순수 경험 커브핏</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혼합 EHL 수치해 기반 커브핏</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표면조도 σ 의존</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없음</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있음 (σ̄ = σ/R)</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하중 / 접촉압 의존</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없음</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있음 (W)</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재료 경도 의존</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없음</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있음 (V)</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입력 변수</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n, ν, d_m — 3개</w:t>
            </w:r>
          </w:p>
        </w:tc>
        <w:tc>
          <w:tcPr>
            <w:tcW w:type="dxa" w:w="3463"/>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 U, G, σ̄, V — 5개</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출력 물리량</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마찰계수 가중치</w:t>
            </w:r>
          </w:p>
        </w:tc>
        <w:tc>
          <w:tcPr>
            <w:tcW w:type="dxa" w:w="3463"/>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돌기 지지 하중 분율</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 φ_bl의 결정적 약점: 조도와 하중을 전혀 보지 않는다. 궤도륜을 연삭에서 슈퍼피니싱으로 바꿔도 φ_bl은 전혀 변하지 않는다. 즉 표면사양 최적화의 설계변수가 될 수 없다. 이것이 Lₐ를 별도로 도입해야 하는 가장 실무적인 근거이다.</w:t>
      </w:r>
    </w:p>
    <w:p>
      <w:pPr>
        <w:pStyle w:val="Heading3"/>
        <w:spacing w:after="120" w:before="240"/>
      </w:pPr>
      <w:r>
        <w:rPr>
          <w:rFonts w:ascii="Malgun Gothic" w:cs="Malgun Gothic" w:eastAsia="Malgun Gothic" w:hAnsi="Malgun Gothic"/>
          <w:b/>
          <w:bCs/>
          <w:color w:val="2E5C8A"/>
          <w:sz w:val="20"/>
          <w:szCs w:val="20"/>
        </w:rPr>
        <w:t xml:space="preserve">제조사별 혼합윤활 취급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제조사</w:t>
            </w:r>
          </w:p>
        </w:tc>
        <w:tc>
          <w:tcPr>
            <w:tcW w:type="dxa" w:w="786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혼합윤활 정량 취급</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SKF</w:t>
            </w:r>
          </w:p>
        </w:tc>
        <w:tc>
          <w:tcPr>
            <w:tcW w:type="dxa" w:w="786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κ + a_SKF. 마찰모델에 φ_bl (위). 손상 예측은 GBLM(§6.1)으로 분리 진행 중</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Schaeffler</w:t>
            </w:r>
          </w:p>
        </w:tc>
        <w:tc>
          <w:tcPr>
            <w:tcW w:type="dxa" w:w="786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κ + a₂₃ (그래프 lookup). κ ≤ 0.4에서 “wear dominates”. “Mischreibungsanteil(혼합마찰 분율)” 용어는 존재하나 계산식 없이 그림으로만 표시. 유막식은 Hamrock–Dowson 계열 사용</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NTN</w:t>
            </w:r>
          </w:p>
        </w:tc>
        <w:tc>
          <w:tcPr>
            <w:tcW w:type="dxa" w:w="786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κ ≤ 0.1 boundary / 0.1 &lt; κ ≤ 4 mixed / κ &gt; 4 full. 즉 40배 폭 구간이 통째로 'mixed' 한 덩어리</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Timken</w:t>
            </w:r>
          </w:p>
        </w:tc>
        <w:tc>
          <w:tcPr>
            <w:tcW w:type="dxa" w:w="786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 281 모드(κ) 또는 자체 a₃ₗ·a₃ₚ. 풍력 메인샤프트 백서는 “roller-to-race asperities”를 정성 언급만</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공통</w:t>
            </w:r>
          </w:p>
        </w:tc>
        <w:tc>
          <w:tcPr>
            <w:tcW w:type="dxa" w:w="786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asperity 하중분담을 정량 판정량으로 쓰는 곳은 없음</w:t>
            </w:r>
          </w:p>
        </w:tc>
      </w:tr>
    </w:tbl>
    <w:p>
      <w:pPr>
        <w:pBdr>
          <w:left w:val="single" w:color="E08A00" w:sz="18"/>
        </w:pBdr>
        <w:shd w:fill="E8F0FE" w:val="clear"/>
        <w:spacing w:after="120" w:before="60"/>
        <w:ind w:left="120"/>
      </w:pPr>
      <w:r>
        <w:rPr>
          <w:rFonts w:ascii="Malgun Gothic" w:cs="Malgun Gothic" w:eastAsia="Malgun Gothic" w:hAnsi="Malgun Gothic"/>
          <w:sz w:val="19"/>
          <w:szCs w:val="19"/>
        </w:rPr>
        <w:t xml:space="preserve">NTN 기준으로 κ = 0.1 ~ 4 라는 40배 폭 구간이 전부 'mixed friction' 하나로 분류된다. 풍력 메인베어링은 이 구간 한복판에 통째로 들어앉는다. 즉 'mixed다'라는 판정이 설계 변별력을 전혀 제공하지 않는다는 것을 제조사 자체 문헌으로 입증할 수 있다.</w:t>
      </w:r>
    </w:p>
    <w:p>
      <w:pPr>
        <w:pStyle w:val="Heading2"/>
        <w:spacing w:after="120" w:before="240"/>
      </w:pPr>
      <w:r>
        <w:rPr>
          <w:rFonts w:ascii="Malgun Gothic" w:cs="Malgun Gothic" w:eastAsia="Malgun Gothic" w:hAnsi="Malgun Gothic"/>
          <w:b/>
          <w:bCs/>
          <w:color w:val="2E5C8A"/>
          <w:sz w:val="22"/>
          <w:szCs w:val="22"/>
        </w:rPr>
        <w:t xml:space="preserve">4.4 ★ 그리스용 Lₐ 공식은 이미 존재한다 — 상세는 §5</w:t>
      </w:r>
    </w:p>
    <w:p>
      <w:pPr>
        <w:spacing w:after="100" w:line="300"/>
      </w:pPr>
      <w:r>
        <w:rPr>
          <w:rFonts w:ascii="Malgun Gothic" w:cs="Malgun Gothic" w:eastAsia="Malgun Gothic" w:hAnsi="Malgun Gothic"/>
          <w:sz w:val="19"/>
          <w:szCs w:val="19"/>
        </w:rPr>
        <w:t xml:space="preserve">Wu, M., Han, X., Tao, Y., Pei, J. (2022), “A Mixed EHL Analysis Method for Grease and Formulas for Film Thickness and Asperity Load”, </w:t>
      </w:r>
      <w:r>
        <w:rPr>
          <w:rFonts w:ascii="Malgun Gothic" w:cs="Malgun Gothic" w:eastAsia="Malgun Gothic" w:hAnsi="Malgun Gothic"/>
          <w:i/>
          <w:iCs/>
          <w:sz w:val="19"/>
          <w:szCs w:val="19"/>
        </w:rPr>
        <w:t xml:space="preserve">Tribology Letters</w:t>
      </w:r>
      <w:r>
        <w:rPr>
          <w:rFonts w:ascii="Malgun Gothic" w:cs="Malgun Gothic" w:eastAsia="Malgun Gothic" w:hAnsi="Malgun Gothic"/>
          <w:sz w:val="19"/>
          <w:szCs w:val="19"/>
        </w:rPr>
        <w:t xml:space="preserve"> 70:128, DOI 10.1007/s11249-022-01666-4 — 사실상 </w:t>
      </w:r>
      <w:r>
        <w:rPr>
          <w:rFonts w:ascii="Malgun Gothic" w:cs="Malgun Gothic" w:eastAsia="Malgun Gothic" w:hAnsi="Malgun Gothic"/>
          <w:b/>
          <w:bCs/>
          <w:sz w:val="19"/>
          <w:szCs w:val="19"/>
        </w:rPr>
        <w:t xml:space="preserve">Masjedi–Khonsari의 그리스 버전</w:t>
      </w:r>
      <w:r>
        <w:rPr>
          <w:rFonts w:ascii="Malgun Gothic" w:cs="Malgun Gothic" w:eastAsia="Malgun Gothic" w:hAnsi="Malgun Gothic"/>
          <w:sz w:val="19"/>
          <w:szCs w:val="19"/>
        </w:rPr>
        <w:t xml:space="preserve">이며, 그리스 윤활 TRB인 본 프로젝트에 가장 직접 적용 가능한 단일 문헌이다. </w:t>
      </w:r>
      <w:r>
        <w:rPr>
          <w:rFonts w:ascii="Malgun Gothic" w:cs="Malgun Gothic" w:eastAsia="Malgun Gothic" w:hAnsi="Malgun Gothic"/>
          <w:b/>
          <w:bCs/>
          <w:sz w:val="19"/>
          <w:szCs w:val="19"/>
        </w:rPr>
        <w:t xml:space="preserve">원문 전문을 확보하여 검증한 결과는 §5에 별도 정리하였다.</w:t>
      </w:r>
    </w:p>
    <w:p>
      <w:pPr>
        <w:pBdr>
          <w:left w:val="single" w:color="E08A00" w:sz="18"/>
        </w:pBdr>
        <w:shd w:fill="FDECEA" w:val="clear"/>
        <w:spacing w:after="120" w:before="60"/>
        <w:ind w:left="120"/>
      </w:pPr>
      <w:r>
        <w:rPr>
          <w:rFonts w:ascii="Malgun Gothic" w:cs="Malgun Gothic" w:eastAsia="Malgun Gothic" w:hAnsi="Malgun Gothic"/>
          <w:sz w:val="19"/>
          <w:szCs w:val="19"/>
        </w:rPr>
        <w:t xml:space="preserve">★ 부정적 발견: '기아(starved) 조건에서 돌기 하중분담률을 계산한 문헌'은 발견되지 않았다. 그리스용은 존재하나 만유막 가정이고, 기아 연구는 유막두께 중심이다. 즉 '그리스 기아 + 돌기 하중분담 + 풍력 메인베어링' 조합은 문헌상 완전한 공백이다.</w:t>
      </w:r>
    </w:p>
    <w:p>
      <w:pPr>
        <w:pStyle w:val="Heading2"/>
        <w:spacing w:after="120" w:before="240"/>
      </w:pPr>
      <w:r>
        <w:rPr>
          <w:rFonts w:ascii="Malgun Gothic" w:cs="Malgun Gothic" w:eastAsia="Malgun Gothic" w:hAnsi="Malgun Gothic"/>
          <w:b/>
          <w:bCs/>
          <w:color w:val="2E5C8A"/>
          <w:sz w:val="22"/>
          <w:szCs w:val="22"/>
        </w:rPr>
        <w:t xml:space="preserve">4.5 종합 판정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1872"/>
        <w:gridCol w:w="2246"/>
      </w:tblGrid>
      <w:tr>
        <w:trPr>
          <w:tblHeader/>
        </w:trPr>
        <w:tc>
          <w:tcPr>
            <w:tcW w:type="dxa" w:w="524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항목</w:t>
            </w:r>
          </w:p>
        </w:tc>
        <w:tc>
          <w:tcPr>
            <w:tcW w:type="dxa" w:w="187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판정</w:t>
            </w:r>
          </w:p>
        </w:tc>
        <w:tc>
          <w:tcPr>
            <w:tcW w:type="dxa" w:w="2246"/>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근거</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Lₐ를 TRB 메인베어링에 적용한 선례</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없음</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§4.1 전수검증</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Lₐ를 회전체 베어링 일반에 적용한 선례</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없음</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§4.1</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풍력 메인베어링에 Masjedi 계열 적용</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유막식만 채택</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Hart 2022 【검증】</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Lₐ를 독립 지표로 진성 사용한 사례</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1건 (벤치마크용)</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Prajapati 2024 【검증】</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그리스용 Lₐ 공식 존재</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존재 (만유막)</w:t>
            </w:r>
          </w:p>
        </w:tc>
        <w:tc>
          <w:tcPr>
            <w:tcW w:type="dxa" w:w="224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Wu 2022 【초록】</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업계 표준 지표</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Λ 또는 κ</w:t>
            </w:r>
          </w:p>
        </w:tc>
        <w:tc>
          <w:tcPr>
            <w:tcW w:type="dxa" w:w="224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전 제조사·전 표준</w:t>
            </w:r>
          </w:p>
        </w:tc>
      </w:tr>
    </w:tbl>
    <w:p>
      <w:r>
        <w:br w:type="page"/>
      </w:r>
    </w:p>
    <w:p>
      <w:pPr>
        <w:pStyle w:val="Heading1"/>
        <w:spacing w:after="120" w:before="320"/>
      </w:pPr>
      <w:r>
        <w:rPr>
          <w:rFonts w:ascii="Malgun Gothic" w:cs="Malgun Gothic" w:eastAsia="Malgun Gothic" w:hAnsi="Malgun Gothic"/>
          <w:b/>
          <w:bCs/>
          <w:color w:val="1F3864"/>
          <w:sz w:val="27"/>
          <w:szCs w:val="27"/>
        </w:rPr>
        <w:t xml:space="preserve">5. [신규] 그리스 전용 Lₐ 공식 — Wu et al. (2022) 원문 검증</w:t>
      </w:r>
    </w:p>
    <w:p>
      <w:pPr>
        <w:spacing w:after="100" w:line="300"/>
      </w:pPr>
      <w:r>
        <w:rPr>
          <w:rFonts w:ascii="Malgun Gothic" w:cs="Malgun Gothic" w:eastAsia="Malgun Gothic" w:hAnsi="Malgun Gothic"/>
          <w:sz w:val="19"/>
          <w:szCs w:val="19"/>
        </w:rPr>
        <w:t xml:space="preserve">Wu, M., Han, X., Tao, Y., Pei, J. (2022), “A Mixed EHL Analysis Method for Grease and Formulas for Film Thickness and Asperity Load”, </w:t>
      </w:r>
      <w:r>
        <w:rPr>
          <w:rFonts w:ascii="Malgun Gothic" w:cs="Malgun Gothic" w:eastAsia="Malgun Gothic" w:hAnsi="Malgun Gothic"/>
          <w:i/>
          <w:iCs/>
          <w:sz w:val="19"/>
          <w:szCs w:val="19"/>
        </w:rPr>
        <w:t xml:space="preserve">Tribology Letters</w:t>
      </w:r>
      <w:r>
        <w:rPr>
          <w:rFonts w:ascii="Malgun Gothic" w:cs="Malgun Gothic" w:eastAsia="Malgun Gothic" w:hAnsi="Malgun Gothic"/>
          <w:sz w:val="19"/>
          <w:szCs w:val="19"/>
        </w:rPr>
        <w:t xml:space="preserve"> 70:128, DOI 10.1007/s11249-022-01666-4 — </w:t>
      </w:r>
      <w:r>
        <w:rPr>
          <w:rFonts w:ascii="Malgun Gothic" w:cs="Malgun Gothic" w:eastAsia="Malgun Gothic" w:hAnsi="Malgun Gothic"/>
          <w:b/>
          <w:bCs/>
          <w:sz w:val="19"/>
          <w:szCs w:val="19"/>
        </w:rPr>
        <w:t xml:space="preserve">본 장은 원문 전문을 확보하여 검증한 결과이다.</w:t>
      </w:r>
    </w:p>
    <w:p>
      <w:pPr>
        <w:pStyle w:val="Heading2"/>
        <w:spacing w:after="120" w:before="240"/>
      </w:pPr>
      <w:r>
        <w:rPr>
          <w:rFonts w:ascii="Malgun Gothic" w:cs="Malgun Gothic" w:eastAsia="Malgun Gothic" w:hAnsi="Malgun Gothic"/>
          <w:b/>
          <w:bCs/>
          <w:color w:val="2E5C8A"/>
          <w:sz w:val="22"/>
          <w:szCs w:val="22"/>
        </w:rPr>
        <w:t xml:space="preserve">5.1 개요 및 위치</w:t>
      </w:r>
    </w:p>
    <w:p>
      <w:pPr>
        <w:pStyle w:val="ListParagraph"/>
        <w:numPr>
          <w:ilvl w:val="0"/>
          <w:numId w:val="2"/>
        </w:numPr>
        <w:spacing w:after="60" w:line="290"/>
      </w:pPr>
      <w:r>
        <w:rPr>
          <w:rFonts w:ascii="Malgun Gothic" w:cs="Malgun Gothic" w:eastAsia="Malgun Gothic" w:hAnsi="Malgun Gothic"/>
          <w:sz w:val="19"/>
          <w:szCs w:val="19"/>
        </w:rPr>
        <w:t xml:space="preserve">Masjedi–Khonsari 프레임을 그리스(Ostwald 멱법칙 비뉴턴 유체)로 확장. 논문 스스로 “takes a form similar to Masjedi and Khonsari with some modifications”라 명시</w:t>
      </w:r>
    </w:p>
    <w:p>
      <w:pPr>
        <w:pStyle w:val="ListParagraph"/>
        <w:numPr>
          <w:ilvl w:val="0"/>
          <w:numId w:val="2"/>
        </w:numPr>
        <w:spacing w:after="60" w:line="290"/>
      </w:pPr>
      <w:r>
        <w:rPr>
          <w:rFonts w:ascii="Malgun Gothic" w:cs="Malgun Gothic" w:eastAsia="Malgun Gothic" w:hAnsi="Malgun Gothic"/>
          <w:sz w:val="19"/>
          <w:szCs w:val="19"/>
        </w:rPr>
        <w:t xml:space="preserve">200여 세트 수치해석 커브핏. 유동지수 n 을 변수로 추가 → n = 1 이면 오일(뉴턴)로 퇴화, σ̄ = 0 이면 평활면으로 퇴화</w:t>
      </w:r>
    </w:p>
    <w:p>
      <w:pPr>
        <w:pStyle w:val="ListParagraph"/>
        <w:numPr>
          <w:ilvl w:val="0"/>
          <w:numId w:val="2"/>
        </w:numPr>
        <w:spacing w:after="60" w:line="290"/>
      </w:pPr>
      <w:r>
        <w:rPr>
          <w:rFonts w:ascii="Malgun Gothic" w:cs="Malgun Gothic" w:eastAsia="Malgun Gothic" w:hAnsi="Malgun Gothic"/>
          <w:sz w:val="19"/>
          <w:szCs w:val="19"/>
        </w:rPr>
        <w:t xml:space="preserve">돌기접촉 모델이 다르다 — Masjedi–Khonsari의 ZMC 대신 </w:t>
      </w:r>
      <w:r>
        <w:rPr>
          <w:rFonts w:ascii="Malgun Gothic" w:cs="Malgun Gothic" w:eastAsia="Malgun Gothic" w:hAnsi="Malgun Gothic"/>
          <w:b/>
          <w:bCs/>
          <w:sz w:val="19"/>
          <w:szCs w:val="19"/>
        </w:rPr>
        <w:t xml:space="preserve">Kogut–Etsion(K–E) 4단계 탄소성 모델</w:t>
      </w:r>
      <w:r>
        <w:rPr>
          <w:rFonts w:ascii="Malgun Gothic" w:cs="Malgun Gothic" w:eastAsia="Malgun Gothic" w:hAnsi="Malgun Gothic"/>
          <w:sz w:val="19"/>
          <w:szCs w:val="19"/>
        </w:rPr>
        <w:t xml:space="preserve"> 사용. 조도 파라미터 β = 0.04 고정</w:t>
      </w:r>
    </w:p>
    <w:p>
      <w:pPr>
        <w:pStyle w:val="ListParagraph"/>
        <w:numPr>
          <w:ilvl w:val="0"/>
          <w:numId w:val="2"/>
        </w:numPr>
        <w:spacing w:after="60" w:line="290"/>
      </w:pPr>
      <w:r>
        <w:rPr>
          <w:rFonts w:ascii="Malgun Gothic" w:cs="Malgun Gothic" w:eastAsia="Malgun Gothic" w:hAnsi="Malgun Gothic"/>
          <w:sz w:val="19"/>
          <w:szCs w:val="19"/>
        </w:rPr>
        <w:t xml:space="preserve">Patir–Cheng 평균유동모델을 비뉴턴으로 확장한 자체 grease average flow model 사용. 순수 구름(pure rolling) 가정</w:t>
      </w:r>
    </w:p>
    <w:p>
      <w:pPr>
        <w:pStyle w:val="ListParagraph"/>
        <w:numPr>
          <w:ilvl w:val="0"/>
          <w:numId w:val="2"/>
        </w:numPr>
        <w:spacing w:after="60" w:line="290"/>
      </w:pPr>
      <w:r>
        <w:rPr>
          <w:rFonts w:ascii="Malgun Gothic" w:cs="Malgun Gothic" w:eastAsia="Malgun Gothic" w:hAnsi="Malgun Gothic"/>
          <w:sz w:val="19"/>
          <w:szCs w:val="19"/>
        </w:rPr>
        <w:t xml:space="preserve">실험 검증: Dong et al.의 그리스 GL 5–2 (Ostwald 적합 η_s = 1.3488, n = 0.909)를 4-roller 장치로 측정한 최소유막과 비교, 최대오차 11.27%</w:t>
      </w:r>
    </w:p>
    <w:p>
      <w:pPr>
        <w:pStyle w:val="Heading2"/>
        <w:spacing w:after="120" w:before="240"/>
      </w:pPr>
      <w:r>
        <w:rPr>
          <w:rFonts w:ascii="Malgun Gothic" w:cs="Malgun Gothic" w:eastAsia="Malgun Gothic" w:hAnsi="Malgun Gothic"/>
          <w:b/>
          <w:bCs/>
          <w:color w:val="2E5C8A"/>
          <w:sz w:val="22"/>
          <w:szCs w:val="22"/>
        </w:rPr>
        <w:t xml:space="preserve">5.2 공식 (원문 Eq. 28~31)</w:t>
      </w:r>
    </w:p>
    <w:p>
      <w:pPr>
        <w:spacing w:after="100" w:line="300"/>
      </w:pPr>
      <w:r>
        <w:rPr>
          <w:rFonts w:ascii="Malgun Gothic" w:cs="Malgun Gothic" w:eastAsia="Malgun Gothic" w:hAnsi="Malgun Gothic"/>
          <w:sz w:val="19"/>
          <w:szCs w:val="19"/>
        </w:rPr>
        <w:t xml:space="preserve">일반형 — 각 무차원군의 지수 자체가 n의 함수인 이중 멱구조이다.</w:t>
      </w:r>
    </w:p>
    <w:p>
      <w:pPr>
        <w:shd w:fill="F2F4F7" w:val="clear"/>
        <w:spacing w:after="80" w:before="80"/>
      </w:pPr>
      <w:r>
        <w:rPr>
          <w:rFonts w:ascii="Consolas" w:cs="Consolas" w:eastAsia="Consolas" w:hAnsi="Consolas"/>
          <w:sz w:val="17"/>
          <w:szCs w:val="17"/>
        </w:rPr>
        <w:t xml:space="preserve">  H  = k1 n^k2 W^k3 U^(k4 n^k5) G^(k6 n^k7)</w:t>
      </w:r>
    </w:p>
    <w:p>
      <w:pPr>
        <w:shd w:fill="F2F4F7" w:val="clear"/>
        <w:spacing w:after="80" w:before="80"/>
      </w:pPr>
      <w:r>
        <w:rPr>
          <w:rFonts w:ascii="Consolas" w:cs="Consolas" w:eastAsia="Consolas" w:hAnsi="Consolas"/>
          <w:sz w:val="17"/>
          <w:szCs w:val="17"/>
        </w:rPr>
        <w:t xml:space="preserve">       × (1 + k8 n^k9 σ̄^(k10 n^k11) W^k12 U^(k13 n^k14) G^(k15 n^k16))          (28)</w:t>
      </w:r>
    </w:p>
    <w:p>
      <w:pPr>
        <w:spacing w:after="60"/>
      </w:pPr>
    </w:p>
    <w:p>
      <w:pPr>
        <w:shd w:fill="F2F4F7" w:val="clear"/>
        <w:spacing w:after="80" w:before="80"/>
      </w:pPr>
      <w:r>
        <w:rPr>
          <w:rFonts w:ascii="Consolas" w:cs="Consolas" w:eastAsia="Consolas" w:hAnsi="Consolas"/>
          <w:sz w:val="17"/>
          <w:szCs w:val="17"/>
        </w:rPr>
        <w:t xml:space="preserve">  H_min = 11.954 n^20.714 W^(-0.126) U^(0.693 n^1.638) G^(0.345 n^7.526)</w:t>
      </w:r>
    </w:p>
    <w:p>
      <w:pPr>
        <w:shd w:fill="F2F4F7" w:val="clear"/>
        <w:spacing w:after="80" w:before="80"/>
      </w:pPr>
      <w:r>
        <w:rPr>
          <w:rFonts w:ascii="Consolas" w:cs="Consolas" w:eastAsia="Consolas" w:hAnsi="Consolas"/>
          <w:sz w:val="17"/>
          <w:szCs w:val="17"/>
        </w:rPr>
        <w:t xml:space="preserve">        × (1 + 0.0009 n^0.274 σ̄^(3.449 n^6.171) W^(0.192) U^(-1.576 n^5.050) G^(0.514 n^-1.471))   (29)</w:t>
      </w:r>
    </w:p>
    <w:p>
      <w:pPr>
        <w:shd w:fill="F2F4F7" w:val="clear"/>
        <w:spacing w:after="80" w:before="80"/>
      </w:pPr>
      <w:r>
        <w:rPr>
          <w:rFonts w:ascii="Consolas" w:cs="Consolas" w:eastAsia="Consolas" w:hAnsi="Consolas"/>
          <w:sz w:val="17"/>
          <w:szCs w:val="17"/>
        </w:rPr>
        <w:t xml:space="preserve">  H_cen = 11.593 n^19.326 W^(-0.061) U^(0.626 n^1.548) G^(0.256 n^8.076)</w:t>
      </w:r>
    </w:p>
    <w:p>
      <w:pPr>
        <w:shd w:fill="F2F4F7" w:val="clear"/>
        <w:spacing w:after="80" w:before="80"/>
      </w:pPr>
      <w:r>
        <w:rPr>
          <w:rFonts w:ascii="Consolas" w:cs="Consolas" w:eastAsia="Consolas" w:hAnsi="Consolas"/>
          <w:sz w:val="17"/>
          <w:szCs w:val="17"/>
        </w:rPr>
        <w:t xml:space="preserve">        × (1 + 2.454 n^0.318 σ̄^(0.924 n^0.890) W^(-0.180) U^(0.525 n^1.719) G^(1.101 n^0.430))     (30)</w:t>
      </w:r>
    </w:p>
    <w:p>
      <w:pPr>
        <w:shd w:fill="F2F4F7" w:val="clear"/>
        <w:spacing w:after="80" w:before="80"/>
      </w:pPr>
      <w:r>
        <w:rPr>
          <w:rFonts w:ascii="Consolas" w:cs="Consolas" w:eastAsia="Consolas" w:hAnsi="Consolas"/>
          <w:sz w:val="17"/>
          <w:szCs w:val="17"/>
        </w:rPr>
        <w:t xml:space="preserve">  L_a[%] = 1.7 n^2.425 W^(-0.389) U^(-0.085 n^0.356) G^(-0.042 n^0.657)</w:t>
      </w:r>
    </w:p>
    <w:p>
      <w:pPr>
        <w:shd w:fill="F2F4F7" w:val="clear"/>
        <w:spacing w:after="80" w:before="80"/>
      </w:pPr>
      <w:r>
        <w:rPr>
          <w:rFonts w:ascii="Consolas" w:cs="Consolas" w:eastAsia="Consolas" w:hAnsi="Consolas"/>
          <w:sz w:val="17"/>
          <w:szCs w:val="17"/>
        </w:rPr>
        <w:t xml:space="preserve">         × [log(1 + 0.256 n^-100 σ̄^(1.762 n^5.011) W^(-0.008) U^(-4.608 n^0.484) G^(-2.291 n^1.139))]  (31)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118"/>
        <w:gridCol w:w="3744"/>
      </w:tblGrid>
      <w:tr>
        <w:trPr>
          <w:tblHeader/>
        </w:trPr>
        <w:tc>
          <w:tcPr>
            <w:tcW w:type="dxa" w:w="149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기호</w:t>
            </w:r>
          </w:p>
        </w:tc>
        <w:tc>
          <w:tcPr>
            <w:tcW w:type="dxa" w:w="411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정의</w:t>
            </w:r>
          </w:p>
        </w:tc>
        <w:tc>
          <w:tcPr>
            <w:tcW w:type="dxa" w:w="374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Masjedi–Khonsari 대비</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U</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φ₀ u₀ /(E′R) — φ₀는 그리스의 상압 소성점도 [Pa·s^n]</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오일 점도 μ₀ 자리를 그리스 소성점도가 대체. 이것이 §7.7의 핵심</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 /(E′R)</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동일</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α E′</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동일</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 /R</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동일</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n</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유동지수 (Ostwald: τ = (η_s γ̇)ⁿ)</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신규 변수. n=1이면 뉴턴 유체</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경도 h_d 는 K–E 모델(Eq. 17~24)에는 들어가나 예측식에는 없음</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V(경도)가 변수에서 빠짐 — 후퇴</w:t>
            </w:r>
          </w:p>
        </w:tc>
      </w:tr>
    </w:tbl>
    <w:p>
      <w:pPr>
        <w:pStyle w:val="Heading2"/>
        <w:spacing w:after="120" w:before="240"/>
      </w:pPr>
      <w:r>
        <w:rPr>
          <w:rFonts w:ascii="Malgun Gothic" w:cs="Malgun Gothic" w:eastAsia="Malgun Gothic" w:hAnsi="Malgun Gothic"/>
          <w:b/>
          <w:bCs/>
          <w:color w:val="2E5C8A"/>
          <w:sz w:val="22"/>
          <w:szCs w:val="22"/>
        </w:rPr>
        <w:t xml:space="preserve">5.3 검증범위 (원문 Table 3) 및 M–K 대비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66"/>
        <w:gridCol w:w="1966"/>
        <w:gridCol w:w="1966"/>
        <w:gridCol w:w="1966"/>
      </w:tblGrid>
      <w:tr>
        <w:trPr>
          <w:tblHeader/>
        </w:trPr>
        <w:tc>
          <w:tcPr>
            <w:tcW w:type="dxa" w:w="149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파라미터</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Wu 최소</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Wu 최대</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M–K 최소</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M–K 최대</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 × 10⁻⁵</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3.0 × 10⁻⁴</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2.0 × 10⁻⁵</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5.0 × 10⁻⁴</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U</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5.0 × 10⁻¹²</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8.0 × 10⁻⁸</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 × 10⁻¹²</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 × 10⁻¹⁰</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3,150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7,500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2,500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7,500</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4.0 × 10⁻⁵</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5.0 × 10⁻⁵</w:t>
            </w:r>
          </w:p>
        </w:tc>
      </w:tr>
      <w:tr>
        <w:tc>
          <w:tcPr>
            <w:tcW w:type="dxa" w:w="149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n</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 (n=1 고정)</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w:t>
            </w:r>
          </w:p>
        </w:tc>
      </w:tr>
      <w:tr>
        <w:tc>
          <w:tcPr>
            <w:tcW w:type="dxa" w:w="149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V (경도)</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해당 없음 (고정)</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0.005</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0.03</w:t>
            </w:r>
          </w:p>
        </w:tc>
      </w:tr>
    </w:tbl>
    <w:p>
      <w:pPr>
        <w:spacing w:after="100" w:line="300"/>
      </w:pPr>
      <w:r>
        <w:rPr>
          <w:rFonts w:ascii="Malgun Gothic" w:cs="Malgun Gothic" w:eastAsia="Malgun Gothic" w:hAnsi="Malgun Gothic"/>
          <w:sz w:val="19"/>
          <w:szCs w:val="19"/>
        </w:rPr>
        <w:t xml:space="preserve">★ 결정적 차이 3가지:</w:t>
      </w:r>
    </w:p>
    <w:p>
      <w:pPr>
        <w:pStyle w:val="ListParagraph"/>
        <w:numPr>
          <w:ilvl w:val="0"/>
          <w:numId w:val="3"/>
        </w:numPr>
        <w:spacing w:after="60" w:line="290"/>
      </w:pPr>
      <w:r>
        <w:rPr>
          <w:rFonts w:ascii="Malgun Gothic" w:cs="Malgun Gothic" w:eastAsia="Malgun Gothic" w:hAnsi="Malgun Gothic"/>
          <w:sz w:val="19"/>
          <w:szCs w:val="19"/>
        </w:rPr>
        <w:t xml:space="preserve">U 범위 상한이 8×10⁻⁸ 로 </w:t>
      </w:r>
      <w:r>
        <w:rPr>
          <w:rFonts w:ascii="Malgun Gothic" w:cs="Malgun Gothic" w:eastAsia="Malgun Gothic" w:hAnsi="Malgun Gothic"/>
          <w:b/>
          <w:bCs/>
          <w:sz w:val="19"/>
          <w:szCs w:val="19"/>
        </w:rPr>
        <w:t xml:space="preserve">800배 확대</w:t>
      </w:r>
      <w:r>
        <w:rPr>
          <w:rFonts w:ascii="Malgun Gothic" w:cs="Malgun Gothic" w:eastAsia="Malgun Gothic" w:hAnsi="Malgun Gothic"/>
          <w:sz w:val="19"/>
          <w:szCs w:val="19"/>
        </w:rPr>
        <w:t xml:space="preserve">되었다. 그리스 소성점도가 기유 점도의 수십~수백 배이므로 같은 속도라도 U가 크게 올라가기 때문이다. → §7.7에서 보듯 우리 저속 운전점의 범위 이탈 문제를 해소한다.</w:t>
      </w:r>
    </w:p>
    <w:p>
      <w:pPr>
        <w:pStyle w:val="ListParagraph"/>
        <w:numPr>
          <w:ilvl w:val="0"/>
          <w:numId w:val="3"/>
        </w:numPr>
        <w:spacing w:after="60" w:line="290"/>
      </w:pPr>
      <w:r>
        <w:rPr>
          <w:rFonts w:ascii="Malgun Gothic" w:cs="Malgun Gothic" w:eastAsia="Malgun Gothic" w:hAnsi="Malgun Gothic"/>
          <w:b/>
          <w:bCs/>
          <w:sz w:val="19"/>
          <w:szCs w:val="19"/>
        </w:rPr>
        <w:t xml:space="preserve">경도 V가 예측식 변수에서 빠졌다.</w:t>
      </w:r>
      <w:r>
        <w:rPr>
          <w:rFonts w:ascii="Malgun Gothic" w:cs="Malgun Gothic" w:eastAsia="Malgun Gothic" w:hAnsi="Malgun Gothic"/>
          <w:sz w:val="19"/>
          <w:szCs w:val="19"/>
        </w:rPr>
        <w:t xml:space="preserve"> K–E 접촉모델 안에는 h_d 가 들어가나 커브핏 시 고정되었다. 즉 </w:t>
      </w:r>
      <w:r>
        <w:rPr>
          <w:rFonts w:ascii="Malgun Gothic" w:cs="Malgun Gothic" w:eastAsia="Malgun Gothic" w:hAnsi="Malgun Gothic"/>
          <w:b/>
          <w:bCs/>
          <w:sz w:val="19"/>
          <w:szCs w:val="19"/>
        </w:rPr>
        <w:t xml:space="preserve">그리스 식으로는 경도 효과를 평가할 수 없다</w:t>
      </w:r>
      <w:r>
        <w:rPr>
          <w:rFonts w:ascii="Malgun Gothic" w:cs="Malgun Gothic" w:eastAsia="Malgun Gothic" w:hAnsi="Malgun Gothic"/>
          <w:sz w:val="19"/>
          <w:szCs w:val="19"/>
        </w:rPr>
        <w:t xml:space="preserve"> — Masjedi–Khonsari 대비 명백한 후퇴이며, 궤도륜 경도 사양 검토에는 쓸 수 없다.</w:t>
      </w:r>
    </w:p>
    <w:p>
      <w:pPr>
        <w:pStyle w:val="ListParagraph"/>
        <w:numPr>
          <w:ilvl w:val="0"/>
          <w:numId w:val="3"/>
        </w:numPr>
        <w:spacing w:after="60" w:line="290"/>
      </w:pPr>
      <w:r>
        <w:rPr>
          <w:rFonts w:ascii="Malgun Gothic" w:cs="Malgun Gothic" w:eastAsia="Malgun Gothic" w:hAnsi="Malgun Gothic"/>
          <w:sz w:val="19"/>
          <w:szCs w:val="19"/>
        </w:rPr>
        <w:t xml:space="preserve">커브핏 시 </w:t>
      </w:r>
      <w:r>
        <w:rPr>
          <w:rFonts w:ascii="Malgun Gothic" w:cs="Malgun Gothic" w:eastAsia="Malgun Gothic" w:hAnsi="Malgun Gothic"/>
          <w:b/>
          <w:bCs/>
          <w:sz w:val="19"/>
          <w:szCs w:val="19"/>
        </w:rPr>
        <w:t xml:space="preserve">λ = h/σ &gt; 1 로 제한</w:t>
      </w:r>
      <w:r>
        <w:rPr>
          <w:rFonts w:ascii="Malgun Gothic" w:cs="Malgun Gothic" w:eastAsia="Malgun Gothic" w:hAnsi="Malgun Gothic"/>
          <w:sz w:val="19"/>
          <w:szCs w:val="19"/>
        </w:rPr>
        <w:t xml:space="preserve">하였다(원문 §4.2). Masjedi–Khonsari의 Λ &gt; 0.5 보다 좁다. 즉 Λ &lt; 1 구간은 그리스 식에서도 외삽이다.</w:t>
      </w:r>
    </w:p>
    <w:p>
      <w:pPr>
        <w:pStyle w:val="Heading2"/>
        <w:spacing w:after="120" w:before="240"/>
      </w:pPr>
      <w:r>
        <w:rPr>
          <w:rFonts w:ascii="Malgun Gothic" w:cs="Malgun Gothic" w:eastAsia="Malgun Gothic" w:hAnsi="Malgun Gothic"/>
          <w:b/>
          <w:bCs/>
          <w:color w:val="2E5C8A"/>
          <w:sz w:val="22"/>
          <w:szCs w:val="22"/>
        </w:rPr>
        <w:t xml:space="preserve">5.4 ★ 자체 재현 검증 — Eq.(31)은 사용할 수 없다</w:t>
      </w:r>
    </w:p>
    <w:p>
      <w:pPr>
        <w:spacing w:after="100" w:line="300"/>
      </w:pPr>
      <w:r>
        <w:rPr>
          <w:rFonts w:ascii="Malgun Gothic" w:cs="Malgun Gothic" w:eastAsia="Malgun Gothic" w:hAnsi="Malgun Gothic"/>
          <w:sz w:val="19"/>
          <w:szCs w:val="19"/>
        </w:rPr>
        <w:t xml:space="preserve">원문 부록 Table 4~6(시뮬레이션 vs 커브핏 대조표)의 입력값을 위 식에 대입하여 인쇄된 커브핏 값이 재현되는지 검증하였다.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3089"/>
        <w:gridCol w:w="3089"/>
      </w:tblGrid>
      <w:tr>
        <w:trPr>
          <w:tblHeader/>
        </w:trPr>
        <w:tc>
          <w:tcPr>
            <w:tcW w:type="dxa" w:w="131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식</w:t>
            </w:r>
          </w:p>
        </w:tc>
        <w:tc>
          <w:tcPr>
            <w:tcW w:type="dxa" w:w="187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대상</w:t>
            </w:r>
          </w:p>
        </w:tc>
        <w:tc>
          <w:tcPr>
            <w:tcW w:type="dxa" w:w="308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재현 결과</w:t>
            </w:r>
          </w:p>
        </w:tc>
        <w:tc>
          <w:tcPr>
            <w:tcW w:type="dxa" w:w="308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판정</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Eq.(29) H_min</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Table 4</w:t>
            </w:r>
          </w:p>
        </w:tc>
        <w:tc>
          <w:tcPr>
            <w:tcW w:type="dxa" w:w="308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n=1.0 오차 0.04% / n=0.9 오차 0.02% / n=0.8 오차 0.47% / n=0.7 오차 9.95%</w:t>
            </w:r>
          </w:p>
        </w:tc>
        <w:tc>
          <w:tcPr>
            <w:tcW w:type="dxa" w:w="308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사용 가능</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Eq.(30) H_cen</w:t>
            </w:r>
          </w:p>
        </w:tc>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Table 5</w:t>
            </w:r>
          </w:p>
        </w:tc>
        <w:tc>
          <w:tcPr>
            <w:tcW w:type="dxa" w:w="308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7행 평균 오차 0.09%, 최대 0.14%</w:t>
            </w:r>
          </w:p>
        </w:tc>
        <w:tc>
          <w:tcPr>
            <w:tcW w:type="dxa" w:w="308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사용 가능</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Eq.(31) Lₐ</w:t>
            </w:r>
          </w:p>
        </w:tc>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Table 6</w:t>
            </w:r>
          </w:p>
        </w:tc>
        <w:tc>
          <w:tcPr>
            <w:tcW w:type="dxa" w:w="308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인쇄 6.47% 인 조건에서 12,153% 산출. 전 20행에서 논문값 대비 142 ~ 111,237배 이탈. log₁₀·ln 양쪽 모두 실패</w:t>
            </w:r>
          </w:p>
        </w:tc>
        <w:tc>
          <w:tcPr>
            <w:tcW w:type="dxa" w:w="308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사용 불가</w:t>
            </w:r>
          </w:p>
        </w:tc>
      </w:tr>
    </w:tbl>
    <w:p>
      <w:pPr>
        <w:pBdr>
          <w:left w:val="single" w:color="E08A00" w:sz="18"/>
        </w:pBdr>
        <w:shd w:fill="E8F0FE" w:val="clear"/>
        <w:spacing w:after="120" w:before="60"/>
        <w:ind w:left="120"/>
      </w:pPr>
      <w:r>
        <w:rPr>
          <w:rFonts w:ascii="Malgun Gothic" w:cs="Malgun Gothic" w:eastAsia="Malgun Gothic" w:hAnsi="Malgun Gothic"/>
          <w:sz w:val="19"/>
          <w:szCs w:val="19"/>
        </w:rPr>
        <w:t xml:space="preserve">★ 핵심: Eq.(29)·(30)이 소수점 둘째 자리까지 재현된다는 사실이 본 검증의 구현·해석이 정확함을 보증한다. 따라서 Eq.(31)의 불일치는 검증자 측 오류가 아니라 논문 측 결함으로 귀속된다.</w:t>
      </w:r>
    </w:p>
    <w:p>
      <w:pPr>
        <w:pStyle w:val="Heading3"/>
        <w:spacing w:after="120" w:before="240"/>
      </w:pPr>
      <w:r>
        <w:rPr>
          <w:rFonts w:ascii="Malgun Gothic" w:cs="Malgun Gothic" w:eastAsia="Malgun Gothic" w:hAnsi="Malgun Gothic"/>
          <w:b/>
          <w:bCs/>
          <w:color w:val="2E5C8A"/>
          <w:sz w:val="20"/>
          <w:szCs w:val="20"/>
        </w:rPr>
        <w:t xml:space="preserve">결함의 위치 특정</w:t>
      </w:r>
    </w:p>
    <w:p>
      <w:pPr>
        <w:spacing w:after="100" w:line="300"/>
      </w:pPr>
      <w:r>
        <w:rPr>
          <w:rFonts w:ascii="Malgun Gothic" w:cs="Malgun Gothic" w:eastAsia="Malgun Gothic" w:hAnsi="Malgun Gothic"/>
          <w:sz w:val="19"/>
          <w:szCs w:val="19"/>
        </w:rPr>
        <w:t xml:space="preserve">단일 상수의 오탈자라면 전 행에 걸쳐 배율이 일정해야 하나, 실제 배율은 142 ~ 111,237배로 782배 범위에 걸쳐 흩어진다. 즉 지수항 자체가 표와 정합하지 않는다. σ̄ 계열 4점(σ̄ = 1, 2, 3, 4 ×10⁻⁵ → Lₐ = 0.02, 6.47, 39.11, 69.50)을 3-파라미터 재적합한 결과는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2"/>
      </w:tblGrid>
      <w:tr>
        <w:trPr>
          <w:tblHeader/>
        </w:trPr>
        <w:tc>
          <w:tcPr>
            <w:tcW w:type="dxa" w:w="2995"/>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항목</w:t>
            </w:r>
          </w:p>
        </w:tc>
        <w:tc>
          <w:tcPr>
            <w:tcW w:type="dxa" w:w="318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표에서 역산한 값</w:t>
            </w:r>
          </w:p>
        </w:tc>
        <w:tc>
          <w:tcPr>
            <w:tcW w:type="dxa" w:w="318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Eq.(31) 인쇄값</w:t>
            </w:r>
          </w:p>
        </w:tc>
      </w:tr>
      <w:tr>
        <w:tc>
          <w:tcPr>
            <w:tcW w:type="dxa" w:w="299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log 인자 내 상수 C</w:t>
            </w:r>
          </w:p>
        </w:tc>
        <w:tc>
          <w:tcPr>
            <w:tcW w:type="dxa" w:w="318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7.24 × 10³⁹</w:t>
            </w:r>
          </w:p>
        </w:tc>
        <w:tc>
          <w:tcPr>
            <w:tcW w:type="dxa" w:w="318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7.49 × 10³⁹ → 거의 일치</w:t>
            </w:r>
          </w:p>
        </w:tc>
      </w:tr>
      <w:tr>
        <w:tc>
          <w:tcPr>
            <w:tcW w:type="dxa" w:w="2995"/>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σ̄ 지수 (n=0.8)</w:t>
            </w:r>
          </w:p>
        </w:tc>
        <w:tc>
          <w:tcPr>
            <w:tcW w:type="dxa" w:w="318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8.520</w:t>
            </w:r>
          </w:p>
        </w:tc>
        <w:tc>
          <w:tcPr>
            <w:tcW w:type="dxa" w:w="318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0.576 → 15배 불일치</w:t>
            </w:r>
          </w:p>
        </w:tc>
      </w:tr>
      <w:tr>
        <w:tc>
          <w:tcPr>
            <w:tcW w:type="dxa" w:w="2995"/>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prefactor</w:t>
            </w:r>
          </w:p>
        </w:tc>
        <w:tc>
          <w:tcPr>
            <w:tcW w:type="dxa" w:w="318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29.0</w:t>
            </w:r>
          </w:p>
        </w:tc>
        <w:tc>
          <w:tcPr>
            <w:tcW w:type="dxa" w:w="318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327.0</w:t>
            </w:r>
          </w:p>
        </w:tc>
      </w:tr>
    </w:tbl>
    <w:p>
      <w:pPr>
        <w:spacing w:after="100" w:line="300"/>
      </w:pPr>
      <w:r>
        <w:rPr>
          <w:rFonts w:ascii="Malgun Gothic" w:cs="Malgun Gothic" w:eastAsia="Malgun Gothic" w:hAnsi="Malgun Gothic"/>
          <w:sz w:val="19"/>
          <w:szCs w:val="19"/>
        </w:rPr>
        <w:t xml:space="preserve">즉 </w:t>
      </w:r>
      <w:r>
        <w:rPr>
          <w:rFonts w:ascii="Malgun Gothic" w:cs="Malgun Gothic" w:eastAsia="Malgun Gothic" w:hAnsi="Malgun Gothic"/>
          <w:b/>
          <w:bCs/>
          <w:sz w:val="19"/>
          <w:szCs w:val="19"/>
        </w:rPr>
        <w:t xml:space="preserve">log 인자의 계수는 맞으나 σ̄ 의 지수가 근본적으로 다르다</w:t>
      </w:r>
      <w:r>
        <w:rPr>
          <w:rFonts w:ascii="Malgun Gothic" w:cs="Malgun Gothic" w:eastAsia="Malgun Gothic" w:hAnsi="Malgun Gothic"/>
          <w:sz w:val="19"/>
          <w:szCs w:val="19"/>
        </w:rPr>
        <w:t xml:space="preserve">. 인쇄값 1.762·n^5.011 은 n=0.8 에서 0.576 을 주는데, 표를 재현하려면 8.52 가 필요하다(참고로 Masjedi–Khonsari의 σ̄ 지수는 6.015). 지수의 n-의존 구조가 인쇄 과정에서 훼손되었을 가능성이 높다.</w:t>
      </w:r>
    </w:p>
    <w:p>
      <w:pPr>
        <w:pStyle w:val="Heading3"/>
        <w:spacing w:after="120" w:before="240"/>
      </w:pPr>
      <w:r>
        <w:rPr>
          <w:rFonts w:ascii="Malgun Gothic" w:cs="Malgun Gothic" w:eastAsia="Malgun Gothic" w:hAnsi="Malgun Gothic"/>
          <w:b/>
          <w:bCs/>
          <w:color w:val="2E5C8A"/>
          <w:sz w:val="20"/>
          <w:szCs w:val="20"/>
        </w:rPr>
        <w:t xml:space="preserve">부수 발견 — 원문 표의 내부 오류 2건</w:t>
      </w:r>
    </w:p>
    <w:p>
      <w:pPr>
        <w:pStyle w:val="ListParagraph"/>
        <w:numPr>
          <w:ilvl w:val="0"/>
          <w:numId w:val="2"/>
        </w:numPr>
        <w:spacing w:after="60" w:line="290"/>
      </w:pPr>
      <w:r>
        <w:rPr>
          <w:rFonts w:ascii="Malgun Gothic" w:cs="Malgun Gothic" w:eastAsia="Malgun Gothic" w:hAnsi="Malgun Gothic"/>
          <w:sz w:val="19"/>
          <w:szCs w:val="19"/>
        </w:rPr>
        <w:t xml:space="preserve">Table 4, W=1×10⁻⁵ / U=5×10⁻¹⁰ 행의 커브핏 인쇄값 3.39×10⁻⁶ 은 </w:t>
      </w:r>
      <w:r>
        <w:rPr>
          <w:rFonts w:ascii="Malgun Gothic" w:cs="Malgun Gothic" w:eastAsia="Malgun Gothic" w:hAnsi="Malgun Gothic"/>
          <w:b/>
          <w:bCs/>
          <w:sz w:val="19"/>
          <w:szCs w:val="19"/>
        </w:rPr>
        <w:t xml:space="preserve">3.39×10⁻⁵ 의 오탈자</w:t>
      </w:r>
      <w:r>
        <w:rPr>
          <w:rFonts w:ascii="Malgun Gothic" w:cs="Malgun Gothic" w:eastAsia="Malgun Gothic" w:hAnsi="Malgun Gothic"/>
          <w:sz w:val="19"/>
          <w:szCs w:val="19"/>
        </w:rPr>
        <w:t xml:space="preserve">이다. 같은 행의 Error% 인쇄값 13.76 이 이 값에서만 성립한다(시뮬레이션 2.98×10⁻⁵).</w:t>
      </w:r>
    </w:p>
    <w:p>
      <w:pPr>
        <w:pStyle w:val="ListParagraph"/>
        <w:numPr>
          <w:ilvl w:val="0"/>
          <w:numId w:val="2"/>
        </w:numPr>
        <w:spacing w:after="60" w:line="290"/>
      </w:pPr>
      <w:r>
        <w:rPr>
          <w:rFonts w:ascii="Malgun Gothic" w:cs="Malgun Gothic" w:eastAsia="Malgun Gothic" w:hAnsi="Malgun Gothic"/>
          <w:sz w:val="19"/>
          <w:szCs w:val="19"/>
        </w:rPr>
        <w:t xml:space="preserve">Table 6 에서 </w:t>
      </w:r>
      <w:r>
        <w:rPr>
          <w:rFonts w:ascii="Malgun Gothic" w:cs="Malgun Gothic" w:eastAsia="Malgun Gothic" w:hAnsi="Malgun Gothic"/>
          <w:b/>
          <w:bCs/>
          <w:sz w:val="19"/>
          <w:szCs w:val="19"/>
        </w:rPr>
        <w:t xml:space="preserve">동일한 입력(W=1×10⁻⁵, U=1×10⁻⁹, G=4500, σ̄=2×10⁻⁵, n=0.80)이 4회 등장하는데 커브핏 값이 6.47(3회)과 7.50(1회)으로 다르다.</w:t>
      </w:r>
      <w:r>
        <w:rPr>
          <w:rFonts w:ascii="Malgun Gothic" w:cs="Malgun Gothic" w:eastAsia="Malgun Gothic" w:hAnsi="Malgun Gothic"/>
          <w:sz w:val="19"/>
          <w:szCs w:val="19"/>
        </w:rPr>
        <w:t xml:space="preserve"> 표 자체가 내부 정합성을 갖추지 못했다.</w:t>
      </w:r>
    </w:p>
    <w:p>
      <w:pPr>
        <w:pBdr>
          <w:left w:val="single" w:color="E08A00" w:sz="18"/>
        </w:pBdr>
        <w:shd w:fill="FFF4E5" w:val="clear"/>
        <w:spacing w:after="120" w:before="60"/>
        <w:ind w:left="120"/>
      </w:pPr>
      <w:r>
        <w:rPr>
          <w:rFonts w:ascii="Malgun Gothic" w:cs="Malgun Gothic" w:eastAsia="Malgun Gothic" w:hAnsi="Malgun Gothic"/>
          <w:sz w:val="19"/>
          <w:szCs w:val="19"/>
        </w:rPr>
        <w:t xml:space="preserve">★ 조치 권고: 정오표(erratum) 확인 또는 교신저자(Xu Han, xhan@hebut.edu.cn / Yourui Tao, taoyourui@hebut.edu.cn) 문의 전까지 그리스 Lₐ 식 Eq.(31)을 설계 문서에 인용하지 말 것. H_min·H_cen 식(Eq. 29·30)은 검증되었으므로 사용 가능하다.</w:t>
      </w:r>
    </w:p>
    <w:p>
      <w:pPr>
        <w:pStyle w:val="Heading2"/>
        <w:spacing w:after="120" w:before="240"/>
      </w:pPr>
      <w:r>
        <w:rPr>
          <w:rFonts w:ascii="Malgun Gothic" w:cs="Malgun Gothic" w:eastAsia="Malgun Gothic" w:hAnsi="Malgun Gothic"/>
          <w:b/>
          <w:bCs/>
          <w:color w:val="2E5C8A"/>
          <w:sz w:val="22"/>
          <w:szCs w:val="22"/>
        </w:rPr>
        <w:t xml:space="preserve">5.5 ★ 그럼에도 중요한 함의 — 검증범위 이탈 문제의 해소</w:t>
      </w:r>
    </w:p>
    <w:p>
      <w:pPr>
        <w:spacing w:after="100" w:line="300"/>
      </w:pPr>
      <w:r>
        <w:rPr>
          <w:rFonts w:ascii="Malgun Gothic" w:cs="Malgun Gothic" w:eastAsia="Malgun Gothic" w:hAnsi="Malgun Gothic"/>
          <w:sz w:val="19"/>
          <w:szCs w:val="19"/>
        </w:rPr>
        <w:t xml:space="preserve">Lₐ 식을 쓸 수 없더라도, 이 논문은 우리 프로젝트의 최대 리스크(§7.1의 U 하한 이탈)를 해소하는 결정적 근거를 제공한다. 무차원 속도가 </w:t>
      </w:r>
      <w:r>
        <w:rPr>
          <w:rFonts w:ascii="Malgun Gothic" w:cs="Malgun Gothic" w:eastAsia="Malgun Gothic" w:hAnsi="Malgun Gothic"/>
          <w:b/>
          <w:bCs/>
          <w:sz w:val="19"/>
          <w:szCs w:val="19"/>
        </w:rPr>
        <w:t xml:space="preserve">U = φ₀u₀/(E′R)</w:t>
      </w:r>
      <w:r>
        <w:rPr>
          <w:rFonts w:ascii="Malgun Gothic" w:cs="Malgun Gothic" w:eastAsia="Malgun Gothic" w:hAnsi="Malgun Gothic"/>
          <w:sz w:val="19"/>
          <w:szCs w:val="19"/>
        </w:rPr>
        <w:t xml:space="preserve"> 로 정의되고 φ₀ 가 그리스의 소성점도이기 때문이다.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591"/>
        <w:gridCol w:w="842"/>
        <w:gridCol w:w="1591"/>
        <w:gridCol w:w="842"/>
        <w:gridCol w:w="1217"/>
        <w:gridCol w:w="842"/>
      </w:tblGrid>
      <w:tr>
        <w:trPr>
          <w:tblHeader/>
        </w:trPr>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운전점</w:t>
            </w:r>
          </w:p>
        </w:tc>
        <w:tc>
          <w:tcPr>
            <w:tcW w:type="dxa" w:w="1591"/>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U (오일 0.080 Pa·s)</w:t>
            </w:r>
          </w:p>
        </w:tc>
        <w:tc>
          <w:tcPr>
            <w:tcW w:type="dxa" w:w="84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판정</w:t>
            </w:r>
          </w:p>
        </w:tc>
        <w:tc>
          <w:tcPr>
            <w:tcW w:type="dxa" w:w="1591"/>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U (그리스 4.796 Pa·sⁿ)</w:t>
            </w:r>
          </w:p>
        </w:tc>
        <w:tc>
          <w:tcPr>
            <w:tcW w:type="dxa" w:w="84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판정</w:t>
            </w:r>
          </w:p>
        </w:tc>
        <w:tc>
          <w:tcPr>
            <w:tcW w:type="dxa" w:w="1217"/>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W</w:t>
            </w:r>
          </w:p>
        </w:tc>
        <w:tc>
          <w:tcPr>
            <w:tcW w:type="dxa" w:w="84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판정</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고풍속 u=0.40, Q=450 kN</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3.13 × 10⁻¹²</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1.87 × 10⁻¹⁰</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217"/>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2.75e-4</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정격 u=0.30, Q=300 kN</w:t>
            </w:r>
          </w:p>
        </w:tc>
        <w:tc>
          <w:tcPr>
            <w:tcW w:type="dxa" w:w="1591"/>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2.34 × 10⁻¹²</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591"/>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1.41 × 10⁻¹⁰</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217"/>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1.83e-4</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중풍속 u=0.20, Q=300 kN</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1.56 × 10⁻¹²</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9.37 × 10⁻¹¹</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217"/>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1.83e-4</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저풍속 u=0.08, Q=120 kN</w:t>
            </w:r>
          </w:p>
        </w:tc>
        <w:tc>
          <w:tcPr>
            <w:tcW w:type="dxa" w:w="1591"/>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6.25 × 10⁻¹³</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★이탈</w:t>
            </w:r>
          </w:p>
        </w:tc>
        <w:tc>
          <w:tcPr>
            <w:tcW w:type="dxa" w:w="1591"/>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3.75 × 10⁻¹¹</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217"/>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7.33e-5</w:t>
            </w:r>
          </w:p>
        </w:tc>
        <w:tc>
          <w:tcPr>
            <w:tcW w:type="dxa" w:w="84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기동 u=0.03, Q=120 kN</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2.34 × 10⁻¹³</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★이탈</w:t>
            </w:r>
          </w:p>
        </w:tc>
        <w:tc>
          <w:tcPr>
            <w:tcW w:type="dxa" w:w="1591"/>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1.41 × 10⁻¹¹</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c>
          <w:tcPr>
            <w:tcW w:type="dxa" w:w="1217"/>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7.33e-5</w:t>
            </w:r>
          </w:p>
        </w:tc>
        <w:tc>
          <w:tcPr>
            <w:tcW w:type="dxa" w:w="84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OK</w:t>
            </w:r>
          </w:p>
        </w:tc>
      </w:tr>
    </w:tbl>
    <w:p>
      <w:pPr>
        <w:pBdr>
          <w:left w:val="single" w:color="E08A00" w:sz="18"/>
        </w:pBdr>
        <w:shd w:fill="E8F0FE" w:val="clear"/>
        <w:spacing w:after="120" w:before="60"/>
        <w:ind w:left="120"/>
      </w:pPr>
      <w:r>
        <w:rPr>
          <w:rFonts w:ascii="Malgun Gothic" w:cs="Malgun Gothic" w:eastAsia="Malgun Gothic" w:hAnsi="Malgun Gothic"/>
          <w:sz w:val="19"/>
          <w:szCs w:val="19"/>
        </w:rPr>
        <w:t xml:space="preserve">★ 그리스 소성점도(예시 4.796 Pa·sⁿ)는 기유 점도의 약 60배이므로 U가 두 자릿수 상승하고, 기동 조건(u=0.03 m/s)까지 전 운전점이 Wu 검증범위(5×10⁻¹² ~ 8×10⁻⁸) 안에 들어온다. 오일 기준으로 판단했을 때의 '저속 외삽 리스크'는 그리스 물성으로 평가하면 상당 부분 해소된다. 단 실제 그리스의 (φ₀, n) 실측이 전제이다.</w:t>
      </w:r>
    </w:p>
    <w:p>
      <w:pPr>
        <w:pStyle w:val="Heading3"/>
        <w:spacing w:after="120" w:before="240"/>
      </w:pPr>
      <w:r>
        <w:rPr>
          <w:rFonts w:ascii="Malgun Gothic" w:cs="Malgun Gothic" w:eastAsia="Malgun Gothic" w:hAnsi="Malgun Gothic"/>
          <w:b/>
          <w:bCs/>
          <w:color w:val="2E5C8A"/>
          <w:sz w:val="20"/>
          <w:szCs w:val="20"/>
        </w:rPr>
        <w:t xml:space="preserve">유막두께 재평가 — 오일 기준 판단은 과소평가일 수 있다</w:t>
      </w:r>
    </w:p>
    <w:p>
      <w:pPr>
        <w:spacing w:after="100" w:line="300"/>
      </w:pPr>
      <w:r>
        <w:rPr>
          <w:rFonts w:ascii="Malgun Gothic" w:cs="Malgun Gothic" w:eastAsia="Malgun Gothic" w:hAnsi="Malgun Gothic"/>
          <w:sz w:val="19"/>
          <w:szCs w:val="19"/>
        </w:rPr>
        <w:t xml:space="preserve">동일 운전점을 오일식(Masjedi–Khonsari)과 그리스식(Wu Eq.29, n=0.85 가정)으로 각각 계산한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966"/>
        <w:gridCol w:w="1404"/>
        <w:gridCol w:w="1966"/>
        <w:gridCol w:w="1404"/>
        <w:gridCol w:w="1310"/>
      </w:tblGrid>
      <w:tr>
        <w:trPr>
          <w:tblHeader/>
        </w:trPr>
        <w:tc>
          <w:tcPr>
            <w:tcW w:type="dxa" w:w="131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u [m/s]</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오일 h_min [nm]</w:t>
            </w:r>
          </w:p>
        </w:tc>
        <w:tc>
          <w:tcPr>
            <w:tcW w:type="dxa" w:w="140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Λ (오일)</w:t>
            </w:r>
          </w:p>
        </w:tc>
        <w:tc>
          <w:tcPr>
            <w:tcW w:type="dxa" w:w="196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그리스 h_min [nm]</w:t>
            </w:r>
          </w:p>
        </w:tc>
        <w:tc>
          <w:tcPr>
            <w:tcW w:type="dxa" w:w="140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Λ (그리스)</w:t>
            </w:r>
          </w:p>
        </w:tc>
        <w:tc>
          <w:tcPr>
            <w:tcW w:type="dxa" w:w="1310"/>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비율</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0.40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313</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1.40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878</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3.92</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2.8×</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0.30</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274</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1.22</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798</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3.56</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2.9×</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0.20</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216</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0.96</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654</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2.92</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3.0×</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0.08</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158</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0.71</w:t>
            </w:r>
          </w:p>
        </w:tc>
        <w:tc>
          <w:tcPr>
            <w:tcW w:type="dxa" w:w="196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469</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2.09</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3.0×</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0.03</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114</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0.51</w:t>
            </w:r>
          </w:p>
        </w:tc>
        <w:tc>
          <w:tcPr>
            <w:tcW w:type="dxa" w:w="196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306</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1.37</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2.7×</w:t>
            </w:r>
          </w:p>
        </w:tc>
      </w:tr>
    </w:tbl>
    <w:p>
      <w:pPr>
        <w:spacing w:after="100" w:line="300"/>
      </w:pPr>
      <w:r>
        <w:rPr>
          <w:rFonts w:ascii="Malgun Gothic" w:cs="Malgun Gothic" w:eastAsia="Malgun Gothic" w:hAnsi="Malgun Gothic"/>
          <w:sz w:val="19"/>
          <w:szCs w:val="19"/>
        </w:rPr>
        <w:t xml:space="preserve">그리스 기준으로는 Λ가 1.37 ~ 3.92 로 상승하여 </w:t>
      </w:r>
      <w:r>
        <w:rPr>
          <w:rFonts w:ascii="Malgun Gothic" w:cs="Malgun Gothic" w:eastAsia="Malgun Gothic" w:hAnsi="Malgun Gothic"/>
          <w:b/>
          <w:bCs/>
          <w:sz w:val="19"/>
          <w:szCs w:val="19"/>
        </w:rPr>
        <w:t xml:space="preserve">전 운전점이 Wu의 피팅 제약 λ &gt; 1 을 만족</w:t>
      </w:r>
      <w:r>
        <w:rPr>
          <w:rFonts w:ascii="Malgun Gothic" w:cs="Malgun Gothic" w:eastAsia="Malgun Gothic" w:hAnsi="Malgun Gothic"/>
          <w:sz w:val="19"/>
          <w:szCs w:val="19"/>
        </w:rPr>
        <w:t xml:space="preserve">한다. 이는 논문 본문의 서술과도 일치한다 — “under the same working conditions, the film thickness of the analyzed grease is much larger than that of oil”. 유동지수 n이 작아 유막을 낮추는 효과보다 소성점도가 커서 U를 올리는 효과가 훨씬 크기 때문이다. §7.5에서 인용한 Morales-Espejel·Lugt(2014)의 “저속 그리스 유막이 기유보다 두껍다”는 결론과도 정합한다.</w:t>
      </w:r>
    </w:p>
    <w:p>
      <w:pPr>
        <w:pBdr>
          <w:left w:val="single" w:color="E08A00" w:sz="18"/>
        </w:pBdr>
        <w:shd w:fill="FDECEA" w:val="clear"/>
        <w:spacing w:after="120" w:before="60"/>
        <w:ind w:left="120"/>
      </w:pPr>
      <w:r>
        <w:rPr>
          <w:rFonts w:ascii="Malgun Gothic" w:cs="Malgun Gothic" w:eastAsia="Malgun Gothic" w:hAnsi="Malgun Gothic"/>
          <w:sz w:val="19"/>
          <w:szCs w:val="19"/>
        </w:rPr>
        <w:t xml:space="preserve">★ 단, 이 표는 완전침수(fully flooded) 전제이다. 실제 그리스 메인베어링은 기아 상태이며, 논문 스스로 “if an additional effect (e.g., starvation) needs to be considered, a corresponding correction factor should be introduced into the proposed formulas”라고 명시한다. 즉 이 결과는 기아 보정을 적용하기 전의 상한값으로 읽어야 한다.</w:t>
      </w:r>
    </w:p>
    <w:p>
      <w:pPr>
        <w:pStyle w:val="Heading2"/>
        <w:spacing w:after="120" w:before="240"/>
      </w:pPr>
      <w:r>
        <w:rPr>
          <w:rFonts w:ascii="Malgun Gothic" w:cs="Malgun Gothic" w:eastAsia="Malgun Gothic" w:hAnsi="Malgun Gothic"/>
          <w:b/>
          <w:bCs/>
          <w:color w:val="2E5C8A"/>
          <w:sz w:val="22"/>
          <w:szCs w:val="22"/>
        </w:rPr>
        <w:t xml:space="preserve">5.6 논문이 명시한 한계</w:t>
      </w:r>
    </w:p>
    <w:p>
      <w:pPr>
        <w:pStyle w:val="ListParagraph"/>
        <w:numPr>
          <w:ilvl w:val="0"/>
          <w:numId w:val="2"/>
        </w:numPr>
        <w:spacing w:after="60" w:line="290"/>
      </w:pPr>
      <w:r>
        <w:rPr>
          <w:rFonts w:ascii="Malgun Gothic" w:cs="Malgun Gothic" w:eastAsia="Malgun Gothic" w:hAnsi="Malgun Gothic"/>
          <w:sz w:val="19"/>
          <w:szCs w:val="19"/>
        </w:rPr>
        <w:t xml:space="preserve">순수 구름 가정. “the prediction formulas may be inaccurate under the high slide-to-roll ratio condition” — 볼스크류·캠 등 고 SRR 조건 부적합</w:t>
      </w:r>
    </w:p>
    <w:p>
      <w:pPr>
        <w:pStyle w:val="ListParagraph"/>
        <w:numPr>
          <w:ilvl w:val="0"/>
          <w:numId w:val="2"/>
        </w:numPr>
        <w:spacing w:after="60" w:line="290"/>
      </w:pPr>
      <w:r>
        <w:rPr>
          <w:rFonts w:ascii="Malgun Gothic" w:cs="Malgun Gothic" w:eastAsia="Malgun Gothic" w:hAnsi="Malgun Gothic"/>
          <w:sz w:val="19"/>
          <w:szCs w:val="19"/>
        </w:rPr>
        <w:t xml:space="preserve">등온·정상상태. 고 열영향 조건 부적합</w:t>
      </w:r>
    </w:p>
    <w:p>
      <w:pPr>
        <w:pStyle w:val="ListParagraph"/>
        <w:numPr>
          <w:ilvl w:val="0"/>
          <w:numId w:val="2"/>
        </w:numPr>
        <w:spacing w:after="60" w:line="290"/>
      </w:pPr>
      <w:r>
        <w:rPr>
          <w:rFonts w:ascii="Malgun Gothic" w:cs="Malgun Gothic" w:eastAsia="Malgun Gothic" w:hAnsi="Malgun Gothic"/>
          <w:sz w:val="19"/>
          <w:szCs w:val="19"/>
        </w:rPr>
        <w:t xml:space="preserve">등방성(isotropic) 표면에 한정. 조도 구조·방향성은 별도 연구로 미룸</w:t>
      </w:r>
    </w:p>
    <w:p>
      <w:pPr>
        <w:pStyle w:val="ListParagraph"/>
        <w:numPr>
          <w:ilvl w:val="0"/>
          <w:numId w:val="2"/>
        </w:numPr>
        <w:spacing w:after="60" w:line="290"/>
      </w:pPr>
      <w:r>
        <w:rPr>
          <w:rFonts w:ascii="Malgun Gothic" w:cs="Malgun Gothic" w:eastAsia="Malgun Gothic" w:hAnsi="Malgun Gothic"/>
          <w:sz w:val="19"/>
          <w:szCs w:val="19"/>
        </w:rPr>
        <w:t xml:space="preserve">Ostwald 모델을 따르는 그리스에 한정. 항복응력(Bingham/Herschel–Bulkley) 효과는 τ_s = 0 으로 무시</w:t>
      </w:r>
    </w:p>
    <w:p>
      <w:pPr>
        <w:pStyle w:val="ListParagraph"/>
        <w:numPr>
          <w:ilvl w:val="0"/>
          <w:numId w:val="2"/>
        </w:numPr>
        <w:spacing w:after="60" w:line="290"/>
      </w:pPr>
      <w:r>
        <w:rPr>
          <w:rFonts w:ascii="Malgun Gothic" w:cs="Malgun Gothic" w:eastAsia="Malgun Gothic" w:hAnsi="Malgun Gothic"/>
          <w:sz w:val="19"/>
          <w:szCs w:val="19"/>
        </w:rPr>
        <w:t xml:space="preserve">“The values out of the range are not investigated” — 표 3 범위 밖은 미조사</w:t>
      </w:r>
    </w:p>
    <w:p>
      <w:pPr>
        <w:spacing w:after="100" w:line="300"/>
      </w:pPr>
      <w:r>
        <w:rPr>
          <w:rFonts w:ascii="Malgun Gothic" w:cs="Malgun Gothic" w:eastAsia="Malgun Gothic" w:hAnsi="Malgun Gothic"/>
          <w:sz w:val="19"/>
          <w:szCs w:val="19"/>
        </w:rPr>
        <w:t xml:space="preserve">논문이 스스로 제시하는 활용처는 우리 목적과 정확히 일치한다 — “can be used to establish the </w:t>
      </w:r>
      <w:r>
        <w:rPr>
          <w:rFonts w:ascii="Malgun Gothic" w:cs="Malgun Gothic" w:eastAsia="Malgun Gothic" w:hAnsi="Malgun Gothic"/>
          <w:i/>
          <w:iCs/>
          <w:sz w:val="19"/>
          <w:szCs w:val="19"/>
        </w:rPr>
        <w:t xml:space="preserve">limit state equation for lubrication reliability analysis</w:t>
      </w:r>
      <w:r>
        <w:rPr>
          <w:rFonts w:ascii="Malgun Gothic" w:cs="Malgun Gothic" w:eastAsia="Malgun Gothic" w:hAnsi="Malgun Gothic"/>
          <w:sz w:val="19"/>
          <w:szCs w:val="19"/>
        </w:rPr>
        <w:t xml:space="preserve">, study the </w:t>
      </w:r>
      <w:r>
        <w:rPr>
          <w:rFonts w:ascii="Malgun Gothic" w:cs="Malgun Gothic" w:eastAsia="Malgun Gothic" w:hAnsi="Malgun Gothic"/>
          <w:i/>
          <w:iCs/>
          <w:sz w:val="19"/>
          <w:szCs w:val="19"/>
        </w:rPr>
        <w:t xml:space="preserve">sensitivity of the lubrication state</w:t>
      </w:r>
      <w:r>
        <w:rPr>
          <w:rFonts w:ascii="Malgun Gothic" w:cs="Malgun Gothic" w:eastAsia="Malgun Gothic" w:hAnsi="Malgun Gothic"/>
          <w:sz w:val="19"/>
          <w:szCs w:val="19"/>
        </w:rPr>
        <w:t xml:space="preserve"> to changes in input parameters, and </w:t>
      </w:r>
      <w:r>
        <w:rPr>
          <w:rFonts w:ascii="Malgun Gothic" w:cs="Malgun Gothic" w:eastAsia="Malgun Gothic" w:hAnsi="Malgun Gothic"/>
          <w:i/>
          <w:iCs/>
          <w:sz w:val="19"/>
          <w:szCs w:val="19"/>
        </w:rPr>
        <w:t xml:space="preserve">rewrite the Archard wear model</w:t>
      </w:r>
      <w:r>
        <w:rPr>
          <w:rFonts w:ascii="Malgun Gothic" w:cs="Malgun Gothic" w:eastAsia="Malgun Gothic" w:hAnsi="Malgun Gothic"/>
          <w:sz w:val="19"/>
          <w:szCs w:val="19"/>
        </w:rPr>
        <w:t xml:space="preserve"> to account for lubrication effects.”</w:t>
      </w:r>
    </w:p>
    <w:p>
      <w:r>
        <w:br w:type="page"/>
      </w:r>
    </w:p>
    <w:p>
      <w:pPr>
        <w:pStyle w:val="Heading1"/>
        <w:spacing w:after="120" w:before="320"/>
      </w:pPr>
      <w:r>
        <w:rPr>
          <w:rFonts w:ascii="Malgun Gothic" w:cs="Malgun Gothic" w:eastAsia="Malgun Gothic" w:hAnsi="Malgun Gothic"/>
          <w:b/>
          <w:bCs/>
          <w:color w:val="1F3864"/>
          <w:sz w:val="27"/>
          <w:szCs w:val="27"/>
        </w:rPr>
        <w:t xml:space="preserve">6. 대안·경쟁 정량평가 체계</w:t>
      </w:r>
    </w:p>
    <w:p>
      <w:pPr>
        <w:pStyle w:val="Heading2"/>
        <w:spacing w:after="120" w:before="240"/>
      </w:pPr>
      <w:r>
        <w:rPr>
          <w:rFonts w:ascii="Malgun Gothic" w:cs="Malgun Gothic" w:eastAsia="Malgun Gothic" w:hAnsi="Malgun Gothic"/>
          <w:b/>
          <w:bCs/>
          <w:color w:val="2E5C8A"/>
          <w:sz w:val="22"/>
          <w:szCs w:val="22"/>
        </w:rPr>
        <w:t xml:space="preserve">6.1 프레임워크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2434"/>
        <w:gridCol w:w="2059"/>
      </w:tblGrid>
      <w:tr>
        <w:trPr>
          <w:tblHeader/>
        </w:trPr>
        <w:tc>
          <w:tcPr>
            <w:tcW w:type="dxa" w:w="205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프레임워크</w:t>
            </w:r>
          </w:p>
        </w:tc>
        <w:tc>
          <w:tcPr>
            <w:tcW w:type="dxa" w:w="280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구동 변수</w:t>
            </w:r>
          </w:p>
        </w:tc>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출력</w:t>
            </w:r>
          </w:p>
        </w:tc>
        <w:tc>
          <w:tcPr>
            <w:tcW w:type="dxa" w:w="205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돌기하중 명시?</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SKF GBLM (2015~)</w:t>
            </w:r>
          </w:p>
        </w:tc>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표면 피로응력 σ_s (미세EHL 압력장+트랙션)의 면적적분</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표면/체적 생존확률 분리 수명</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없음 (응력 기반)</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Morales-Espejel &amp; Brizmer 마이크로피팅 (2011)</w:t>
            </w:r>
          </w:p>
        </w:tc>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돌기 압력/응력 사이클 수 + 마일드 마모의 경쟁</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손상누적 D, 조도 진화</w:t>
            </w:r>
          </w:p>
        </w:tc>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부분적 (압력장에 내재)</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Zhu &amp; Wang 결정론 mixed EHL</w:t>
            </w:r>
          </w:p>
        </w:tc>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결정론적 압력/막두께 장</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contact area ratio, 돌기 지지 하중분율</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있음 (명시적)</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ISO 281 a_ISO</w:t>
            </w:r>
          </w:p>
        </w:tc>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κ = ν/ν₁ (+ e_C, C_u/P)</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수명수정계수</w:t>
            </w:r>
          </w:p>
        </w:tc>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없음</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ISO/TS 6336-22</w:t>
            </w:r>
          </w:p>
        </w:tc>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λ_GF = h/Ra</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마이크로피팅 안전율 S_λ</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없음</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ISO/TS 6336-20/21, AGMA 925</w:t>
            </w:r>
          </w:p>
        </w:tc>
        <w:tc>
          <w:tcPr>
            <w:tcW w:type="dxa" w:w="280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플래시/적분 온도</w:t>
            </w:r>
          </w:p>
        </w:tc>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스커핑 안전율</w:t>
            </w:r>
          </w:p>
        </w:tc>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없음</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Load-sharing 계열 (Lₐ 포함)</w:t>
            </w:r>
          </w:p>
        </w:tc>
        <w:tc>
          <w:tcPr>
            <w:tcW w:type="dxa" w:w="280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Λ 또는 무차원군</w:t>
            </w:r>
          </w:p>
        </w:tc>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 돌기 하중 분율 (%)</w:t>
            </w:r>
          </w:p>
        </w:tc>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있음 (핵심 출력)</w:t>
            </w:r>
          </w:p>
        </w:tc>
      </w:tr>
    </w:tbl>
    <w:p>
      <w:pPr>
        <w:pStyle w:val="Heading2"/>
        <w:spacing w:after="120" w:before="240"/>
      </w:pPr>
      <w:r>
        <w:rPr>
          <w:rFonts w:ascii="Malgun Gothic" w:cs="Malgun Gothic" w:eastAsia="Malgun Gothic" w:hAnsi="Malgun Gothic"/>
          <w:b/>
          <w:bCs/>
          <w:color w:val="2E5C8A"/>
          <w:sz w:val="22"/>
          <w:szCs w:val="22"/>
        </w:rPr>
        <w:t xml:space="preserve">6.2 SKF GBLM — 산업계의 방향</w:t>
      </w:r>
    </w:p>
    <w:p>
      <w:pPr>
        <w:spacing w:after="100" w:line="300"/>
      </w:pPr>
      <w:r>
        <w:rPr>
          <w:rFonts w:ascii="Malgun Gothic" w:cs="Malgun Gothic" w:eastAsia="Malgun Gothic" w:hAnsi="Malgun Gothic"/>
          <w:sz w:val="19"/>
          <w:szCs w:val="19"/>
        </w:rPr>
        <w:t xml:space="preserve">Weibull 곱셈법칙을 출발점으로, 종래 Ioannides–Harris의 체적적분에 면적적분 항을 추가하여 표면/서브서피스 생존확률을 분리한다.</w:t>
      </w:r>
    </w:p>
    <w:p>
      <w:pPr>
        <w:shd w:fill="F2F4F7" w:val="clear"/>
        <w:spacing w:after="80" w:before="80"/>
      </w:pPr>
      <w:r>
        <w:rPr>
          <w:rFonts w:ascii="Consolas" w:cs="Consolas" w:eastAsia="Consolas" w:hAnsi="Consolas"/>
          <w:sz w:val="17"/>
          <w:szCs w:val="17"/>
        </w:rPr>
        <w:t xml:space="preserve">  ln[1/S(N)] = ∫_V G_v(N) dV  +  ĥ ∫_A G_s(N) dA</w:t>
      </w:r>
    </w:p>
    <w:p>
      <w:pPr>
        <w:shd w:fill="F2F4F7" w:val="clear"/>
        <w:spacing w:after="80" w:before="80"/>
      </w:pPr>
      <w:r>
        <w:rPr>
          <w:rFonts w:ascii="Consolas" w:cs="Consolas" w:eastAsia="Consolas" w:hAnsi="Consolas"/>
          <w:sz w:val="17"/>
          <w:szCs w:val="17"/>
        </w:rPr>
        <w:t xml:space="preserve">               └ 서브서피스 ┘      └── 표면 ──┘</w:t>
      </w:r>
    </w:p>
    <w:p>
      <w:pPr>
        <w:pStyle w:val="ListParagraph"/>
        <w:numPr>
          <w:ilvl w:val="0"/>
          <w:numId w:val="2"/>
        </w:numPr>
        <w:spacing w:after="60" w:line="290"/>
      </w:pPr>
      <w:r>
        <w:rPr>
          <w:rFonts w:ascii="Malgun Gothic" w:cs="Malgun Gothic" w:eastAsia="Malgun Gothic" w:hAnsi="Malgun Gothic"/>
          <w:sz w:val="19"/>
          <w:szCs w:val="19"/>
        </w:rPr>
        <w:t xml:space="preserve">표면항의 구동량은 κ도 막두께도 아닌 ★ 표면 피로응력 σ_s 이다. 실제 3D 조도맵 위에서 비뉴턴 혼합윤활 EHL을 결정론적으로 풀어 얻는다.</w:t>
      </w:r>
    </w:p>
    <w:p>
      <w:pPr>
        <w:pStyle w:val="ListParagraph"/>
        <w:numPr>
          <w:ilvl w:val="0"/>
          <w:numId w:val="2"/>
        </w:numPr>
        <w:spacing w:after="60" w:line="290"/>
      </w:pPr>
      <w:r>
        <w:rPr>
          <w:rFonts w:ascii="Malgun Gothic" w:cs="Malgun Gothic" w:eastAsia="Malgun Gothic" w:hAnsi="Malgun Gothic"/>
          <w:sz w:val="19"/>
          <w:szCs w:val="19"/>
        </w:rPr>
        <w:t xml:space="preserve">κ는 직접 입력이 아니라 윤활계수 η_lub 를 통해 간접적으로만 들어간다 — κ가 '표면 리스크의 대용 지표'로 강등된 셈이다.</w:t>
      </w:r>
    </w:p>
    <w:p>
      <w:pPr>
        <w:pStyle w:val="ListParagraph"/>
        <w:numPr>
          <w:ilvl w:val="0"/>
          <w:numId w:val="2"/>
        </w:numPr>
        <w:spacing w:after="60" w:line="290"/>
      </w:pPr>
      <w:r>
        <w:rPr>
          <w:rFonts w:ascii="Malgun Gothic" w:cs="Malgun Gothic" w:eastAsia="Malgun Gothic" w:hAnsi="Malgun Gothic"/>
          <w:sz w:val="19"/>
          <w:szCs w:val="19"/>
        </w:rPr>
        <w:t xml:space="preserve">돌기 하중분율·실접촉면적은 명시적으로 등장하지 않는다. 압력장 안에 내재될 뿐 분할량을 별도 상태변수로 노출하지 않는다.</w:t>
      </w:r>
    </w:p>
    <w:p>
      <w:pPr>
        <w:pStyle w:val="ListParagraph"/>
        <w:numPr>
          <w:ilvl w:val="0"/>
          <w:numId w:val="2"/>
        </w:numPr>
        <w:spacing w:after="60" w:line="290"/>
      </w:pPr>
      <w:r>
        <w:rPr>
          <w:rFonts w:ascii="Malgun Gothic" w:cs="Malgun Gothic" w:eastAsia="Malgun Gothic" w:hAnsi="Malgun Gothic"/>
          <w:sz w:val="19"/>
          <w:szCs w:val="19"/>
        </w:rPr>
        <w:t xml:space="preserve">검증 데이터에서 κ=0.1 과 κ=4 사이 수명비가 3자릿수(약 1000배) 차이.</w:t>
      </w:r>
    </w:p>
    <w:p>
      <w:pPr>
        <w:spacing w:after="100" w:line="300"/>
      </w:pPr>
      <w:r>
        <w:rPr>
          <w:rFonts w:ascii="Malgun Gothic" w:cs="Malgun Gothic" w:eastAsia="Malgun Gothic" w:hAnsi="Malgun Gothic"/>
          <w:sz w:val="19"/>
          <w:szCs w:val="19"/>
        </w:rPr>
        <w:t xml:space="preserve">포지셔닝: GBLM은 '표면 손상을 수명으로 환산'하는 상위 프레임워크이고,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'표면 손상 구동 조건을 정량화'하는 하위 지표이다. </w:t>
      </w:r>
      <w:r>
        <w:rPr>
          <w:rFonts w:ascii="Malgun Gothic" w:cs="Malgun Gothic" w:eastAsia="Malgun Gothic" w:hAnsi="Malgun Gothic"/>
          <w:b/>
          <w:bCs/>
          <w:sz w:val="19"/>
          <w:szCs w:val="19"/>
        </w:rPr>
        <w:t xml:space="preserve">경쟁이 아니라 계층이 다르다.</w:t>
      </w:r>
      <w:r>
        <w:rPr>
          <w:rFonts w:ascii="Malgun Gothic" w:cs="Malgun Gothic" w:eastAsia="Malgun Gothic" w:hAnsi="Malgun Gothic"/>
          <w:sz w:val="19"/>
          <w:szCs w:val="19"/>
        </w:rPr>
        <w:t xml:space="preserve"> 다만 GBLM의 커브핏 상수는 비공개이므로 외부에서 재현할 수 없다는 점이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의 상대적 장점이다.</w:t>
      </w:r>
    </w:p>
    <w:p>
      <w:pPr>
        <w:pStyle w:val="Heading2"/>
        <w:spacing w:after="120" w:before="240"/>
      </w:pPr>
      <w:r>
        <w:rPr>
          <w:rFonts w:ascii="Malgun Gothic" w:cs="Malgun Gothic" w:eastAsia="Malgun Gothic" w:hAnsi="Malgun Gothic"/>
          <w:b/>
          <w:bCs/>
          <w:color w:val="2E5C8A"/>
          <w:sz w:val="22"/>
          <w:szCs w:val="22"/>
        </w:rPr>
        <w:t xml:space="preserve">6.3 마이크로피팅 모델과 SRR의 진짜 역할</w:t>
      </w:r>
    </w:p>
    <w:p>
      <w:pPr>
        <w:spacing w:after="100" w:line="300"/>
      </w:pPr>
      <w:r>
        <w:rPr>
          <w:rFonts w:ascii="Malgun Gothic" w:cs="Malgun Gothic" w:eastAsia="Malgun Gothic" w:hAnsi="Malgun Gothic"/>
          <w:sz w:val="19"/>
          <w:szCs w:val="19"/>
        </w:rPr>
        <w:t xml:space="preserve">Morales-Espejel &amp; Brizmer (2011) 계열의 구동량은 '돌기가 접촉을 통과하며 만드는 응력 사이클의 크기와 개수'이며, 여기에 마일드 마모(Archard형)가 조도를 깎아 응력집중을 완화하는 경쟁 메커니즘이 결합된다. 공개 재현판(Zhou et al. 2019, Coatings 9:639)은 3D 결정론 mixed-EHL → von Mises 응력 → rainflow counting → Goodman 보정 → S-N → Palmgren-Miner D ≥ 1 의 구조를 명시한다.</w:t>
      </w:r>
    </w:p>
    <w:p>
      <w:pPr>
        <w:pBdr>
          <w:left w:val="single" w:color="E08A00" w:sz="18"/>
        </w:pBdr>
        <w:shd w:fill="E8F0FE" w:val="clear"/>
        <w:spacing w:after="120" w:before="60"/>
        <w:ind w:left="120"/>
      </w:pPr>
      <w:r>
        <w:rPr>
          <w:rFonts w:ascii="Malgun Gothic" w:cs="Malgun Gothic" w:eastAsia="Malgun Gothic" w:hAnsi="Malgun Gothic"/>
          <w:sz w:val="19"/>
          <w:szCs w:val="19"/>
        </w:rPr>
        <w:t xml:space="preserve">★ Rycerz &amp; Kadiric (2019, Tribology Letters): “the main mechanism by which increase in SRR promotes micropitting is by increasing the number of micro-contact stress cycles experienced by roughness asperities.” 저자들은 이것이 ISO 표준이 채택한 메커니즘(SRR 증가 → 유막두께 감소)과 다르다고 명시적으로 반박한다. 즉 막두께 기반 표준 기준의 물리적 취약점이 문헌으로 지적되어 있다.</w:t>
      </w:r>
    </w:p>
    <w:p>
      <w:pPr>
        <w:pStyle w:val="Heading3"/>
        <w:spacing w:after="120" w:before="240"/>
      </w:pPr>
      <w:r>
        <w:rPr>
          <w:rFonts w:ascii="Malgun Gothic" w:cs="Malgun Gothic" w:eastAsia="Malgun Gothic" w:hAnsi="Malgun Gothic"/>
          <w:b/>
          <w:bCs/>
          <w:color w:val="2E5C8A"/>
          <w:sz w:val="20"/>
          <w:szCs w:val="20"/>
        </w:rPr>
        <w:t xml:space="preserve">Zhu &amp; Wang 결정론 해석 — Lₐ가 근사하려는 '정답'</w:t>
      </w:r>
    </w:p>
    <w:p>
      <w:pPr>
        <w:pStyle w:val="ListParagraph"/>
        <w:numPr>
          <w:ilvl w:val="0"/>
          <w:numId w:val="2"/>
        </w:numPr>
        <w:spacing w:after="60" w:line="290"/>
      </w:pPr>
      <w:r>
        <w:rPr>
          <w:rFonts w:ascii="Malgun Gothic" w:cs="Malgun Gothic" w:eastAsia="Malgun Gothic" w:hAnsi="Malgun Gothic"/>
          <w:sz w:val="19"/>
          <w:szCs w:val="19"/>
        </w:rPr>
        <w:t xml:space="preserve">λ &gt; 0.6 ~ 1.2 에서 “little or no asperity contact is found” → 전통적 'λ&gt;3 = full film' 관념 반박</w:t>
      </w:r>
    </w:p>
    <w:p>
      <w:pPr>
        <w:pStyle w:val="ListParagraph"/>
        <w:numPr>
          <w:ilvl w:val="0"/>
          <w:numId w:val="2"/>
        </w:numPr>
        <w:spacing w:after="60" w:line="290"/>
      </w:pPr>
      <w:r>
        <w:rPr>
          <w:rFonts w:ascii="Malgun Gothic" w:cs="Malgun Gothic" w:eastAsia="Malgun Gothic" w:hAnsi="Malgun Gothic"/>
          <w:sz w:val="19"/>
          <w:szCs w:val="19"/>
        </w:rPr>
        <w:t xml:space="preserve">λ ≈ 0.05 ~ 0.1 에서도 상당 부분의 하중이 여전히 유막에 의해 지지됨</w:t>
      </w:r>
    </w:p>
    <w:p>
      <w:pPr>
        <w:pStyle w:val="ListParagraph"/>
        <w:numPr>
          <w:ilvl w:val="0"/>
          <w:numId w:val="2"/>
        </w:numPr>
        <w:spacing w:after="60" w:line="290"/>
      </w:pPr>
      <w:r>
        <w:rPr>
          <w:rFonts w:ascii="Malgun Gothic" w:cs="Malgun Gothic" w:eastAsia="Malgun Gothic" w:hAnsi="Malgun Gothic"/>
          <w:sz w:val="19"/>
          <w:szCs w:val="19"/>
        </w:rPr>
        <w:t xml:space="preserve">결론: 실제 혼합윤활 영역은 λ ≈ 0.01~0.05 ~ 0.6~1.2 로, 전통적 0.5~3.0 보다 훨씬 좁다</w:t>
      </w:r>
    </w:p>
    <w:p>
      <w:pPr>
        <w:pStyle w:val="ListParagraph"/>
        <w:numPr>
          <w:ilvl w:val="0"/>
          <w:numId w:val="2"/>
        </w:numPr>
        <w:spacing w:after="60" w:line="290"/>
      </w:pPr>
      <w:r>
        <w:rPr>
          <w:rFonts w:ascii="Malgun Gothic" w:cs="Malgun Gothic" w:eastAsia="Malgun Gothic" w:hAnsi="Malgun Gothic"/>
          <w:sz w:val="19"/>
          <w:szCs w:val="19"/>
        </w:rPr>
        <w:t xml:space="preserve">출력: ★ contact area ratio, average gap, 돌기 지지 하중분율 — Lₐ와 동일 범주의 양을 결정론적으로 산출</w:t>
      </w:r>
    </w:p>
    <w:p>
      <w:pPr>
        <w:spacing w:after="100" w:line="300"/>
      </w:pPr>
      <w:r>
        <w:rPr>
          <w:rFonts w:ascii="Malgun Gothic" w:cs="Malgun Gothic" w:eastAsia="Malgun Gothic" w:hAnsi="Malgun Gothic"/>
          <w:sz w:val="19"/>
          <w:szCs w:val="19"/>
        </w:rPr>
        <w:t xml:space="preserve">포지셔닝: Zhu–Wang은 'λ 하나로는 혼합윤활 심각도를 표현할 수 없다'를 결정론적 계산으로 입증했고, 그 대안으로 접촉면적비/하중분율을 사용한다. </w:t>
      </w:r>
      <w:r>
        <w:rPr>
          <w:rFonts w:ascii="Malgun Gothic" w:cs="Malgun Gothic" w:eastAsia="Malgun Gothic" w:hAnsi="Malgun Gothic"/>
          <w:b/>
          <w:bCs/>
          <w:sz w:val="19"/>
          <w:szCs w:val="19"/>
        </w:rPr>
        <w:t xml:space="preserve">L</w:t>
      </w:r>
      <w:r>
        <w:rPr>
          <w:rFonts w:ascii="Malgun Gothic" w:cs="Malgun Gothic" w:eastAsia="Malgun Gothic" w:hAnsi="Malgun Gothic"/>
          <w:b/>
          <w:bCs/>
          <w:sz w:val="14"/>
          <w:szCs w:val="14"/>
        </w:rPr>
        <w:t xml:space="preserve">a</w:t>
      </w:r>
      <w:r>
        <w:rPr>
          <w:rFonts w:ascii="Malgun Gothic" w:cs="Malgun Gothic" w:eastAsia="Malgun Gothic" w:hAnsi="Malgun Gothic"/>
          <w:b/>
          <w:bCs/>
          <w:sz w:val="19"/>
          <w:szCs w:val="19"/>
        </w:rPr>
        <w:t xml:space="preserve">는 이 결정론적 출력의 닫힌형 대용(closed-form surrogate)으로 위치지을 수 있다.</w:t>
      </w:r>
      <w:r>
        <w:rPr>
          <w:rFonts w:ascii="Malgun Gothic" w:cs="Malgun Gothic" w:eastAsia="Malgun Gothic" w:hAnsi="Malgun Gothic"/>
          <w:sz w:val="19"/>
          <w:szCs w:val="19"/>
        </w:rPr>
        <w:t xml:space="preserve"> 이것이 본 제안에 가장 잘 맞는 프레이밍이다.</w:t>
      </w:r>
    </w:p>
    <w:p>
      <w:pPr>
        <w:pStyle w:val="Heading2"/>
        <w:spacing w:after="120" w:before="240"/>
      </w:pPr>
      <w:r>
        <w:rPr>
          <w:rFonts w:ascii="Malgun Gothic" w:cs="Malgun Gothic" w:eastAsia="Malgun Gothic" w:hAnsi="Malgun Gothic"/>
          <w:b/>
          <w:bCs/>
          <w:color w:val="2E5C8A"/>
          <w:sz w:val="22"/>
          <w:szCs w:val="22"/>
        </w:rPr>
        <w:t xml:space="preserve">6.4 표준 체계 — asperity 하중을 쓰는 표준은 없다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118"/>
        <w:gridCol w:w="3182"/>
      </w:tblGrid>
      <w:tr>
        <w:trPr>
          <w:tblHeader/>
        </w:trPr>
        <w:tc>
          <w:tcPr>
            <w:tcW w:type="dxa" w:w="205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표준</w:t>
            </w:r>
          </w:p>
        </w:tc>
        <w:tc>
          <w:tcPr>
            <w:tcW w:type="dxa" w:w="411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혼합윤활 취급</w:t>
            </w:r>
          </w:p>
        </w:tc>
        <w:tc>
          <w:tcPr>
            <w:tcW w:type="dxa" w:w="318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한계 / 본 프로젝트 시사점</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 281:2007</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a_ISO = f(κ, e_C·C_u/P). κ = ν/ν₁ 는 평활 표면 가정의 막두께 대용지표</w:t>
            </w:r>
          </w:p>
        </w:tc>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κ &gt; 4 는 4로 절단, ★ κ &lt; 0.1 에서 접근법 자체가 무효이며 대안 없음. 조도 σ 값을 사용하지 않음. 전동피로만 다루며 마모·접착은 범위 밖</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ISO/TR 1281-2:2008</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a_ISO의 배경 해설. Ioannides–Harris 응력적분 기반</w:t>
            </w:r>
          </w:p>
        </w:tc>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Clause 7이 '마모의 영향'을 별도로 다룬다는 사실 자체가 a_ISO 본체에 마모가 없음을 뜻함. Clause 11(κ↔Λ 관계)은 확보 권장</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 15243:2017</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손상모드 분류: 5.1.3 표면기인피로, 5.2.2 연마마모, 5.2.3 접착마모/스미어링, 5.3.3.3 false brinelling</w:t>
            </w:r>
          </w:p>
        </w:tc>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순수 정성 분류 표준. 어떤 정량 임계값·판정식도 없음. '5.1.3이 발생할 것인가'를 판정할 표준 도구가 부재</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ISO/TS 6336-22:2018</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기어 마이크로피팅. λ_GF = h/Ra, 안전율 S_λ = λ_GF,min / λ_GFP</w:t>
            </w:r>
          </w:p>
        </w:tc>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가장 근접한 표준화 정량기준. IEC 61400-4는 S_λ &gt; 2.0 권고. ★ 그러나 표준 스스로 “high safety factors do not indicate low risk of micropitting” 이라 명시</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ISO/TS 6336-20/21, AGMA 925</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스커핑 — 플래시/적분 온도</w:t>
            </w:r>
          </w:p>
        </w:tc>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구동변수가 온도. 돌기하중 미사용</w:t>
            </w:r>
          </w:p>
        </w:tc>
      </w:tr>
    </w:tbl>
    <w:p>
      <w:pPr>
        <w:pBdr>
          <w:left w:val="single" w:color="E08A00" w:sz="18"/>
        </w:pBdr>
        <w:shd w:fill="FDECEA" w:val="clear"/>
        <w:spacing w:after="120" w:before="60"/>
        <w:ind w:left="120"/>
      </w:pPr>
      <w:r>
        <w:rPr>
          <w:rFonts w:ascii="Malgun Gothic" w:cs="Malgun Gothic" w:eastAsia="Malgun Gothic" w:hAnsi="Malgun Gothic"/>
          <w:sz w:val="19"/>
          <w:szCs w:val="19"/>
        </w:rPr>
        <w:t xml:space="preserve">★ 전수 확인 결과: ISO 281, ISO/TR 1281-1/-2, ISO/TS 16281, ISO 15243, ISO 6336 시리즈, AGMA 925, IEC 61400-4, DNVGL-ST-0361 중 asperity 하중 분율·load-sharing 계수·실접촉면적비를 판정량으로 채택한 표준은 하나도 없다. 따라서 Lₐ 채택은 '표준 준수 경로'가 아니라 '보완적 엔지니어링 판단 경로'로 제시해야 하며, 인증 문서에서 κ/λ 기반 표준 계산을 대체할 수 없다.</w:t>
      </w:r>
    </w:p>
    <w:p>
      <w:pPr>
        <w:pBdr>
          <w:left w:val="single" w:color="E08A00" w:sz="18"/>
        </w:pBdr>
        <w:shd w:fill="FFF4E5" w:val="clear"/>
        <w:spacing w:after="120" w:before="60"/>
        <w:ind w:left="120"/>
      </w:pPr>
      <w:r>
        <w:rPr>
          <w:rFonts w:ascii="Malgun Gothic" w:cs="Malgun Gothic" w:eastAsia="Malgun Gothic" w:hAnsi="Malgun Gothic"/>
          <w:sz w:val="19"/>
          <w:szCs w:val="19"/>
        </w:rPr>
        <w:t xml:space="preserve">용어 혼동 주의: AGMA 925에 나오는 “load sharing factor”는 치(齒) 간 하중분담(물림률)이지 유막-돌기 간 하중분담이 아니다.</w:t>
      </w:r>
    </w:p>
    <w:p>
      <w:pPr>
        <w:pStyle w:val="Heading2"/>
        <w:spacing w:after="120" w:before="240"/>
      </w:pPr>
      <w:r>
        <w:rPr>
          <w:rFonts w:ascii="Malgun Gothic" w:cs="Malgun Gothic" w:eastAsia="Malgun Gothic" w:hAnsi="Malgun Gothic"/>
          <w:b/>
          <w:bCs/>
          <w:color w:val="2E5C8A"/>
          <w:sz w:val="22"/>
          <w:szCs w:val="22"/>
        </w:rPr>
        <w:t xml:space="preserve">6.5 경쟁 load-sharing 식군 — 교차검증용</w:t>
      </w:r>
    </w:p>
    <w:p>
      <w:pPr>
        <w:spacing w:after="100" w:line="300"/>
      </w:pPr>
      <w:r>
        <w:rPr>
          <w:rFonts w:ascii="Malgun Gothic" w:cs="Malgun Gothic" w:eastAsia="Malgun Gothic" w:hAnsi="Malgun Gothic"/>
          <w:sz w:val="19"/>
          <w:szCs w:val="19"/>
        </w:rPr>
        <w:t xml:space="preserve">Lₐ 대신(또는 병행하여) 사용할 수 있는 Λ 기반 접촉하중비 X_l 공식군 (Spies, Parab &amp; Fatemi 2025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모델</w:t>
            </w:r>
          </w:p>
        </w:tc>
        <w:tc>
          <w:tcPr>
            <w:tcW w:type="dxa" w:w="673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식</w:t>
            </w:r>
          </w:p>
        </w:tc>
      </w:tr>
      <w:tr>
        <w:tc>
          <w:tcPr>
            <w:tcW w:type="dxa" w:w="262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Coy</w:t>
            </w:r>
          </w:p>
        </w:tc>
        <w:tc>
          <w:tcPr>
            <w:tcW w:type="dxa" w:w="673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X_l = 1 − λ/3  (λ&lt;3), 이후 0</w:t>
            </w:r>
          </w:p>
        </w:tc>
      </w:tr>
      <w:tr>
        <w:tc>
          <w:tcPr>
            <w:tcW w:type="dxa" w:w="262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Greenwood &amp; Williamson</w:t>
            </w:r>
          </w:p>
        </w:tc>
        <w:tc>
          <w:tcPr>
            <w:tcW w:type="dxa" w:w="673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X_l = F_{3/2}(cλ) / F_{3/2}(0)</w:t>
            </w:r>
          </w:p>
        </w:tc>
      </w:tr>
      <w:tr>
        <w:tc>
          <w:tcPr>
            <w:tcW w:type="dxa" w:w="262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Greenwood &amp; Tripp</w:t>
            </w:r>
          </w:p>
        </w:tc>
        <w:tc>
          <w:tcPr>
            <w:tcW w:type="dxa" w:w="673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X_l = F_{5/2}(cλ) / F_{5/2}(0)</w:t>
            </w:r>
          </w:p>
        </w:tc>
      </w:tr>
      <w:tr>
        <w:tc>
          <w:tcPr>
            <w:tcW w:type="dxa" w:w="262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Bush, Gibson &amp; Thomas</w:t>
            </w:r>
          </w:p>
        </w:tc>
        <w:tc>
          <w:tcPr>
            <w:tcW w:type="dxa" w:w="673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X_l = erfc(λ/√2)</w:t>
            </w:r>
          </w:p>
        </w:tc>
      </w:tr>
      <w:tr>
        <w:tc>
          <w:tcPr>
            <w:tcW w:type="dxa" w:w="262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Olver &amp; Spikes</w:t>
            </w:r>
          </w:p>
        </w:tc>
        <w:tc>
          <w:tcPr>
            <w:tcW w:type="dxa" w:w="673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 = (1+λ)^(−m)</w:t>
            </w:r>
          </w:p>
        </w:tc>
      </w:tr>
      <w:tr>
        <w:tc>
          <w:tcPr>
            <w:tcW w:type="dxa" w:w="2621"/>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Castro &amp; Seabra</w:t>
            </w:r>
          </w:p>
        </w:tc>
        <w:tc>
          <w:tcPr>
            <w:tcW w:type="dxa" w:w="673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 = 1 − 0.84 λ^0.23   (λ &lt; 2.1)</w:t>
            </w:r>
          </w:p>
        </w:tc>
      </w:tr>
      <w:tr>
        <w:tc>
          <w:tcPr>
            <w:tcW w:type="dxa" w:w="2621"/>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Taylor &amp; Sherrington</w:t>
            </w:r>
          </w:p>
        </w:tc>
        <w:tc>
          <w:tcPr>
            <w:tcW w:type="dxa" w:w="673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X = 1/(1+λ^k)^a</w:t>
            </w:r>
          </w:p>
        </w:tc>
      </w:tr>
    </w:tbl>
    <w:p>
      <w:pPr>
        <w:pBdr>
          <w:left w:val="single" w:color="E08A00" w:sz="18"/>
        </w:pBdr>
        <w:shd w:fill="FDECEA" w:val="clear"/>
        <w:spacing w:after="120" w:before="60"/>
        <w:ind w:left="120"/>
      </w:pPr>
      <w:r>
        <w:rPr>
          <w:rFonts w:ascii="Malgun Gothic" w:cs="Malgun Gothic" w:eastAsia="Malgun Gothic" w:hAnsi="Malgun Gothic"/>
          <w:sz w:val="19"/>
          <w:szCs w:val="19"/>
        </w:rPr>
        <w:t xml:space="preserve">★ 반드시 반영해야 할 반론 — Spies, Parab &amp; Fatemi (2025), Tribology International 211:110812: 동일한 통계적 조도값(같은 Rq)을 갖지만 높이분포(Gaussian/Bi-Gaussian/Weibull)와 방향성(등방/종/횡)이 다른 표면들이 실질적으로 다른 load-sharing 거동을 보인다. 결론: “future load-sharing models must incorporate additional roughness parameters reflecting distribution and anisotropy effects.” Lₐ는 σ̄ 하나로 조도를 표현하므로 이 비판의 직접 대상이다.</w:t>
      </w:r>
    </w:p>
    <w:p>
      <w:pPr>
        <w:pStyle w:val="Heading2"/>
        <w:spacing w:after="120" w:before="240"/>
      </w:pPr>
      <w:r>
        <w:rPr>
          <w:rFonts w:ascii="Malgun Gothic" w:cs="Malgun Gothic" w:eastAsia="Malgun Gothic" w:hAnsi="Malgun Gothic"/>
          <w:b/>
          <w:bCs/>
          <w:color w:val="2E5C8A"/>
          <w:sz w:val="22"/>
          <w:szCs w:val="22"/>
        </w:rPr>
        <w:t xml:space="preserve">6.6 실험적 아날로그 — 전기임피던스 breakdown ratio</w:t>
      </w:r>
    </w:p>
    <w:p>
      <w:pPr>
        <w:spacing w:after="100" w:line="300"/>
      </w:pPr>
      <w:r>
        <w:rPr>
          <w:rFonts w:ascii="Malgun Gothic" w:cs="Malgun Gothic" w:eastAsia="Malgun Gothic" w:hAnsi="Malgun Gothic"/>
          <w:sz w:val="19"/>
          <w:szCs w:val="19"/>
        </w:rPr>
        <w:t xml:space="preserve">Maruyama et al. (2024, Front. Mech. Eng. 10:1489311) 등은 1 MHz AC 임피던스로 유막두께와 금속접촉 면적비 α를 동시 측정한다.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tblHeader/>
        </w:trPr>
        <w:tc>
          <w:tcPr>
            <w:tcW w:type="dxa" w:w="205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유입속도 U [m/s]</w:t>
            </w:r>
          </w:p>
        </w:tc>
        <w:tc>
          <w:tcPr>
            <w:tcW w:type="dxa" w:w="1872"/>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α</w:t>
            </w:r>
          </w:p>
        </w:tc>
        <w:tc>
          <w:tcPr>
            <w:tcW w:type="dxa" w:w="5429"/>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의미</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0.5 / 0.1</w:t>
            </w:r>
          </w:p>
        </w:tc>
        <w:tc>
          <w:tcPr>
            <w:tcW w:type="dxa" w:w="187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 0</w:t>
            </w:r>
          </w:p>
        </w:tc>
        <w:tc>
          <w:tcPr>
            <w:tcW w:type="dxa" w:w="542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유체윤활</w:t>
            </w:r>
          </w:p>
        </w:tc>
      </w:tr>
      <w:tr>
        <w:tc>
          <w:tcPr>
            <w:tcW w:type="dxa" w:w="205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0.02</w:t>
            </w:r>
          </w:p>
        </w:tc>
        <w:tc>
          <w:tcPr>
            <w:tcW w:type="dxa" w:w="1872"/>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&gt; 0</w:t>
            </w:r>
          </w:p>
        </w:tc>
        <w:tc>
          <w:tcPr>
            <w:tcW w:type="dxa" w:w="5429"/>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혼합윤활 확인</w:t>
            </w:r>
          </w:p>
        </w:tc>
      </w:tr>
      <w:tr>
        <w:tc>
          <w:tcPr>
            <w:tcW w:type="dxa" w:w="205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0.005</w:t>
            </w:r>
          </w:p>
        </w:tc>
        <w:tc>
          <w:tcPr>
            <w:tcW w:type="dxa" w:w="1872"/>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높음</w:t>
            </w:r>
          </w:p>
        </w:tc>
        <w:tc>
          <w:tcPr>
            <w:tcW w:type="dxa" w:w="542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혼합윤활 심화</w:t>
            </w:r>
          </w:p>
        </w:tc>
      </w:tr>
    </w:tbl>
    <w:p>
      <w:pPr>
        <w:spacing w:after="100" w:line="300"/>
      </w:pPr>
      <w:r>
        <w:rPr>
          <w:rFonts w:ascii="Malgun Gothic" w:cs="Malgun Gothic" w:eastAsia="Malgun Gothic" w:hAnsi="Malgun Gothic"/>
          <w:sz w:val="19"/>
          <w:szCs w:val="19"/>
        </w:rPr>
        <w:t xml:space="preserve">Λ &gt; 3 에서 α ≈ 0 (하중 무관), Λ = 3 이 전이점, Λ &lt; 3 에서 α 급증하며 동일 Λ에서도 하중 증가 시 α 증가. 측정된 속도 구간이 풍력 메인베어링 영역(0.03~0.4 m/s)에 인접·중첩한다.</w:t>
      </w:r>
    </w:p>
    <w:p>
      <w:pPr>
        <w:pBdr>
          <w:left w:val="single" w:color="E08A00" w:sz="18"/>
        </w:pBdr>
        <w:shd w:fill="FFF4E5" w:val="clear"/>
        <w:spacing w:after="120" w:before="60"/>
        <w:ind w:left="120"/>
      </w:pPr>
      <w:r>
        <w:rPr>
          <w:rFonts w:ascii="Malgun Gothic" w:cs="Malgun Gothic" w:eastAsia="Malgun Gothic" w:hAnsi="Malgun Gothic"/>
          <w:sz w:val="19"/>
          <w:szCs w:val="19"/>
        </w:rPr>
        <w:t xml:space="preserve">★ 결정적 유보: ECR/임피던스가 주는 α는 '면적비(area fraction)'이지 '하중분담비(load fraction)'가 아니다. 두 값은 동일하지 않다. α를 Lₐ의 직접 검증치로 쓰는 것은 부적절하며 '동일 방향의 독립 증거'로만 사용해야 한다. 이는 Lₐ의 구조적 약점이기도 하다 — 어떤 실험도 하중분담비를 직접 측정하지 못하며, 검증은 항상 마찰계수·접촉저항·마모율 등 대리 관측량을 경유한다.</w:t>
      </w:r>
    </w:p>
    <w:p>
      <w:r>
        <w:br w:type="page"/>
      </w:r>
    </w:p>
    <w:p>
      <w:pPr>
        <w:pStyle w:val="Heading1"/>
        <w:spacing w:after="120" w:before="320"/>
      </w:pPr>
      <w:r>
        <w:rPr>
          <w:rFonts w:ascii="Malgun Gothic" w:cs="Malgun Gothic" w:eastAsia="Malgun Gothic" w:hAnsi="Malgun Gothic"/>
          <w:b/>
          <w:bCs/>
          <w:color w:val="1F3864"/>
          <w:sz w:val="27"/>
          <w:szCs w:val="27"/>
        </w:rPr>
        <w:t xml:space="preserve">7. 본 프로젝트 적용성 자체 검증 (계산)</w:t>
      </w:r>
    </w:p>
    <w:p>
      <w:pPr>
        <w:spacing w:after="100" w:line="300"/>
      </w:pPr>
      <w:r>
        <w:rPr>
          <w:rFonts w:ascii="Malgun Gothic" w:cs="Malgun Gothic" w:eastAsia="Malgun Gothic" w:hAnsi="Malgun Gothic"/>
          <w:sz w:val="19"/>
          <w:szCs w:val="19"/>
        </w:rPr>
        <w:t xml:space="preserve">본 장의 수치는 조사자가 원식(2.2절)을 직접 구현하여 산출한 것으로, 문헌 인용이 아니다. 가정: R = 45 mm, E′ = 227.5 GPa, μ₀ = 0.080 Pa·s, α = 2.0×10⁻⁸ m²/N, σ = 0.224 μm (합성), h_d = 6.87 GPa (700 HV), L_we = 160 mm.</w:t>
      </w:r>
    </w:p>
    <w:p>
      <w:pPr>
        <w:pStyle w:val="Heading2"/>
        <w:spacing w:after="120" w:before="240"/>
      </w:pPr>
      <w:r>
        <w:rPr>
          <w:rFonts w:ascii="Malgun Gothic" w:cs="Malgun Gothic" w:eastAsia="Malgun Gothic" w:hAnsi="Malgun Gothic"/>
          <w:b/>
          <w:bCs/>
          <w:color w:val="2E5C8A"/>
          <w:sz w:val="22"/>
          <w:szCs w:val="22"/>
        </w:rPr>
        <w:t xml:space="preserve">7.1 검증범위 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123"/>
        <w:gridCol w:w="1123"/>
        <w:gridCol w:w="936"/>
        <w:gridCol w:w="936"/>
        <w:gridCol w:w="936"/>
        <w:gridCol w:w="936"/>
        <w:gridCol w:w="936"/>
      </w:tblGrid>
      <w:tr>
        <w:trPr>
          <w:tblHeader/>
        </w:trPr>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6"/>
                <w:szCs w:val="16"/>
              </w:rPr>
              <w:t xml:space="preserve">운전점</w:t>
            </w:r>
          </w:p>
        </w:tc>
        <w:tc>
          <w:tcPr>
            <w:tcW w:type="dxa" w:w="1123"/>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W</w:t>
            </w:r>
          </w:p>
        </w:tc>
        <w:tc>
          <w:tcPr>
            <w:tcW w:type="dxa" w:w="1123"/>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U</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M_l</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L</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Λ</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Lₐ [%]</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6"/>
                <w:szCs w:val="16"/>
              </w:rPr>
              <w:t xml:space="preserve">범위</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고풍속 u=0.40, Q=450 kN</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2.74e-4</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3.13e-12</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110</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7.19</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1.40</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6.2</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V↑</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정격 u=0.30, Q=300 kN</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1.83e-4</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2.34e-12</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85</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6.70</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1.22</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10.7</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V↑</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중풍속 u=0.20, Q=300 kN</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1.83e-4</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1.56e-12</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104</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6.05</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0.96</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17.5</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V↑</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저풍속 u=0.08, Q=120 kN</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7.33e-5</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6.25e-13</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66</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4.81</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0.71</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47.9</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U↓ V↑</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6"/>
                <w:szCs w:val="16"/>
              </w:rPr>
              <w:t xml:space="preserve">기동 u=0.03, Q=120 kN</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7.33e-5</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2.34e-13</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107</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3.77</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0.51</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79.6</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6"/>
                <w:szCs w:val="16"/>
              </w:rPr>
              <w:t xml:space="preserve">U↓ V↑</w:t>
            </w:r>
          </w:p>
        </w:tc>
      </w:tr>
    </w:tbl>
    <w:p>
      <w:pPr>
        <w:pStyle w:val="ListParagraph"/>
        <w:numPr>
          <w:ilvl w:val="0"/>
          <w:numId w:val="2"/>
        </w:numPr>
        <w:spacing w:after="60" w:line="290"/>
      </w:pPr>
      <w:r>
        <w:rPr>
          <w:rFonts w:ascii="Malgun Gothic" w:cs="Malgun Gothic" w:eastAsia="Malgun Gothic" w:hAnsi="Malgun Gothic"/>
          <w:b/>
          <w:bCs/>
          <w:sz w:val="19"/>
          <w:szCs w:val="19"/>
        </w:rPr>
        <w:t xml:space="preserve">W, G, σ̄ 는 전 구간 검증범위 내</w:t>
      </w:r>
      <w:r>
        <w:rPr>
          <w:rFonts w:ascii="Malgun Gothic" w:cs="Malgun Gothic" w:eastAsia="Malgun Gothic" w:hAnsi="Malgun Gothic"/>
          <w:sz w:val="19"/>
          <w:szCs w:val="19"/>
        </w:rPr>
        <w:t xml:space="preserve">. 하중·재료·조도 측면에서는 문제 없음.</w:t>
      </w:r>
    </w:p>
    <w:p>
      <w:pPr>
        <w:pStyle w:val="ListParagraph"/>
        <w:numPr>
          <w:ilvl w:val="0"/>
          <w:numId w:val="2"/>
        </w:numPr>
        <w:spacing w:after="60" w:line="290"/>
      </w:pPr>
      <w:r>
        <w:rPr>
          <w:rFonts w:ascii="Malgun Gothic" w:cs="Malgun Gothic" w:eastAsia="Malgun Gothic" w:hAnsi="Malgun Gothic"/>
          <w:b/>
          <w:bCs/>
          <w:sz w:val="19"/>
          <w:szCs w:val="19"/>
        </w:rPr>
        <w:t xml:space="preserve">V = 0.030 은 검증 상한과 동일</w:t>
      </w:r>
      <w:r>
        <w:rPr>
          <w:rFonts w:ascii="Malgun Gothic" w:cs="Malgun Gothic" w:eastAsia="Malgun Gothic" w:hAnsi="Malgun Gothic"/>
          <w:sz w:val="19"/>
          <w:szCs w:val="19"/>
        </w:rPr>
        <w:t xml:space="preserve">. 베어링강 58~62 HRC는 항상 이 경계에 놓인다.</w:t>
      </w:r>
    </w:p>
    <w:p>
      <w:pPr>
        <w:pStyle w:val="ListParagraph"/>
        <w:numPr>
          <w:ilvl w:val="0"/>
          <w:numId w:val="2"/>
        </w:numPr>
        <w:spacing w:after="60" w:line="290"/>
      </w:pPr>
      <w:r>
        <w:rPr>
          <w:rFonts w:ascii="Malgun Gothic" w:cs="Malgun Gothic" w:eastAsia="Malgun Gothic" w:hAnsi="Malgun Gothic"/>
          <w:b/>
          <w:bCs/>
          <w:sz w:val="19"/>
          <w:szCs w:val="19"/>
        </w:rPr>
        <w:t xml:space="preserve">★ U는 저풍속·기동 구간에서 검증 하한(1×10⁻¹²)을 밑돈다</w:t>
      </w:r>
      <w:r>
        <w:rPr>
          <w:rFonts w:ascii="Malgun Gothic" w:cs="Malgun Gothic" w:eastAsia="Malgun Gothic" w:hAnsi="Malgun Gothic"/>
          <w:sz w:val="19"/>
          <w:szCs w:val="19"/>
        </w:rPr>
        <w:t xml:space="preserve">. U 지수가 ln 인자 내에서 −3.741 로 극단적이므로 외삽 오차가 크다.</w:t>
      </w:r>
    </w:p>
    <w:p>
      <w:pPr>
        <w:pStyle w:val="ListParagraph"/>
        <w:numPr>
          <w:ilvl w:val="0"/>
          <w:numId w:val="2"/>
        </w:numPr>
        <w:spacing w:after="60" w:line="290"/>
      </w:pPr>
      <w:r>
        <w:rPr>
          <w:rFonts w:ascii="Malgun Gothic" w:cs="Malgun Gothic" w:eastAsia="Malgun Gothic" w:hAnsi="Malgun Gothic"/>
          <w:sz w:val="19"/>
          <w:szCs w:val="19"/>
        </w:rPr>
        <w:t xml:space="preserve">기동 조건은 Λ = 0.51 (원문 무효 기준 0.5에 근접) 및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 79.6% (원문 주의 기준 70% 초과)로 </w:t>
      </w:r>
      <w:r>
        <w:rPr>
          <w:rFonts w:ascii="Malgun Gothic" w:cs="Malgun Gothic" w:eastAsia="Malgun Gothic" w:hAnsi="Malgun Gothic"/>
          <w:b/>
          <w:bCs/>
          <w:sz w:val="19"/>
          <w:szCs w:val="19"/>
        </w:rPr>
        <w:t xml:space="preserve">이중 경고 상태</w:t>
      </w:r>
      <w:r>
        <w:rPr>
          <w:rFonts w:ascii="Malgun Gothic" w:cs="Malgun Gothic" w:eastAsia="Malgun Gothic" w:hAnsi="Malgun Gothic"/>
          <w:sz w:val="19"/>
          <w:szCs w:val="19"/>
        </w:rPr>
        <w:t xml:space="preserve">이다.</w:t>
      </w:r>
    </w:p>
    <w:p>
      <w:pPr>
        <w:pStyle w:val="Heading2"/>
        <w:spacing w:after="120" w:before="240"/>
      </w:pPr>
      <w:r>
        <w:rPr>
          <w:rFonts w:ascii="Malgun Gothic" w:cs="Malgun Gothic" w:eastAsia="Malgun Gothic" w:hAnsi="Malgun Gothic"/>
          <w:b/>
          <w:bCs/>
          <w:color w:val="2E5C8A"/>
          <w:sz w:val="22"/>
          <w:szCs w:val="22"/>
        </w:rPr>
        <w:t xml:space="preserve">7.2 ★ Moes 좌표로의 환원 가능성 — 중요한 기술적 판별</w:t>
      </w:r>
    </w:p>
    <w:p>
      <w:pPr>
        <w:spacing w:after="100" w:line="300"/>
      </w:pPr>
      <w:r>
        <w:rPr>
          <w:rFonts w:ascii="Malgun Gothic" w:cs="Malgun Gothic" w:eastAsia="Malgun Gothic" w:hAnsi="Malgun Gothic"/>
          <w:sz w:val="19"/>
          <w:szCs w:val="19"/>
        </w:rPr>
        <w:t xml:space="preserve">Hart et al.은 검증범위를 Moes 파라미터 M_l = W(2U)^(−1/2), L = G(2U)^(1/4) 로 표현하여 M_l ∈ [1.41, 353.55], L ∈ [2.97, 28.20] 을 인용한다. 본 조사에서 원문 Table 1 의 (W, U, G) 상자를 이 좌표로 변환한 결과 </w:t>
      </w:r>
      <w:r>
        <w:rPr>
          <w:rFonts w:ascii="Malgun Gothic" w:cs="Malgun Gothic" w:eastAsia="Malgun Gothic" w:hAnsi="Malgun Gothic"/>
          <w:b/>
          <w:bCs/>
          <w:sz w:val="19"/>
          <w:szCs w:val="19"/>
        </w:rPr>
        <w:t xml:space="preserve">네 모서리 값이 소수점 두 자리까지 완전히 일치함을 확인</w:t>
      </w:r>
      <w:r>
        <w:rPr>
          <w:rFonts w:ascii="Malgun Gothic" w:cs="Malgun Gothic" w:eastAsia="Malgun Gothic" w:hAnsi="Malgun Gothic"/>
          <w:sz w:val="19"/>
          <w:szCs w:val="19"/>
        </w:rPr>
        <w:t xml:space="preserve">하였다. 즉 두 표현은 동일한 상자이다.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항목</w:t>
            </w:r>
          </w:p>
        </w:tc>
        <w:tc>
          <w:tcPr>
            <w:tcW w:type="dxa" w:w="3089"/>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본 조사 계산값</w:t>
            </w:r>
          </w:p>
        </w:tc>
        <w:tc>
          <w:tcPr>
            <w:tcW w:type="dxa" w:w="3089"/>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Hart et al. 인용값</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M_l 최소</w:t>
            </w:r>
          </w:p>
        </w:tc>
        <w:tc>
          <w:tcPr>
            <w:tcW w:type="dxa" w:w="308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1.41</w:t>
            </w:r>
          </w:p>
        </w:tc>
        <w:tc>
          <w:tcPr>
            <w:tcW w:type="dxa" w:w="308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1.41</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M_l 최대</w:t>
            </w:r>
          </w:p>
        </w:tc>
        <w:tc>
          <w:tcPr>
            <w:tcW w:type="dxa" w:w="3089"/>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353.55</w:t>
            </w:r>
          </w:p>
        </w:tc>
        <w:tc>
          <w:tcPr>
            <w:tcW w:type="dxa" w:w="3089"/>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353.55</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 최소</w:t>
            </w:r>
          </w:p>
        </w:tc>
        <w:tc>
          <w:tcPr>
            <w:tcW w:type="dxa" w:w="308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2.97</w:t>
            </w:r>
          </w:p>
        </w:tc>
        <w:tc>
          <w:tcPr>
            <w:tcW w:type="dxa" w:w="3089"/>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2.97</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 최대</w:t>
            </w:r>
          </w:p>
        </w:tc>
        <w:tc>
          <w:tcPr>
            <w:tcW w:type="dxa" w:w="3089"/>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28.20</w:t>
            </w:r>
          </w:p>
        </w:tc>
        <w:tc>
          <w:tcPr>
            <w:tcW w:type="dxa" w:w="3089"/>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28.20</w:t>
            </w:r>
          </w:p>
        </w:tc>
      </w:tr>
    </w:tbl>
    <w:p>
      <w:pPr>
        <w:spacing w:after="100" w:line="300"/>
      </w:pPr>
      <w:r>
        <w:rPr>
          <w:rFonts w:ascii="Malgun Gothic" w:cs="Malgun Gothic" w:eastAsia="Malgun Gothic" w:hAnsi="Malgun Gothic"/>
          <w:sz w:val="19"/>
          <w:szCs w:val="19"/>
        </w:rPr>
        <w:t xml:space="preserve">위 §7.1 표에서 모든 운전점의 (M_l, L)은 이 범위 안에 있다. 그렇다면 U 하한 이탈은 면제되는가? 답은 '아니오'이며, 그 근거는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식의 항</w:t>
            </w:r>
          </w:p>
        </w:tc>
        <w:tc>
          <w:tcPr>
            <w:tcW w:type="dxa" w:w="2808"/>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Moes 환원이 요구하는 U 지수</w:t>
            </w:r>
          </w:p>
        </w:tc>
        <w:tc>
          <w:tcPr>
            <w:tcW w:type="dxa" w:w="2808"/>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실제 U 지수</w:t>
            </w:r>
          </w:p>
        </w:tc>
      </w:tr>
      <w:tr>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평활 EHL 항 (W^−0.135 U^? G^0.556)</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0.7065</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0.705  → 일치</w:t>
            </w:r>
          </w:p>
        </w:tc>
      </w:tr>
      <w:tr>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조도보정항 (W^−0.229 U^? G^−0.842)</w:t>
            </w:r>
          </w:p>
        </w:tc>
        <w:tc>
          <w:tcPr>
            <w:tcW w:type="dxa" w:w="280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−0.0960</w:t>
            </w:r>
          </w:p>
        </w:tc>
        <w:tc>
          <w:tcPr>
            <w:tcW w:type="dxa" w:w="280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−0.748 → 불일치</w:t>
            </w:r>
          </w:p>
        </w:tc>
      </w:tr>
      <w:tr>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Lₐ의 ln 인자 (W^0.485 U^? G^−2.898)</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−0.9670</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−3.741 → 크게 불일치</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 결론: 평활 EHL 항은 Moes 유사성 (M, L)으로 정확히 환원되지만(오차 0.2%), 조도·돌기 항은 환원되지 않는다. 조도가 새로운 길이 척도를 도입하여 Moes 상사성을 깨뜨리기 때문이다. 따라서 'Moes 좌표가 범위 안이므로 안전하다'는 논리는 유막두께에는 적용되나 Lₐ에는 적용할 수 없다. U 하한 이탈은 Lₐ에 대해 실질적 외삽 리스크로 남는다. → 확정된 방침(상대비교 전용 + 이탈 명시)이 타당함이 계산으로 확인되었다.</w:t>
      </w:r>
    </w:p>
    <w:p>
      <w:pPr>
        <w:pStyle w:val="Heading2"/>
        <w:spacing w:after="120" w:before="240"/>
      </w:pPr>
      <w:r>
        <w:rPr>
          <w:rFonts w:ascii="Malgun Gothic" w:cs="Malgun Gothic" w:eastAsia="Malgun Gothic" w:hAnsi="Malgun Gothic"/>
          <w:b/>
          <w:bCs/>
          <w:color w:val="2E5C8A"/>
          <w:sz w:val="22"/>
          <w:szCs w:val="22"/>
        </w:rPr>
        <w:t xml:space="preserve">7.3 ★ 동일 Λ, 상이한 Lₐ — κ/Λ 분해능 한계의 직접 증명</w:t>
      </w:r>
    </w:p>
    <w:p>
      <w:pPr>
        <w:spacing w:after="100" w:line="300"/>
      </w:pPr>
      <w:r>
        <w:rPr>
          <w:rFonts w:ascii="Malgun Gothic" w:cs="Malgun Gothic" w:eastAsia="Malgun Gothic" w:hAnsi="Malgun Gothic"/>
          <w:sz w:val="19"/>
          <w:szCs w:val="19"/>
        </w:rPr>
        <w:t xml:space="preserve">Λ = 1.00 이 되도록 각 조건에서 유입속도를 역산한 4개 운전점: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936"/>
        <w:gridCol w:w="1123"/>
        <w:gridCol w:w="1404"/>
        <w:gridCol w:w="1404"/>
      </w:tblGrid>
      <w:tr>
        <w:trPr>
          <w:tblHeader/>
        </w:trPr>
        <w:tc>
          <w:tcPr>
            <w:tcW w:type="dxa" w:w="318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운전 조건</w:t>
            </w:r>
          </w:p>
        </w:tc>
        <w:tc>
          <w:tcPr>
            <w:tcW w:type="dxa" w:w="1310"/>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u [m/s]</w:t>
            </w:r>
          </w:p>
        </w:tc>
        <w:tc>
          <w:tcPr>
            <w:tcW w:type="dxa" w:w="936"/>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Λ</w:t>
            </w:r>
          </w:p>
        </w:tc>
        <w:tc>
          <w:tcPr>
            <w:tcW w:type="dxa" w:w="1123"/>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Lₐ [%]</w:t>
            </w:r>
          </w:p>
        </w:tc>
        <w:tc>
          <w:tcPr>
            <w:tcW w:type="dxa" w:w="140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Wₐ = Lₐ·Q [kN]</w:t>
            </w:r>
          </w:p>
        </w:tc>
        <w:tc>
          <w:tcPr>
            <w:tcW w:type="dxa" w:w="1404"/>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p_max [GPa]</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Q=50 kN, σ=0.08 μm (경하중·평활)</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0.029</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1.00</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45.0</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22.5</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0.50</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Q=120 kN, σ=0.14 μm</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0.087</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1.00</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26.2</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31.4</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0.78</w:t>
            </w:r>
          </w:p>
        </w:tc>
      </w:tr>
      <w:tr>
        <w:tc>
          <w:tcPr>
            <w:tcW w:type="dxa" w:w="318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Q=300 kN, σ=0.22 μm (정격·표준)</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0.208</w:t>
            </w:r>
          </w:p>
        </w:tc>
        <w:tc>
          <w:tcPr>
            <w:tcW w:type="dxa" w:w="936"/>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1.00</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16.3</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48.8</w:t>
            </w:r>
          </w:p>
        </w:tc>
        <w:tc>
          <w:tcPr>
            <w:tcW w:type="dxa" w:w="1404"/>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1.23</w:t>
            </w:r>
          </w:p>
        </w:tc>
      </w:tr>
      <w:tr>
        <w:tc>
          <w:tcPr>
            <w:tcW w:type="dxa" w:w="318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Q=450 kN, σ=0.30 μm (중하중·거친면)</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0.351</w:t>
            </w:r>
          </w:p>
        </w:tc>
        <w:tc>
          <w:tcPr>
            <w:tcW w:type="dxa" w:w="936"/>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1.00</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13.6</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61.0</w:t>
            </w:r>
          </w:p>
        </w:tc>
        <w:tc>
          <w:tcPr>
            <w:tcW w:type="dxa" w:w="1404"/>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1.50</w:t>
            </w:r>
          </w:p>
        </w:tc>
      </w:tr>
    </w:tbl>
    <w:p>
      <w:pPr>
        <w:pBdr>
          <w:left w:val="single" w:color="E08A00" w:sz="18"/>
        </w:pBdr>
        <w:shd w:fill="E8F0FE" w:val="clear"/>
        <w:spacing w:after="120" w:before="60"/>
        <w:ind w:left="120"/>
      </w:pPr>
      <w:r>
        <w:rPr>
          <w:rFonts w:ascii="Malgun Gothic" w:cs="Malgun Gothic" w:eastAsia="Malgun Gothic" w:hAnsi="Malgun Gothic"/>
          <w:sz w:val="19"/>
          <w:szCs w:val="19"/>
        </w:rPr>
        <w:t xml:space="preserve">★ Λ는 네 운전점 모두 1.00으로 동일하다. 그러나 Lₐ는 13.6% ~ 45.0% 로 3.3배 벌어지고, 돌기가 실제로 지탱하는 절대하중 Wₐ는 22.5 ~ 61.0 kN 로 2.7배 벌어진다. 이것이 '동일한 Λ가 동일한 윤활 건전성을 의미하지 않는다'는 것의 정량적 증명이며, 사용자가 제기한 'κ/Λ 기반 평가의 정량 한계'에 대한 직접적 답이다.</w:t>
      </w:r>
    </w:p>
    <w:p>
      <w:pPr>
        <w:pStyle w:val="Heading2"/>
        <w:spacing w:after="120" w:before="240"/>
      </w:pPr>
      <w:r>
        <w:rPr>
          <w:rFonts w:ascii="Malgun Gothic" w:cs="Malgun Gothic" w:eastAsia="Malgun Gothic" w:hAnsi="Malgun Gothic"/>
          <w:b/>
          <w:bCs/>
          <w:color w:val="2E5C8A"/>
          <w:sz w:val="22"/>
          <w:szCs w:val="22"/>
        </w:rPr>
        <w:t xml:space="preserve">7.4 ★ Λ–Lₐ 순위 역전과 절대 돌기하중 Wₐ</w:t>
      </w:r>
    </w:p>
    <w:p>
      <w:pPr>
        <w:spacing w:after="100" w:line="300"/>
      </w:pPr>
      <w:r>
        <w:rPr>
          <w:rFonts w:ascii="Malgun Gothic" w:cs="Malgun Gothic" w:eastAsia="Malgun Gothic" w:hAnsi="Malgun Gothic"/>
          <w:sz w:val="19"/>
          <w:szCs w:val="19"/>
        </w:rPr>
        <w:t xml:space="preserve">σ = 0.224 μm, u = 0.10 m/s 를 고정하고 롤러 하중만 변화시킨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498"/>
        <w:gridCol w:w="1310"/>
        <w:gridCol w:w="1123"/>
        <w:gridCol w:w="1310"/>
        <w:gridCol w:w="2808"/>
      </w:tblGrid>
      <w:tr>
        <w:trPr>
          <w:tblHeader/>
        </w:trPr>
        <w:tc>
          <w:tcPr>
            <w:tcW w:type="dxa" w:w="131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Q [kN]</w:t>
            </w:r>
          </w:p>
        </w:tc>
        <w:tc>
          <w:tcPr>
            <w:tcW w:type="dxa" w:w="1498"/>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p_max [GPa]</w:t>
            </w:r>
          </w:p>
        </w:tc>
        <w:tc>
          <w:tcPr>
            <w:tcW w:type="dxa" w:w="1310"/>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h_min [nm]</w:t>
            </w:r>
          </w:p>
        </w:tc>
        <w:tc>
          <w:tcPr>
            <w:tcW w:type="dxa" w:w="1123"/>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Λ</w:t>
            </w:r>
          </w:p>
        </w:tc>
        <w:tc>
          <w:tcPr>
            <w:tcW w:type="dxa" w:w="1310"/>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Lₐ [%]</w:t>
            </w:r>
          </w:p>
        </w:tc>
        <w:tc>
          <w:tcPr>
            <w:tcW w:type="dxa" w:w="2808"/>
            <w:shd w:fill="D9E2F3" w:val="clear"/>
            <w:tcMar>
              <w:top w:type="dxa" w:w="60"/>
              <w:left w:type="dxa" w:w="90"/>
              <w:bottom w:type="dxa" w:w="60"/>
              <w:right w:type="dxa" w:w="90"/>
            </w:tcMar>
          </w:tcPr>
          <w:p>
            <w:pPr>
              <w:spacing w:after="0" w:line="260"/>
              <w:jc w:val="center"/>
            </w:pPr>
            <w:r>
              <w:rPr>
                <w:rFonts w:ascii="Malgun Gothic" w:cs="Malgun Gothic" w:eastAsia="Malgun Gothic" w:hAnsi="Malgun Gothic"/>
                <w:b/>
                <w:bCs/>
                <w:sz w:val="17"/>
                <w:szCs w:val="17"/>
              </w:rPr>
              <w:t xml:space="preserve">Wₐ = Lₐ·Q [kN]</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50</w:t>
            </w:r>
          </w:p>
        </w:tc>
        <w:tc>
          <w:tcPr>
            <w:tcW w:type="dxa" w:w="149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0.50</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206</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0.92</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55.0</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27.5</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100</w:t>
            </w:r>
          </w:p>
        </w:tc>
        <w:tc>
          <w:tcPr>
            <w:tcW w:type="dxa" w:w="149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0.71</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180</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0.81</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43.9</w:t>
            </w:r>
          </w:p>
        </w:tc>
        <w:tc>
          <w:tcPr>
            <w:tcW w:type="dxa" w:w="280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43.9</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200</w:t>
            </w:r>
          </w:p>
        </w:tc>
        <w:tc>
          <w:tcPr>
            <w:tcW w:type="dxa" w:w="149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1.00</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159</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0.71</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34.9</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69.8</w:t>
            </w:r>
          </w:p>
        </w:tc>
      </w:tr>
      <w:tr>
        <w:tc>
          <w:tcPr>
            <w:tcW w:type="dxa" w:w="131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300</w:t>
            </w:r>
          </w:p>
        </w:tc>
        <w:tc>
          <w:tcPr>
            <w:tcW w:type="dxa" w:w="149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1.23</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149</w:t>
            </w:r>
          </w:p>
        </w:tc>
        <w:tc>
          <w:tcPr>
            <w:tcW w:type="dxa" w:w="1123"/>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0.66</w:t>
            </w:r>
          </w:p>
        </w:tc>
        <w:tc>
          <w:tcPr>
            <w:tcW w:type="dxa" w:w="1310"/>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30.5</w:t>
            </w:r>
          </w:p>
        </w:tc>
        <w:tc>
          <w:tcPr>
            <w:tcW w:type="dxa" w:w="2808"/>
            <w:shd w:fill="F7F9FC"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91.5</w:t>
            </w:r>
          </w:p>
        </w:tc>
      </w:tr>
      <w:tr>
        <w:tc>
          <w:tcPr>
            <w:tcW w:type="dxa" w:w="131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450</w:t>
            </w:r>
          </w:p>
        </w:tc>
        <w:tc>
          <w:tcPr>
            <w:tcW w:type="dxa" w:w="149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1.50</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140</w:t>
            </w:r>
          </w:p>
        </w:tc>
        <w:tc>
          <w:tcPr>
            <w:tcW w:type="dxa" w:w="1123"/>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0.62</w:t>
            </w:r>
          </w:p>
        </w:tc>
        <w:tc>
          <w:tcPr>
            <w:tcW w:type="dxa" w:w="1310"/>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26.6</w:t>
            </w:r>
          </w:p>
        </w:tc>
        <w:tc>
          <w:tcPr>
            <w:tcW w:type="dxa" w:w="2808"/>
            <w:shd w:fill="FFFFFF" w:val="clear"/>
            <w:tcMar>
              <w:top w:type="dxa" w:w="60"/>
              <w:left w:type="dxa" w:w="90"/>
              <w:bottom w:type="dxa" w:w="60"/>
              <w:right w:type="dxa" w:w="90"/>
            </w:tcMar>
          </w:tcPr>
          <w:p>
            <w:pPr>
              <w:spacing w:after="0" w:line="260"/>
              <w:jc w:val="center"/>
            </w:pPr>
            <w:r>
              <w:rPr>
                <w:rFonts w:ascii="Malgun Gothic" w:cs="Malgun Gothic" w:eastAsia="Malgun Gothic" w:hAnsi="Malgun Gothic"/>
                <w:b w:val="false"/>
                <w:bCs w:val="false"/>
                <w:sz w:val="17"/>
                <w:szCs w:val="17"/>
              </w:rPr>
              <w:t xml:space="preserve">119.7</w:t>
            </w:r>
          </w:p>
        </w:tc>
      </w:tr>
    </w:tbl>
    <w:p>
      <w:pPr>
        <w:spacing w:after="100" w:line="300"/>
      </w:pPr>
      <w:r>
        <w:rPr>
          <w:rFonts w:ascii="Malgun Gothic" w:cs="Malgun Gothic" w:eastAsia="Malgun Gothic" w:hAnsi="Malgun Gothic"/>
          <w:sz w:val="19"/>
          <w:szCs w:val="19"/>
        </w:rPr>
        <w:t xml:space="preserve">하중이 9배 증가하면 Λ는 0.92 → 0.62 로 </w:t>
      </w:r>
      <w:r>
        <w:rPr>
          <w:rFonts w:ascii="Malgun Gothic" w:cs="Malgun Gothic" w:eastAsia="Malgun Gothic" w:hAnsi="Malgun Gothic"/>
          <w:b/>
          <w:bCs/>
          <w:sz w:val="19"/>
          <w:szCs w:val="19"/>
        </w:rPr>
        <w:t xml:space="preserve">악화</w:t>
      </w:r>
      <w:r>
        <w:rPr>
          <w:rFonts w:ascii="Malgun Gothic" w:cs="Malgun Gothic" w:eastAsia="Malgun Gothic" w:hAnsi="Malgun Gothic"/>
          <w:sz w:val="19"/>
          <w:szCs w:val="19"/>
        </w:rPr>
        <w:t xml:space="preserve">되는데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55.0% → 26.6% 로 </w:t>
      </w:r>
      <w:r>
        <w:rPr>
          <w:rFonts w:ascii="Malgun Gothic" w:cs="Malgun Gothic" w:eastAsia="Malgun Gothic" w:hAnsi="Malgun Gothic"/>
          <w:b/>
          <w:bCs/>
          <w:sz w:val="19"/>
          <w:szCs w:val="19"/>
        </w:rPr>
        <w:t xml:space="preserve">개선</w:t>
      </w:r>
      <w:r>
        <w:rPr>
          <w:rFonts w:ascii="Malgun Gothic" w:cs="Malgun Gothic" w:eastAsia="Malgun Gothic" w:hAnsi="Malgun Gothic"/>
          <w:sz w:val="19"/>
          <w:szCs w:val="19"/>
        </w:rPr>
        <w:t xml:space="preserve">된다. 두 지표가 운전점 순위를 정반대로 매긴다. 원문도 이 거동을 명시한다 — 하중이 늘면 돌기가 받는 절대하중은 늘지만 그 증가폭이 총하중 증가폭보다 작으므로 </w:t>
      </w:r>
      <w:r>
        <w:rPr>
          <w:rFonts w:ascii="Malgun Gothic" w:cs="Malgun Gothic" w:eastAsia="Malgun Gothic" w:hAnsi="Malgun Gothic"/>
          <w:b/>
          <w:bCs/>
          <w:sz w:val="19"/>
          <w:szCs w:val="19"/>
        </w:rPr>
        <w:t xml:space="preserve">비율</w:t>
      </w:r>
      <w:r>
        <w:rPr>
          <w:rFonts w:ascii="Malgun Gothic" w:cs="Malgun Gothic" w:eastAsia="Malgun Gothic" w:hAnsi="Malgun Gothic"/>
          <w:sz w:val="19"/>
          <w:szCs w:val="19"/>
        </w:rPr>
        <w:t xml:space="preserve">은 줄어든다.</w:t>
      </w:r>
    </w:p>
    <w:p>
      <w:pPr>
        <w:pBdr>
          <w:left w:val="single" w:color="E08A00" w:sz="18"/>
        </w:pBdr>
        <w:shd w:fill="FFF4E5" w:val="clear"/>
        <w:spacing w:after="120" w:before="60"/>
        <w:ind w:left="120"/>
      </w:pPr>
      <w:r>
        <w:rPr>
          <w:rFonts w:ascii="Malgun Gothic" w:cs="Malgun Gothic" w:eastAsia="Malgun Gothic" w:hAnsi="Malgun Gothic"/>
          <w:sz w:val="19"/>
          <w:szCs w:val="19"/>
        </w:rPr>
        <w:t xml:space="preserve">★★ 정식화 상 가장 중요한 결론: 손상 지표로 써야 할 것은 비율 Lₐ가 아니라 절대 돌기하중 Wₐ = (Lₐ/100)·W 이다. 위 표에서 Wₐ는 27.5 → 119.7 kN 으로 4.4배 단조 증가하며, 물리적 손상 경향과 일치한다. 실제로 원 저자들의 마모식 Ω = K·ψ·(Lₐ/100)·F·u_s /H 도 Lₐ 단독이 아니라 (Lₐ/100)·F 형태, 즉 절대 돌기하중을 사용한다. Lₐ를 그대로 판정 임계값으로 쓰면 경하중 운전점을 과도하게 위험하다고 판정하는 오류가 발생한다.</w:t>
      </w:r>
    </w:p>
    <w:p>
      <w:pPr>
        <w:pStyle w:val="Heading2"/>
        <w:spacing w:after="120" w:before="240"/>
      </w:pPr>
      <w:r>
        <w:rPr>
          <w:rFonts w:ascii="Malgun Gothic" w:cs="Malgun Gothic" w:eastAsia="Malgun Gothic" w:hAnsi="Malgun Gothic"/>
          <w:b/>
          <w:bCs/>
          <w:color w:val="2E5C8A"/>
          <w:sz w:val="22"/>
          <w:szCs w:val="22"/>
        </w:rPr>
        <w:t xml:space="preserve">7.5 그리스·기아 조건 보정의 처리 방침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항목</w:t>
            </w:r>
          </w:p>
        </w:tc>
        <w:tc>
          <w:tcPr>
            <w:tcW w:type="dxa" w:w="6926"/>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내용 및 권고</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Hart et al. 방식</w:t>
            </w:r>
          </w:p>
        </w:tc>
        <w:tc>
          <w:tcPr>
            <w:tcW w:type="dxa" w:w="692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만유막 값의 70% 일괄 감소. 단 저자 스스로 “crude order-of-magnitude estimate only” 라고 명시. 이 값을 그대로 인용할 경우 반드시 이 단서를 함께 기재</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Hamrock–Dowson 계열</w:t>
            </w:r>
          </w:p>
        </w:tc>
        <w:tc>
          <w:tcPr>
            <w:tcW w:type="dxa" w:w="692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h_min,S/h_min,F = [(x_b/a − 1)/(3.34·[(R/a)²(h/R)]^0.58)]^0.25. 입구 메니스커스 위치 x_b 가 필요한데 그리스 베어링에서는 사실상 알 수 없음</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Damiens–Venner 계열</w:t>
            </w:r>
          </w:p>
        </w:tc>
        <w:tc>
          <w:tcPr>
            <w:tcW w:type="dxa" w:w="692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입구 오일층 두께 기반. side-flow 저항지수 γ = 2~10. ★ 타원비가 작을수록(선접촉에 가까울수록) γ 증가 → TRB는 기아에 상대적으로 강함</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Wandel et al. (2022)</w:t>
            </w:r>
          </w:p>
        </w:tc>
        <w:tc>
          <w:tcPr>
            <w:tcW w:type="dxa" w:w="6926"/>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무차원 Starvation Number, 임계값 SN_c = 0.65. 지배 인자는 기유점도 η₀ 와 oil separation rate</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반대방향 효과</w:t>
            </w:r>
          </w:p>
        </w:tc>
        <w:tc>
          <w:tcPr>
            <w:tcW w:type="dxa" w:w="6926"/>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저속에서 그리스 유막은 오히려 증가할 수 있다 (증주제 섬유의 접촉부 진입, 침적층 약 40 nm). Hart Part 1은 이 'V자 거동'과 전이속도를 명시. 풍력 메인베어링 속도대(0.03~0.4 m/s)가 바로 이 영역일 가능성이 높음 → EHL 식 외삽이 반드시 보수적이라는 가정은 틀릴 수 있음</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권고: 기아 보정은 단일 계수(70%)가 아니라 밴드로 제시할 것. 그리고 유막두께는 오일식이 아니라 §5의 Wu et al. (2022) 그리스 식 Eq.(29)로 산출할 것 — 본 조사에서 재현 검증을 완료하였다.</w:t>
      </w:r>
    </w:p>
    <w:p>
      <w:pPr>
        <w:pStyle w:val="Heading2"/>
        <w:spacing w:after="120" w:before="240"/>
      </w:pPr>
      <w:r>
        <w:rPr>
          <w:rFonts w:ascii="Malgun Gothic" w:cs="Malgun Gothic" w:eastAsia="Malgun Gothic" w:hAnsi="Malgun Gothic"/>
          <w:b/>
          <w:bCs/>
          <w:color w:val="2E5C8A"/>
          <w:sz w:val="22"/>
          <w:szCs w:val="22"/>
        </w:rPr>
        <w:t xml:space="preserve">7.7 ★ 오일식 vs 그리스식 — 어느 쪽으로 평가할 것인가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구분</w:t>
            </w:r>
          </w:p>
        </w:tc>
        <w:tc>
          <w:tcPr>
            <w:tcW w:type="dxa" w:w="374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Masjedi–Khonsari 오일식</w:t>
            </w:r>
          </w:p>
        </w:tc>
        <w:tc>
          <w:tcPr>
            <w:tcW w:type="dxa" w:w="374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Wu et al. 그리스식</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유막두께 H_min</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사용 가능. 단 저속에서 U 하한 이탈</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사용 가능(검증 완료). 전 운전점 범위 내</w:t>
            </w:r>
          </w:p>
        </w:tc>
      </w:tr>
      <w:tr>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사용 가능(원문 검증). 저속 이탈은 상대비교로 대응</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인쇄식이 논문 자체 표를 재현하지 못함</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경도 V 반영</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가능 (V = h_d/E′)</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불가 — 변수에서 제외됨</w:t>
            </w:r>
          </w:p>
        </w:tc>
      </w:tr>
      <w:tr>
        <w:tc>
          <w:tcPr>
            <w:tcW w:type="dxa" w:w="187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유효 Λ 하한</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0.5</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1.0 (더 좁음)</w:t>
            </w:r>
          </w:p>
        </w:tc>
      </w:tr>
      <w:tr>
        <w:tc>
          <w:tcPr>
            <w:tcW w:type="dxa" w:w="187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결론</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 는 오일식으로 산출</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유막두께·범위 판정은 그리스식으로</w:t>
            </w:r>
          </w:p>
        </w:tc>
      </w:tr>
    </w:tbl>
    <w:p>
      <w:pPr>
        <w:pBdr>
          <w:left w:val="single" w:color="E08A00" w:sz="18"/>
        </w:pBdr>
        <w:shd w:fill="FFF4E5" w:val="clear"/>
        <w:spacing w:after="120" w:before="60"/>
        <w:ind w:left="120"/>
      </w:pPr>
      <w:r>
        <w:rPr>
          <w:rFonts w:ascii="Malgun Gothic" w:cs="Malgun Gothic" w:eastAsia="Malgun Gothic" w:hAnsi="Malgun Gothic"/>
          <w:sz w:val="19"/>
          <w:szCs w:val="19"/>
        </w:rPr>
        <w:t xml:space="preserve">★ 실무 조합 권고: ① 유막두께 h_min 과 Λ 는 Wu 그리스식 Eq.(29)로 산출한다(그리스 소성점도 φ₀·유동지수 n 실측 필요). ② Lₐ 는 Masjedi–Khonsari 오일식으로 산출하되 그리스 조건임을 명시하고 상대비교로만 사용한다. ③ 두 식의 검증범위를 각각 별도로 플래깅한다. ④ 기아 보정은 양쪽 모두에 사후 적용한다.</w:t>
      </w:r>
    </w:p>
    <w:p>
      <w:pPr>
        <w:pStyle w:val="Heading2"/>
        <w:spacing w:after="120" w:before="240"/>
      </w:pPr>
      <w:r>
        <w:rPr>
          <w:rFonts w:ascii="Malgun Gothic" w:cs="Malgun Gothic" w:eastAsia="Malgun Gothic" w:hAnsi="Malgun Gothic"/>
          <w:b/>
          <w:bCs/>
          <w:color w:val="2E5C8A"/>
          <w:sz w:val="22"/>
          <w:szCs w:val="22"/>
        </w:rPr>
        <w:t xml:space="preserve">7.6 SRR 결합 — Lₐ 단독으로는 손상을 말할 수 없다</w:t>
      </w:r>
    </w:p>
    <w:p>
      <w:pPr>
        <w:spacing w:after="100" w:line="30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 f(W, U, G, σ̄, V) 에는 미끄럼률(SRR)이 전혀 들어가지 않는다. U는 유입속도 (u₁+u₂)/2 뿐이다. 반면 마모·스커핑·스미어링은 SRR에 강하게 의존한다. 문헌이 채택한 표준 결합 구조는 다음과 같다.</w:t>
      </w:r>
    </w:p>
    <w:p>
      <w:pPr>
        <w:shd w:fill="F2F4F7" w:val="clear"/>
        <w:spacing w:after="80" w:before="80"/>
      </w:pPr>
      <w:r>
        <w:rPr>
          <w:rFonts w:ascii="Consolas" w:cs="Consolas" w:eastAsia="Consolas" w:hAnsi="Consolas"/>
          <w:sz w:val="17"/>
          <w:szCs w:val="17"/>
        </w:rPr>
        <w:t xml:space="preserve">  마모깊이/미끄럼거리 = K · ψ · (L_a/100) · p / H         (ψ는 u_s, T에 의존)</w:t>
      </w:r>
    </w:p>
    <w:p>
      <w:pPr>
        <w:spacing w:after="100" w:line="300"/>
      </w:pPr>
      <w:r>
        <w:rPr>
          <w:rFonts w:ascii="Malgun Gothic" w:cs="Malgun Gothic" w:eastAsia="Malgun Gothic" w:hAnsi="Malgun Gothic"/>
          <w:sz w:val="19"/>
          <w:szCs w:val="19"/>
        </w:rPr>
        <w:t xml:space="preserve">즉 Lₐ는 '하중 중 얼마가 돌기로 가는가'만 담당하고, SRR은 u_s 로 곱해져 별도로 들어간다.</w:t>
      </w:r>
    </w:p>
    <w:p>
      <w:pPr>
        <w:pBdr>
          <w:left w:val="single" w:color="E08A00" w:sz="18"/>
        </w:pBdr>
        <w:shd w:fill="E8F0FE" w:val="clear"/>
        <w:spacing w:after="120" w:before="60"/>
        <w:ind w:left="120"/>
      </w:pPr>
      <w:r>
        <w:rPr>
          <w:rFonts w:ascii="Malgun Gothic" w:cs="Malgun Gothic" w:eastAsia="Malgun Gothic" w:hAnsi="Malgun Gothic"/>
          <w:sz w:val="19"/>
          <w:szCs w:val="19"/>
        </w:rPr>
        <w:t xml:space="preserve">★ 설계 시사점: de Mello·Hart 등의 동역학 해석에 따르면 정상 하중·속도에서 하중구역 내 롤러는 순수 구름을 유지한다(SRR ≈ 0). 슬립은 주로 롤러가 하중구역을 벗어날 때, 축속도 변동 시, 롤러–케이지 접촉에서 발생한다. 따라서 Lₐ가 크더라도 정상운전에서는 마모 구동력(u_s)이 작아 마모가 제한적일 수 있다. ★ Lₐ는 '정상운전 마모 지표'가 아니라 '과도·요동·정지 시 손상 취약성 지표'로 재해석하는 것이 물리적으로 타당하다.</w:t>
      </w:r>
    </w:p>
    <w:p>
      <w:pPr>
        <w:spacing w:after="100" w:line="300"/>
      </w:pPr>
      <w:r>
        <w:rPr>
          <w:rFonts w:ascii="Malgun Gothic" w:cs="Malgun Gothic" w:eastAsia="Malgun Gothic" w:hAnsi="Malgun Gothic"/>
          <w:sz w:val="19"/>
          <w:szCs w:val="19"/>
        </w:rPr>
        <w:t xml:space="preserve">정지·요동 조건은 Lₐ 축과 분리하여 별도 판정축으로 다룰 것을 권고한다. 확립된 정량 기준은 다음과 같다.</w:t>
      </w:r>
    </w:p>
    <w:p>
      <w:pPr>
        <w:pStyle w:val="ListParagraph"/>
        <w:numPr>
          <w:ilvl w:val="0"/>
          <w:numId w:val="2"/>
        </w:numPr>
        <w:spacing w:after="60" w:line="290"/>
      </w:pPr>
      <w:r>
        <w:rPr>
          <w:rFonts w:ascii="Malgun Gothic" w:cs="Malgun Gothic" w:eastAsia="Malgun Gothic" w:hAnsi="Malgun Gothic"/>
          <w:sz w:val="19"/>
          <w:szCs w:val="19"/>
        </w:rPr>
        <w:t xml:space="preserve">e = x / 2b (전동체 이동거리 / 헤르츠 접촉폭). e &lt; 0.5 선형, 0.5~1 2차, e &gt; 1 포화. ★ 임계 e = 1</w:t>
      </w:r>
    </w:p>
    <w:p>
      <w:pPr>
        <w:pStyle w:val="ListParagraph"/>
        <w:numPr>
          <w:ilvl w:val="0"/>
          <w:numId w:val="2"/>
        </w:numPr>
        <w:spacing w:after="60" w:line="290"/>
      </w:pPr>
      <w:r>
        <w:rPr>
          <w:rFonts w:ascii="Malgun Gothic" w:cs="Malgun Gothic" w:eastAsia="Malgun Gothic" w:hAnsi="Malgun Gothic"/>
          <w:sz w:val="19"/>
          <w:szCs w:val="19"/>
        </w:rPr>
        <w:t xml:space="preserve">e &lt; 1.6 에서는 유막이 전혀 형성되지 않는다는 실측 보고 (PAO 411 mm²/s, 0.37 GPa)</w:t>
      </w:r>
    </w:p>
    <w:p>
      <w:pPr>
        <w:pStyle w:val="ListParagraph"/>
        <w:numPr>
          <w:ilvl w:val="0"/>
          <w:numId w:val="2"/>
        </w:numPr>
        <w:spacing w:after="60" w:line="290"/>
      </w:pPr>
      <w:r>
        <w:rPr>
          <w:rFonts w:ascii="Malgun Gothic" w:cs="Malgun Gothic" w:eastAsia="Malgun Gothic" w:hAnsi="Malgun Gothic"/>
          <w:sz w:val="19"/>
          <w:szCs w:val="19"/>
        </w:rPr>
        <w:t xml:space="preserve">피치베어링 실규모 시험에서는 ★ 마모가 발생하지 않는 임계값이 존재하지 않으며(Behnke &amp; Schleich 2023), 낮은 주파수가 보호적으로 작용(그리스 재윤활 시간 확보)</w:t>
      </w:r>
    </w:p>
    <w:p>
      <w:r>
        <w:br w:type="page"/>
      </w:r>
    </w:p>
    <w:p>
      <w:pPr>
        <w:pStyle w:val="Heading1"/>
        <w:spacing w:after="120" w:before="320"/>
      </w:pPr>
      <w:r>
        <w:rPr>
          <w:rFonts w:ascii="Malgun Gothic" w:cs="Malgun Gothic" w:eastAsia="Malgun Gothic" w:hAnsi="Malgun Gothic"/>
          <w:b/>
          <w:bCs/>
          <w:color w:val="1F3864"/>
          <w:sz w:val="27"/>
          <w:szCs w:val="27"/>
        </w:rPr>
        <w:t xml:space="preserve">8. 예상 반론과 리스크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557"/>
        <w:gridCol w:w="3370"/>
      </w:tblGrid>
      <w:tr>
        <w:trPr>
          <w:tblHeader/>
        </w:trPr>
        <w:tc>
          <w:tcPr>
            <w:tcW w:type="dxa" w:w="243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반론</w:t>
            </w:r>
          </w:p>
        </w:tc>
        <w:tc>
          <w:tcPr>
            <w:tcW w:type="dxa" w:w="3557"/>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근거</w:t>
            </w:r>
          </w:p>
        </w:tc>
        <w:tc>
          <w:tcPr>
            <w:tcW w:type="dxa" w:w="3370"/>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대응 방침</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표준 선례가 없다</w:t>
            </w:r>
          </w:p>
        </w:tc>
        <w:tc>
          <w:tcPr>
            <w:tcW w:type="dxa" w:w="355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ISO/DIN/AGMA/IEC 전수 확인 결과 전무</w:t>
            </w:r>
          </w:p>
        </w:tc>
        <w:tc>
          <w:tcPr>
            <w:tcW w:type="dxa" w:w="337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보완 지표로 포지셔닝. κ/a_ISO 표준 계산은 그대로 수행하고 병기. 대체하지 않음</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허용 Lₐ 임계값이 문헌에 없다</w:t>
            </w:r>
          </w:p>
        </w:tc>
        <w:tc>
          <w:tcPr>
            <w:tcW w:type="dxa" w:w="355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§6.4 확인. 가장 근접한 값은 Λ&lt;0.12 마이크로피팅 개시(실험), λ&gt;0.6~1.2 돌기접촉 소멸(계산)</w:t>
            </w:r>
          </w:p>
        </w:tc>
        <w:tc>
          <w:tcPr>
            <w:tcW w:type="dxa" w:w="337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임계값 제안 대신 설계안 상대비교(A안 vs B안)로 한정. 확정 방침과 일치</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Lₐ는 직접 측정할 수 없다</w:t>
            </w:r>
          </w:p>
        </w:tc>
        <w:tc>
          <w:tcPr>
            <w:tcW w:type="dxa" w:w="355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어떤 실험도 하중분담비를 직접 측정하지 못함. ECR의 α는 면적비</w:t>
            </w:r>
          </w:p>
        </w:tc>
        <w:tc>
          <w:tcPr>
            <w:tcW w:type="dxa" w:w="337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마찰토크·ECR·마모율 등 대리 관측을 검증 계획에 포함. 한계를 보고서에 명시</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σ 하나로 조도를 표현하는 것은 불충분</w:t>
            </w:r>
          </w:p>
        </w:tc>
        <w:tc>
          <w:tcPr>
            <w:tcW w:type="dxa" w:w="355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Spies·Fatemi (2025) 직접 반박. SKF 특허도 Rsk ≤ −0.1, Peklenik γ 를 관리 변수로 지정</w:t>
            </w:r>
          </w:p>
        </w:tc>
        <w:tc>
          <w:tcPr>
            <w:tcW w:type="dxa" w:w="337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비가우시안 확장판·표면패턴 보정판 검토. Rsk·이방성은 별도 사양으로 병행 관리</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검증범위 이탈 (U 하한)</w:t>
            </w:r>
          </w:p>
        </w:tc>
        <w:tc>
          <w:tcPr>
            <w:tcW w:type="dxa" w:w="355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§7.1, §7.2 자체 계산으로 확인. Moes 환원으로 면제되지 않음</w:t>
            </w:r>
          </w:p>
        </w:tc>
        <w:tc>
          <w:tcPr>
            <w:tcW w:type="dxa" w:w="337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상대비교 전용 + 이탈 명시(확정 방침). 계산 결과에 자동 플래깅</w:t>
            </w:r>
          </w:p>
        </w:tc>
      </w:tr>
      <w:tr>
        <w:tc>
          <w:tcPr>
            <w:tcW w:type="dxa" w:w="243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커브핏 식의 절대 정확도 의심</w:t>
            </w:r>
          </w:p>
        </w:tc>
        <w:tc>
          <w:tcPr>
            <w:tcW w:type="dxa" w:w="355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Wheeler et al. (2016): 원형접촉 유막식 최대 오차 약 90%. Hart 결론 “qualitative rather than truly quantitative”</w:t>
            </w:r>
          </w:p>
        </w:tc>
        <w:tc>
          <w:tcPr>
            <w:tcW w:type="dxa" w:w="3370"/>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동일 계열 커브핏임을 선제 인정. 절대값이 아닌 트레이드오프 지표로 사용</w:t>
            </w:r>
          </w:p>
        </w:tc>
      </w:tr>
      <w:tr>
        <w:tc>
          <w:tcPr>
            <w:tcW w:type="dxa" w:w="243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GW/ZMC 가정이 돌기하중을 과대평가</w:t>
            </w:r>
          </w:p>
        </w:tc>
        <w:tc>
          <w:tcPr>
            <w:tcW w:type="dxa" w:w="355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ZMC는 GW보다 완화되어 있으나 여전히 통계적 근사</w:t>
            </w:r>
          </w:p>
        </w:tc>
        <w:tc>
          <w:tcPr>
            <w:tcW w:type="dxa" w:w="3370"/>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보수측 편향임을 명시 (안전측). 경쟁 식군(Coy, GW, GT, BGT, Castro–Seabra)과 병렬 계산하여 불확실성 밴드 제시</w:t>
            </w:r>
          </w:p>
        </w:tc>
      </w:tr>
    </w:tbl>
    <w:p>
      <w:pPr>
        <w:pStyle w:val="Heading1"/>
        <w:spacing w:after="120" w:before="320"/>
      </w:pPr>
      <w:r>
        <w:rPr>
          <w:rFonts w:ascii="Malgun Gothic" w:cs="Malgun Gothic" w:eastAsia="Malgun Gothic" w:hAnsi="Malgun Gothic"/>
          <w:b/>
          <w:bCs/>
          <w:color w:val="1F3864"/>
          <w:sz w:val="27"/>
          <w:szCs w:val="27"/>
        </w:rPr>
        <w:t xml:space="preserve">9. 결론 및 권고</w:t>
      </w:r>
    </w:p>
    <w:p>
      <w:pPr>
        <w:pStyle w:val="Heading2"/>
        <w:spacing w:after="120" w:before="240"/>
      </w:pPr>
      <w:r>
        <w:rPr>
          <w:rFonts w:ascii="Malgun Gothic" w:cs="Malgun Gothic" w:eastAsia="Malgun Gothic" w:hAnsi="Malgun Gothic"/>
          <w:b/>
          <w:bCs/>
          <w:color w:val="2E5C8A"/>
          <w:sz w:val="22"/>
          <w:szCs w:val="22"/>
        </w:rPr>
        <w:t xml:space="preserve">9.1 결론</w:t>
      </w:r>
    </w:p>
    <w:p>
      <w:pPr>
        <w:pStyle w:val="ListParagraph"/>
        <w:numPr>
          <w:ilvl w:val="0"/>
          <w:numId w:val="3"/>
        </w:numPr>
        <w:spacing w:after="60" w:line="29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κ/Λ가 뭉뚱그리는 혼합윤활 영역을 정량 분해하는 데 유효하다. 자체 계산으로 동일 Λ = 1.00 에서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가 3.3배 벌어지고 하중에 대해 두 지표가 순위를 역전시킴을 확인하였다.</w:t>
      </w:r>
    </w:p>
    <w:p>
      <w:pPr>
        <w:pStyle w:val="ListParagraph"/>
        <w:numPr>
          <w:ilvl w:val="0"/>
          <w:numId w:val="3"/>
        </w:numPr>
        <w:spacing w:after="60" w:line="290"/>
      </w:pPr>
      <w:r>
        <w:rPr>
          <w:rFonts w:ascii="Malgun Gothic" w:cs="Malgun Gothic" w:eastAsia="Malgun Gothic" w:hAnsi="Malgun Gothic"/>
          <w:sz w:val="19"/>
          <w:szCs w:val="19"/>
        </w:rPr>
        <w:t xml:space="preserve">그러나 회전체 베어링·풍력 분야에 적용 선례가 사실상 없고, 표준 근거도 없으며, 허용 임계값도 문헌에 존재하지 않는다. 따라서 </w:t>
      </w:r>
      <w:r>
        <w:rPr>
          <w:rFonts w:ascii="Malgun Gothic" w:cs="Malgun Gothic" w:eastAsia="Malgun Gothic" w:hAnsi="Malgun Gothic"/>
          <w:b/>
          <w:bCs/>
          <w:sz w:val="19"/>
          <w:szCs w:val="19"/>
        </w:rPr>
        <w:t xml:space="preserve">절대 판정이 아닌 설계안 상대비교 지표</w:t>
      </w:r>
      <w:r>
        <w:rPr>
          <w:rFonts w:ascii="Malgun Gothic" w:cs="Malgun Gothic" w:eastAsia="Malgun Gothic" w:hAnsi="Malgun Gothic"/>
          <w:sz w:val="19"/>
          <w:szCs w:val="19"/>
        </w:rPr>
        <w:t xml:space="preserve">로 도입하는 것이 유일하게 방어 가능한 사용법이다.</w:t>
      </w:r>
    </w:p>
    <w:p>
      <w:pPr>
        <w:pStyle w:val="ListParagraph"/>
        <w:numPr>
          <w:ilvl w:val="0"/>
          <w:numId w:val="3"/>
        </w:numPr>
        <w:spacing w:after="60" w:line="290"/>
      </w:pPr>
      <w:r>
        <w:rPr>
          <w:rFonts w:ascii="Malgun Gothic" w:cs="Malgun Gothic" w:eastAsia="Malgun Gothic" w:hAnsi="Malgun Gothic"/>
          <w:sz w:val="19"/>
          <w:szCs w:val="19"/>
        </w:rPr>
        <w:t xml:space="preserve">★ 손상 연결은 비율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가 아니라 </w:t>
      </w:r>
      <w:r>
        <w:rPr>
          <w:rFonts w:ascii="Malgun Gothic" w:cs="Malgun Gothic" w:eastAsia="Malgun Gothic" w:hAnsi="Malgun Gothic"/>
          <w:b/>
          <w:bCs/>
          <w:sz w:val="19"/>
          <w:szCs w:val="19"/>
        </w:rPr>
        <w:t xml:space="preserve">절대 돌기하중 W</w:t>
      </w:r>
      <w:r>
        <w:rPr>
          <w:rFonts w:ascii="Malgun Gothic" w:cs="Malgun Gothic" w:eastAsia="Malgun Gothic" w:hAnsi="Malgun Gothic"/>
          <w:b/>
          <w:bCs/>
          <w:sz w:val="14"/>
          <w:szCs w:val="14"/>
        </w:rPr>
        <w:t xml:space="preserve">a</w:t>
      </w:r>
      <w:r>
        <w:rPr>
          <w:rFonts w:ascii="Malgun Gothic" w:cs="Malgun Gothic" w:eastAsia="Malgun Gothic" w:hAnsi="Malgun Gothic"/>
          <w:b/>
          <w:bCs/>
          <w:sz w:val="19"/>
          <w:szCs w:val="19"/>
        </w:rPr>
        <w:t xml:space="preserve"> = (L</w:t>
      </w:r>
      <w:r>
        <w:rPr>
          <w:rFonts w:ascii="Malgun Gothic" w:cs="Malgun Gothic" w:eastAsia="Malgun Gothic" w:hAnsi="Malgun Gothic"/>
          <w:b/>
          <w:bCs/>
          <w:sz w:val="14"/>
          <w:szCs w:val="14"/>
        </w:rPr>
        <w:t xml:space="preserve">a</w:t>
      </w:r>
      <w:r>
        <w:rPr>
          <w:rFonts w:ascii="Malgun Gothic" w:cs="Malgun Gothic" w:eastAsia="Malgun Gothic" w:hAnsi="Malgun Gothic"/>
          <w:b/>
          <w:bCs/>
          <w:sz w:val="19"/>
          <w:szCs w:val="19"/>
        </w:rPr>
        <w:t xml:space="preserve">/100)·W 로 해야 한다.</w:t>
      </w:r>
      <w:r>
        <w:rPr>
          <w:rFonts w:ascii="Malgun Gothic" w:cs="Malgun Gothic" w:eastAsia="Malgun Gothic" w:hAnsi="Malgun Gothic"/>
          <w:sz w:val="19"/>
          <w:szCs w:val="19"/>
        </w:rPr>
        <w:t xml:space="preserve"> 비율을 그대로 임계값에 쓰면 경하중 운전점을 과대 위험 판정하는 오류가 발생한다. 원 저자의 마모식도 이 형태를 취한다.</w:t>
      </w:r>
    </w:p>
    <w:p>
      <w:pPr>
        <w:pStyle w:val="ListParagraph"/>
        <w:numPr>
          <w:ilvl w:val="0"/>
          <w:numId w:val="3"/>
        </w:numPr>
        <w:spacing w:after="60" w:line="290"/>
      </w:pPr>
      <w:r>
        <w:rPr>
          <w:rFonts w:ascii="Malgun Gothic" w:cs="Malgun Gothic" w:eastAsia="Malgun Gothic" w:hAnsi="Malgun Gothic"/>
          <w:sz w:val="19"/>
          <w:szCs w:val="19"/>
        </w:rPr>
        <w:t xml:space="preserve">본 프로젝트 조건에서 W·G·σ̄는 검증범위 내이나, </w:t>
      </w:r>
      <w:r>
        <w:rPr>
          <w:rFonts w:ascii="Malgun Gothic" w:cs="Malgun Gothic" w:eastAsia="Malgun Gothic" w:hAnsi="Malgun Gothic"/>
          <w:b/>
          <w:bCs/>
          <w:sz w:val="19"/>
          <w:szCs w:val="19"/>
        </w:rPr>
        <w:t xml:space="preserve">V는 상한 경계, U는 저풍속·기동에서 하한 이탈</w:t>
      </w:r>
      <w:r>
        <w:rPr>
          <w:rFonts w:ascii="Malgun Gothic" w:cs="Malgun Gothic" w:eastAsia="Malgun Gothic" w:hAnsi="Malgun Gothic"/>
          <w:sz w:val="19"/>
          <w:szCs w:val="19"/>
        </w:rPr>
        <w:t xml:space="preserve">이다. Moes 좌표 환원으로도 면제되지 않음을 계산으로 증명하였다.</w:t>
      </w:r>
    </w:p>
    <w:p>
      <w:pPr>
        <w:pStyle w:val="ListParagraph"/>
        <w:numPr>
          <w:ilvl w:val="0"/>
          <w:numId w:val="3"/>
        </w:numPr>
        <w:spacing w:after="60" w:line="290"/>
      </w:pPr>
      <w:r>
        <w:rPr>
          <w:rFonts w:ascii="Malgun Gothic" w:cs="Malgun Gothic" w:eastAsia="Malgun Gothic" w:hAnsi="Malgun Gothic"/>
          <w:sz w:val="19"/>
          <w:szCs w:val="19"/>
        </w:rPr>
        <w:t xml:space="preserve">★ 그리스 전용 공식(Wu et al. 2022)을 원문 검증한 결과, </w:t>
      </w:r>
      <w:r>
        <w:rPr>
          <w:rFonts w:ascii="Malgun Gothic" w:cs="Malgun Gothic" w:eastAsia="Malgun Gothic" w:hAnsi="Malgun Gothic"/>
          <w:b/>
          <w:bCs/>
          <w:sz w:val="19"/>
          <w:szCs w:val="19"/>
        </w:rPr>
        <w:t xml:space="preserve">유막두께식 Eq.(29)·(30)은 재현되나 L</w:t>
      </w:r>
      <w:r>
        <w:rPr>
          <w:rFonts w:ascii="Malgun Gothic" w:cs="Malgun Gothic" w:eastAsia="Malgun Gothic" w:hAnsi="Malgun Gothic"/>
          <w:b/>
          <w:bCs/>
          <w:sz w:val="14"/>
          <w:szCs w:val="14"/>
        </w:rPr>
        <w:t xml:space="preserve">a</w:t>
      </w:r>
      <w:r>
        <w:rPr>
          <w:rFonts w:ascii="Malgun Gothic" w:cs="Malgun Gothic" w:eastAsia="Malgun Gothic" w:hAnsi="Malgun Gothic"/>
          <w:b/>
          <w:bCs/>
          <w:sz w:val="19"/>
          <w:szCs w:val="19"/>
        </w:rPr>
        <w:t xml:space="preserve"> 식 Eq.(31)은 논문 자체 Table 6을 142~111,237배 벗어나 사용할 수 없다.</w:t>
      </w:r>
      <w:r>
        <w:rPr>
          <w:rFonts w:ascii="Malgun Gothic" w:cs="Malgun Gothic" w:eastAsia="Malgun Gothic" w:hAnsi="Malgun Gothic"/>
          <w:sz w:val="19"/>
          <w:szCs w:val="19"/>
        </w:rPr>
        <w:t xml:space="preserve"> 정오표 확인 또는 저자 문의가 필요하다.</w:t>
      </w:r>
    </w:p>
    <w:p>
      <w:pPr>
        <w:pStyle w:val="ListParagraph"/>
        <w:numPr>
          <w:ilvl w:val="0"/>
          <w:numId w:val="3"/>
        </w:numPr>
        <w:spacing w:after="60" w:line="290"/>
      </w:pPr>
      <w:r>
        <w:rPr>
          <w:rFonts w:ascii="Malgun Gothic" w:cs="Malgun Gothic" w:eastAsia="Malgun Gothic" w:hAnsi="Malgun Gothic"/>
          <w:sz w:val="19"/>
          <w:szCs w:val="19"/>
        </w:rPr>
        <w:t xml:space="preserve">★ 다만 그리스 소성점도로 U를 계산하면 기동 조건까지 전 운전점이 검증범위 안으로 들어오고, 유막은 오일 기준의 2.7~3.0배(Λ 0.51~1.40 → 1.37~3.92)가 된다. </w:t>
      </w:r>
      <w:r>
        <w:rPr>
          <w:rFonts w:ascii="Malgun Gothic" w:cs="Malgun Gothic" w:eastAsia="Malgun Gothic" w:hAnsi="Malgun Gothic"/>
          <w:b/>
          <w:bCs/>
          <w:sz w:val="19"/>
          <w:szCs w:val="19"/>
        </w:rPr>
        <w:t xml:space="preserve">즉 오일 물성으로 평가한 저속 위험도는 과대평가일 가능성이 있다</w:t>
      </w:r>
      <w:r>
        <w:rPr>
          <w:rFonts w:ascii="Malgun Gothic" w:cs="Malgun Gothic" w:eastAsia="Malgun Gothic" w:hAnsi="Malgun Gothic"/>
          <w:sz w:val="19"/>
          <w:szCs w:val="19"/>
        </w:rPr>
        <w:t xml:space="preserve"> (완전침수 전제하에서).</w:t>
      </w:r>
    </w:p>
    <w:p>
      <w:pPr>
        <w:pStyle w:val="ListParagraph"/>
        <w:numPr>
          <w:ilvl w:val="0"/>
          <w:numId w:val="3"/>
        </w:numPr>
        <w:spacing w:after="60" w:line="290"/>
      </w:pPr>
      <w:r>
        <w:rPr>
          <w:rFonts w:ascii="Malgun Gothic" w:cs="Malgun Gothic" w:eastAsia="Malgun Gothic" w:hAnsi="Malgun Gothic"/>
          <w:sz w:val="19"/>
          <w:szCs w:val="19"/>
        </w:rPr>
        <w:t xml:space="preserve">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는 정상운전 마모 지표가 아니라 </w:t>
      </w:r>
      <w:r>
        <w:rPr>
          <w:rFonts w:ascii="Malgun Gothic" w:cs="Malgun Gothic" w:eastAsia="Malgun Gothic" w:hAnsi="Malgun Gothic"/>
          <w:b/>
          <w:bCs/>
          <w:sz w:val="19"/>
          <w:szCs w:val="19"/>
        </w:rPr>
        <w:t xml:space="preserve">과도·요동·정지 시 손상 취약성 지표</w:t>
      </w:r>
      <w:r>
        <w:rPr>
          <w:rFonts w:ascii="Malgun Gothic" w:cs="Malgun Gothic" w:eastAsia="Malgun Gothic" w:hAnsi="Malgun Gothic"/>
          <w:sz w:val="19"/>
          <w:szCs w:val="19"/>
        </w:rPr>
        <w:t xml:space="preserve">로 재해석하는 것이 물리적으로 타당하다. 정상운전에서는 SRR ≈ 0 이므로 마모 구동력이 작다.</w:t>
      </w:r>
    </w:p>
    <w:p>
      <w:pPr>
        <w:pStyle w:val="ListParagraph"/>
        <w:numPr>
          <w:ilvl w:val="0"/>
          <w:numId w:val="3"/>
        </w:numPr>
        <w:spacing w:after="60" w:line="290"/>
      </w:pPr>
      <w:r>
        <w:rPr>
          <w:rFonts w:ascii="Malgun Gothic" w:cs="Malgun Gothic" w:eastAsia="Malgun Gothic" w:hAnsi="Malgun Gothic"/>
          <w:sz w:val="19"/>
          <w:szCs w:val="19"/>
        </w:rPr>
        <w:t xml:space="preserve">Hart et al. (2022)이 같은 논문의 유막식을 채택하고도 L</w:t>
      </w:r>
      <w:r>
        <w:rPr>
          <w:rFonts w:ascii="Malgun Gothic" w:cs="Malgun Gothic" w:eastAsia="Malgun Gothic" w:hAnsi="Malgun Gothic"/>
          <w:sz w:val="14"/>
          <w:szCs w:val="14"/>
        </w:rPr>
        <w:t xml:space="preserve">a</w:t>
      </w:r>
      <w:r>
        <w:rPr>
          <w:rFonts w:ascii="Malgun Gothic" w:cs="Malgun Gothic" w:eastAsia="Malgun Gothic" w:hAnsi="Malgun Gothic"/>
          <w:sz w:val="19"/>
          <w:szCs w:val="19"/>
        </w:rPr>
        <w:t xml:space="preserve"> 식은 쓰지 않았다는 사실이 </w:t>
      </w:r>
      <w:r>
        <w:rPr>
          <w:rFonts w:ascii="Malgun Gothic" w:cs="Malgun Gothic" w:eastAsia="Malgun Gothic" w:hAnsi="Malgun Gothic"/>
          <w:b/>
          <w:bCs/>
          <w:sz w:val="19"/>
          <w:szCs w:val="19"/>
        </w:rPr>
        <w:t xml:space="preserve">문헌상 빈 자리</w:t>
      </w:r>
      <w:r>
        <w:rPr>
          <w:rFonts w:ascii="Malgun Gothic" w:cs="Malgun Gothic" w:eastAsia="Malgun Gothic" w:hAnsi="Malgun Gothic"/>
          <w:sz w:val="19"/>
          <w:szCs w:val="19"/>
        </w:rPr>
        <w:t xml:space="preserve">의 존재를 명확히 보여준다. 이는 후속 연구로서 가장 자연스럽고 방어 가능한 확장 방향이다.</w:t>
      </w:r>
    </w:p>
    <w:p>
      <w:pPr>
        <w:pStyle w:val="Heading2"/>
        <w:spacing w:after="120" w:before="240"/>
      </w:pPr>
      <w:r>
        <w:rPr>
          <w:rFonts w:ascii="Malgun Gothic" w:cs="Malgun Gothic" w:eastAsia="Malgun Gothic" w:hAnsi="Malgun Gothic"/>
          <w:b/>
          <w:bCs/>
          <w:color w:val="2E5C8A"/>
          <w:sz w:val="22"/>
          <w:szCs w:val="22"/>
        </w:rPr>
        <w:t xml:space="preserve">9.2 후속 조치 권고 (우선순위순)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867"/>
        <w:gridCol w:w="3744"/>
      </w:tblGrid>
      <w:tr>
        <w:trPr>
          <w:tblHeader/>
        </w:trPr>
        <w:tc>
          <w:tcPr>
            <w:tcW w:type="dxa" w:w="749"/>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w:t>
            </w:r>
          </w:p>
        </w:tc>
        <w:tc>
          <w:tcPr>
            <w:tcW w:type="dxa" w:w="4867"/>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조치</w:t>
            </w:r>
          </w:p>
        </w:tc>
        <w:tc>
          <w:tcPr>
            <w:tcW w:type="dxa" w:w="3744"/>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목적 / 근거</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1</w:t>
            </w:r>
          </w:p>
        </w:tc>
        <w:tc>
          <w:tcPr>
            <w:tcW w:type="dxa" w:w="486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 Wu et al. (2022) Eq.(31) 정오표 확인 또는 교신저자 문의 (xhan@hebut.edu.cn / taoyourui@hebut.edu.cn)</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그리스 Lₐ 식이 논문 자체 Table 6과 불일치. 확인 전까지 인용 금지. 필요 시 본 조사의 재적합 결과(σ̄ 지수 8.52 @ n=0.8) 제시</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2</w:t>
            </w:r>
          </w:p>
        </w:tc>
        <w:tc>
          <w:tcPr>
            <w:tcW w:type="dxa" w:w="486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사용 그리스의 Ostwald 파라미터 (소성점도 φ₀, 유동지수 n) 실측 또는 공급사 확보</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Wu 식 적용의 전제 조건. 유동지수 n 이 Lₐ·유막 모두에 지배적. 범위 0.7~1.0</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3</w:t>
            </w:r>
          </w:p>
        </w:tc>
        <w:tc>
          <w:tcPr>
            <w:tcW w:type="dxa" w:w="486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Masjedi 박사학위논문 (LSU 2015, DOI 10.31390/gradschool_dissertations.3660) 확보</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오픈액세스이며 선/점접촉·기아·트랙션·마모 논문의 수식과 유효범위를 단일 문서에 통합</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4</w:t>
            </w:r>
          </w:p>
        </w:tc>
        <w:tc>
          <w:tcPr>
            <w:tcW w:type="dxa" w:w="486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Hart et al. (2022) WES Part 1·2 팀 필독자료 지정</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동일 문제·동일 모델·동일 회피책을 이미 수행. 인용하고 그 위에 쌓아야 함. 오픈액세스</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5</w:t>
            </w:r>
          </w:p>
        </w:tc>
        <w:tc>
          <w:tcPr>
            <w:tcW w:type="dxa" w:w="486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Wu et al. (2023) Tribology Int. 179:108181 확보</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 계열의 풍력 메인베어링 적용 여부 최종 확인</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6</w:t>
            </w:r>
          </w:p>
        </w:tc>
        <w:tc>
          <w:tcPr>
            <w:tcW w:type="dxa" w:w="486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 계산기 구현 + 검증범위 자동 플래깅 + 원문 예제(§2.5) 회귀검증</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후속 과제. Λ·M_l·L·Wₐ 동시 출력 필수</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7</w:t>
            </w:r>
          </w:p>
        </w:tc>
        <w:tc>
          <w:tcPr>
            <w:tcW w:type="dxa" w:w="486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경쟁 load-sharing 식군(Coy, GW, GT, BGT, Castro–Seabra) 병렬 계산</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모델 불확실성 밴드 제시. 단일값 신뢰 금지</w:t>
            </w:r>
          </w:p>
        </w:tc>
      </w:tr>
      <w:tr>
        <w:tc>
          <w:tcPr>
            <w:tcW w:type="dxa" w:w="749"/>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8</w:t>
            </w:r>
          </w:p>
        </w:tc>
        <w:tc>
          <w:tcPr>
            <w:tcW w:type="dxa" w:w="4867"/>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Masjedi–Khonsari (2014) 표면패턴 보정판 확보</w:t>
            </w:r>
          </w:p>
        </w:tc>
        <w:tc>
          <w:tcPr>
            <w:tcW w:type="dxa" w:w="3744"/>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TRB 궤도륜 연삭 줄무늬가 구름방향에 수직(transverse)일 때의 영향 평가</w:t>
            </w:r>
          </w:p>
        </w:tc>
      </w:tr>
      <w:tr>
        <w:tc>
          <w:tcPr>
            <w:tcW w:type="dxa" w:w="749"/>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9</w:t>
            </w:r>
          </w:p>
        </w:tc>
        <w:tc>
          <w:tcPr>
            <w:tcW w:type="dxa" w:w="4867"/>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정지·요동 판정축을 e = x/2b 기준으로 별도 수립</w:t>
            </w:r>
          </w:p>
        </w:tc>
        <w:tc>
          <w:tcPr>
            <w:tcW w:type="dxa" w:w="3744"/>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Lₐ 축과 분리. 임계 e = 1, 유막형성 한계 e = 1.6</w:t>
            </w:r>
          </w:p>
        </w:tc>
      </w:tr>
    </w:tbl>
    <w:p>
      <w:pPr>
        <w:pStyle w:val="Heading2"/>
        <w:spacing w:after="120" w:before="240"/>
      </w:pPr>
      <w:r>
        <w:rPr>
          <w:rFonts w:ascii="Malgun Gothic" w:cs="Malgun Gothic" w:eastAsia="Malgun Gothic" w:hAnsi="Malgun Gothic"/>
          <w:b/>
          <w:bCs/>
          <w:color w:val="2E5C8A"/>
          <w:sz w:val="22"/>
          <w:szCs w:val="22"/>
        </w:rPr>
        <w:t xml:space="preserve">9.3 미확보 문헌 (기관 접근 필요)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42"/>
        <w:gridCol w:w="4118"/>
      </w:tblGrid>
      <w:tr>
        <w:trPr>
          <w:tblHeader/>
        </w:trPr>
        <w:tc>
          <w:tcPr>
            <w:tcW w:type="dxa" w:w="5242"/>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문헌</w:t>
            </w:r>
          </w:p>
        </w:tc>
        <w:tc>
          <w:tcPr>
            <w:tcW w:type="dxa" w:w="4118"/>
            <w:shd w:fill="D9E2F3" w:val="clear"/>
            <w:tcMar>
              <w:top w:type="dxa" w:w="60"/>
              <w:left w:type="dxa" w:w="90"/>
              <w:bottom w:type="dxa" w:w="60"/>
              <w:right w:type="dxa" w:w="90"/>
            </w:tcMar>
          </w:tcPr>
          <w:p>
            <w:pPr>
              <w:spacing w:after="0" w:line="260"/>
              <w:jc w:val="left"/>
            </w:pPr>
            <w:r>
              <w:rPr>
                <w:rFonts w:ascii="Malgun Gothic" w:cs="Malgun Gothic" w:eastAsia="Malgun Gothic" w:hAnsi="Malgun Gothic"/>
                <w:b/>
                <w:bCs/>
                <w:sz w:val="17"/>
                <w:szCs w:val="17"/>
              </w:rPr>
              <w:t xml:space="preserve">미확보 사유 / 필요 내용</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Wu et al. (2022) Tribol. Lett. 70:128 정오표 / 저자 회신</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Eq.(31) Lₐ 식의 올바른 지수 (본 조사에서 결함 확인)</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Masjedi &amp; Khonsari (2015) Tribology Int. 82:228-244</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점접촉 Lₐ 원형 및 타원비 k 의존성 (Elsevier 차단)</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Masjedi &amp; Khonsari (2014) Tribology Int. 70 + Erratum 74:181</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트랙션 식 및 정정 내용</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Masjedi &amp; Khonsari (2015) Tribology Int. 85:26-36</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기아윤활 조건의 Lₐ 거동</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Morales-Espejel &amp; Brizmer (2011) Tribol. Trans. 54(4):625-643</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마이크로피팅 모델 원문 (T&amp;F 차단)</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Hart et al. (2025) Tribology Transactions, DOI 10.1080/10402004.2025.2558966</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풍력 메인베어링 스미어링 위험도 — SRR 결합의 최신 사례</w:t>
            </w:r>
          </w:p>
        </w:tc>
      </w:tr>
      <w:tr>
        <w:tc>
          <w:tcPr>
            <w:tcW w:type="dxa" w:w="5242"/>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 281:2007 §9.3 / ISO/TR 1281-2 Clause 11</w:t>
            </w:r>
          </w:p>
        </w:tc>
        <w:tc>
          <w:tcPr>
            <w:tcW w:type="dxa" w:w="4118"/>
            <w:shd w:fill="FFFFFF"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a_ISO 해석식 정확한 형태 / κ↔Λ 환산 근거</w:t>
            </w:r>
          </w:p>
        </w:tc>
      </w:tr>
      <w:tr>
        <w:tc>
          <w:tcPr>
            <w:tcW w:type="dxa" w:w="5242"/>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ISO/TS 6336-22:2018 Figure A.1</w:t>
            </w:r>
          </w:p>
        </w:tc>
        <w:tc>
          <w:tcPr>
            <w:tcW w:type="dxa" w:w="4118"/>
            <w:shd w:fill="F7F9FC" w:val="clear"/>
            <w:tcMar>
              <w:top w:type="dxa" w:w="60"/>
              <w:left w:type="dxa" w:w="90"/>
              <w:bottom w:type="dxa" w:w="60"/>
              <w:right w:type="dxa" w:w="90"/>
            </w:tcMar>
          </w:tcPr>
          <w:p>
            <w:pPr>
              <w:spacing w:after="0" w:line="260"/>
              <w:jc w:val="left"/>
            </w:pPr>
            <w:r>
              <w:rPr>
                <w:rFonts w:ascii="Malgun Gothic" w:cs="Malgun Gothic" w:eastAsia="Malgun Gothic" w:hAnsi="Malgun Gothic"/>
                <w:b w:val="false"/>
                <w:bCs w:val="false"/>
                <w:sz w:val="17"/>
                <w:szCs w:val="17"/>
              </w:rPr>
              <w:t xml:space="preserve">λ_GFP 결정 절차 (Method B option 2)</w:t>
            </w:r>
          </w:p>
        </w:tc>
      </w:tr>
    </w:tbl>
    <w:p>
      <w:r>
        <w:br w:type="page"/>
      </w:r>
    </w:p>
    <w:p>
      <w:pPr>
        <w:pStyle w:val="Heading1"/>
        <w:spacing w:after="120" w:before="320"/>
      </w:pPr>
      <w:r>
        <w:rPr>
          <w:rFonts w:ascii="Malgun Gothic" w:cs="Malgun Gothic" w:eastAsia="Malgun Gothic" w:hAnsi="Malgun Gothic"/>
          <w:b/>
          <w:bCs/>
          <w:color w:val="1F3864"/>
          <w:sz w:val="27"/>
          <w:szCs w:val="27"/>
        </w:rPr>
        <w:t xml:space="preserve">10. 참고문헌</w:t>
      </w:r>
    </w:p>
    <w:p>
      <w:pPr>
        <w:spacing w:after="80" w:before="180"/>
      </w:pPr>
      <w:r>
        <w:rPr>
          <w:rFonts w:ascii="Malgun Gothic" w:cs="Malgun Gothic" w:eastAsia="Malgun Gothic" w:hAnsi="Malgun Gothic"/>
          <w:b/>
          <w:bCs/>
          <w:color w:val="2E5C8A"/>
          <w:sz w:val="19"/>
          <w:szCs w:val="19"/>
        </w:rPr>
        <w:t xml:space="preserve">A. 원논문 및 Masjedi–Khonsari 계열</w:t>
      </w:r>
    </w:p>
    <w:p>
      <w:pPr>
        <w:spacing w:after="70" w:line="280"/>
        <w:ind w:left="340" w:hanging="340"/>
      </w:pPr>
      <w:r>
        <w:rPr>
          <w:rFonts w:ascii="Malgun Gothic" w:cs="Malgun Gothic" w:eastAsia="Malgun Gothic" w:hAnsi="Malgun Gothic"/>
          <w:sz w:val="17"/>
          <w:szCs w:val="17"/>
        </w:rPr>
        <w:t xml:space="preserve">Masjedi, M., Khonsari, M.M. (2012). Film Thickness and Asperity Load Formulas for Line-Contact Elastohydrodynamic Lubrication With Provision for Surface Roughness. ASME J. Tribol. 134(1):011503. DOI 10.1115/1.4005514 【검증: 첨부 원문】</w:t>
      </w:r>
    </w:p>
    <w:p>
      <w:pPr>
        <w:spacing w:after="70" w:line="280"/>
        <w:ind w:left="340" w:hanging="340"/>
      </w:pPr>
      <w:r>
        <w:rPr>
          <w:rFonts w:ascii="Malgun Gothic" w:cs="Malgun Gothic" w:eastAsia="Malgun Gothic" w:hAnsi="Malgun Gothic"/>
          <w:sz w:val="17"/>
          <w:szCs w:val="17"/>
        </w:rPr>
        <w:t xml:space="preserve">Masjedi, M., Khonsari, M.M. (2014). Theoretical and experimental investigation of traction coefficient in line-contact EHL of rough surfaces. Tribology Int. 70:179-189. DOI 10.1016/j.triboint.2013.10.004 (Erratum: 74:181)</w:t>
      </w:r>
    </w:p>
    <w:p>
      <w:pPr>
        <w:spacing w:after="70" w:line="280"/>
        <w:ind w:left="340" w:hanging="340"/>
      </w:pPr>
      <w:r>
        <w:rPr>
          <w:rFonts w:ascii="Malgun Gothic" w:cs="Malgun Gothic" w:eastAsia="Malgun Gothic" w:hAnsi="Malgun Gothic"/>
          <w:sz w:val="17"/>
          <w:szCs w:val="17"/>
        </w:rPr>
        <w:t xml:space="preserve">Masjedi, M., Khonsari, M.M. (2014). Mixed EHL line-contact formulas with different surface patterns. Proc. IMechE Part J 228(8):849-859. DOI 10.1177/1350650114534228</w:t>
      </w:r>
    </w:p>
    <w:p>
      <w:pPr>
        <w:spacing w:after="70" w:line="280"/>
        <w:ind w:left="340" w:hanging="340"/>
      </w:pPr>
      <w:r>
        <w:rPr>
          <w:rFonts w:ascii="Malgun Gothic" w:cs="Malgun Gothic" w:eastAsia="Malgun Gothic" w:hAnsi="Malgun Gothic"/>
          <w:sz w:val="17"/>
          <w:szCs w:val="17"/>
        </w:rPr>
        <w:t xml:space="preserve">Masjedi, M., Khonsari, M.M. (2015). On the effect of surface roughness in point-contact EHL: Formulas for film thickness and asperity load. Tribology Int. 82:228-244. DOI 10.1016/j.triboint.2014.09.010</w:t>
      </w:r>
    </w:p>
    <w:p>
      <w:pPr>
        <w:spacing w:after="70" w:line="280"/>
        <w:ind w:left="340" w:hanging="340"/>
      </w:pPr>
      <w:r>
        <w:rPr>
          <w:rFonts w:ascii="Malgun Gothic" w:cs="Malgun Gothic" w:eastAsia="Malgun Gothic" w:hAnsi="Malgun Gothic"/>
          <w:sz w:val="17"/>
          <w:szCs w:val="17"/>
        </w:rPr>
        <w:t xml:space="preserve">Masjedi, M., Khonsari, M.M. (2015). A study on the effect of starvation in mixed elastohydrodynamic lubrication. Tribology Int. 85:26-36. DOI 10.1016/j.triboint.2014.12.014</w:t>
      </w:r>
    </w:p>
    <w:p>
      <w:pPr>
        <w:spacing w:after="70" w:line="280"/>
        <w:ind w:left="340" w:hanging="340"/>
      </w:pPr>
      <w:r>
        <w:rPr>
          <w:rFonts w:ascii="Malgun Gothic" w:cs="Malgun Gothic" w:eastAsia="Malgun Gothic" w:hAnsi="Malgun Gothic"/>
          <w:sz w:val="17"/>
          <w:szCs w:val="17"/>
        </w:rPr>
        <w:t xml:space="preserve">Masjedi, M., Khonsari, M.M. (2015). An engineering approach for rapid evaluation of traction coefficient and wear in mixed EHL. Tribology Int. 92:184-190. DOI 10.1016/j.triboint.2015.05.013</w:t>
      </w:r>
    </w:p>
    <w:p>
      <w:pPr>
        <w:spacing w:after="70" w:line="280"/>
        <w:ind w:left="340" w:hanging="340"/>
      </w:pPr>
      <w:r>
        <w:rPr>
          <w:rFonts w:ascii="Malgun Gothic" w:cs="Malgun Gothic" w:eastAsia="Malgun Gothic" w:hAnsi="Malgun Gothic"/>
          <w:sz w:val="17"/>
          <w:szCs w:val="17"/>
        </w:rPr>
        <w:t xml:space="preserve">Masjedi, M., Khonsari, M.M. (2015). On the prediction of steady-state wear rate in spur gears. Wear 342-343:234-243. DOI 10.1016/j.wear.2015.08.010</w:t>
      </w:r>
    </w:p>
    <w:p>
      <w:pPr>
        <w:spacing w:after="70" w:line="280"/>
        <w:ind w:left="340" w:hanging="340"/>
      </w:pPr>
      <w:r>
        <w:rPr>
          <w:rFonts w:ascii="Malgun Gothic" w:cs="Malgun Gothic" w:eastAsia="Malgun Gothic" w:hAnsi="Malgun Gothic"/>
          <w:sz w:val="17"/>
          <w:szCs w:val="17"/>
        </w:rPr>
        <w:t xml:space="preserve">Masjedi, M., Khonsari, M.M. (2017). Mixed lubrication of soft contacts: An engineering look. Proc. IMechE Part J 231(2):263-273. DOI 10.1177/1350650116652286</w:t>
      </w:r>
    </w:p>
    <w:p>
      <w:pPr>
        <w:spacing w:after="70" w:line="280"/>
        <w:ind w:left="340" w:hanging="340"/>
      </w:pPr>
      <w:r>
        <w:rPr>
          <w:rFonts w:ascii="Malgun Gothic" w:cs="Malgun Gothic" w:eastAsia="Malgun Gothic" w:hAnsi="Malgun Gothic"/>
          <w:sz w:val="17"/>
          <w:szCs w:val="17"/>
        </w:rPr>
        <w:t xml:space="preserve">Masjedi, M. (2015). On the Role of Surface Roughness in Elastohydrodynamic Lubrication of Tribological Components. Ph.D. Dissertation, Louisiana State University. DOI 10.31390/gradschool_dissertations.3660 (오픈액세스)</w:t>
      </w:r>
    </w:p>
    <w:p>
      <w:pPr>
        <w:spacing w:after="80" w:before="180"/>
      </w:pPr>
      <w:r>
        <w:rPr>
          <w:rFonts w:ascii="Malgun Gothic" w:cs="Malgun Gothic" w:eastAsia="Malgun Gothic" w:hAnsi="Malgun Gothic"/>
          <w:b/>
          <w:bCs/>
          <w:color w:val="2E5C8A"/>
          <w:sz w:val="19"/>
          <w:szCs w:val="19"/>
        </w:rPr>
        <w:t xml:space="preserve">B. 이론적 기초</w:t>
      </w:r>
    </w:p>
    <w:p>
      <w:pPr>
        <w:spacing w:after="70" w:line="280"/>
        <w:ind w:left="340" w:hanging="340"/>
      </w:pPr>
      <w:r>
        <w:rPr>
          <w:rFonts w:ascii="Malgun Gothic" w:cs="Malgun Gothic" w:eastAsia="Malgun Gothic" w:hAnsi="Malgun Gothic"/>
          <w:sz w:val="17"/>
          <w:szCs w:val="17"/>
        </w:rPr>
        <w:t xml:space="preserve">Johnson, K.L., Greenwood, J.A., Poon, S.Y. (1972). A simple theory of asperity contact in elastohydrodynamic lubrication. Wear 19(1):91-108. DOI 10.1016/0043-1648(72)90445-0</w:t>
      </w:r>
    </w:p>
    <w:p>
      <w:pPr>
        <w:spacing w:after="70" w:line="280"/>
        <w:ind w:left="340" w:hanging="340"/>
      </w:pPr>
      <w:r>
        <w:rPr>
          <w:rFonts w:ascii="Malgun Gothic" w:cs="Malgun Gothic" w:eastAsia="Malgun Gothic" w:hAnsi="Malgun Gothic"/>
          <w:sz w:val="17"/>
          <w:szCs w:val="17"/>
        </w:rPr>
        <w:t xml:space="preserve">Patir, N., Cheng, H.S. (1978). An Average Flow Model for Determining Effects of Three-Dimensional Roughness on Partial Hydrodynamic Lubrication. ASME J. Lubr. Technol. 100(1):12-17. DOI 10.1115/1.3453103</w:t>
      </w:r>
    </w:p>
    <w:p>
      <w:pPr>
        <w:spacing w:after="70" w:line="280"/>
        <w:ind w:left="340" w:hanging="340"/>
      </w:pPr>
      <w:r>
        <w:rPr>
          <w:rFonts w:ascii="Malgun Gothic" w:cs="Malgun Gothic" w:eastAsia="Malgun Gothic" w:hAnsi="Malgun Gothic"/>
          <w:sz w:val="17"/>
          <w:szCs w:val="17"/>
        </w:rPr>
        <w:t xml:space="preserve">Zhao, Y., Maietta, D.M., Chang, L. (2000). An Asperity Microcontact Model Incorporating the Transition From Elastic Deformation to Fully Plastic Flow. ASME J. Tribol. 122(1):86-93. DOI 10.1115/1.555332</w:t>
      </w:r>
    </w:p>
    <w:p>
      <w:pPr>
        <w:spacing w:after="70" w:line="280"/>
        <w:ind w:left="340" w:hanging="340"/>
      </w:pPr>
      <w:r>
        <w:rPr>
          <w:rFonts w:ascii="Malgun Gothic" w:cs="Malgun Gothic" w:eastAsia="Malgun Gothic" w:hAnsi="Malgun Gothic"/>
          <w:sz w:val="17"/>
          <w:szCs w:val="17"/>
        </w:rPr>
        <w:t xml:space="preserve">Gelinck, E.R.M., Schipper, D.J. (2000). Calculation of Stribeck curves for line contacts. Tribology Int. 33(3-4):175-181. DOI 10.1016/S0301-679X(00)00024-4</w:t>
      </w:r>
    </w:p>
    <w:p>
      <w:pPr>
        <w:spacing w:after="70" w:line="280"/>
        <w:ind w:left="340" w:hanging="340"/>
      </w:pPr>
      <w:r>
        <w:rPr>
          <w:rFonts w:ascii="Malgun Gothic" w:cs="Malgun Gothic" w:eastAsia="Malgun Gothic" w:hAnsi="Malgun Gothic"/>
          <w:sz w:val="17"/>
          <w:szCs w:val="17"/>
        </w:rPr>
        <w:t xml:space="preserve">Lu, X., Khonsari, M.M., Gelinck, E.R.M. (2006). The Stribeck Curve: Experimental Results and Theoretical Prediction. ASME J. Tribol. 128(4):789-794. DOI 10.1115/1.2345406</w:t>
      </w:r>
    </w:p>
    <w:p>
      <w:pPr>
        <w:spacing w:after="70" w:line="280"/>
        <w:ind w:left="340" w:hanging="340"/>
      </w:pPr>
      <w:r>
        <w:rPr>
          <w:rFonts w:ascii="Malgun Gothic" w:cs="Malgun Gothic" w:eastAsia="Malgun Gothic" w:hAnsi="Malgun Gothic"/>
          <w:sz w:val="17"/>
          <w:szCs w:val="17"/>
        </w:rPr>
        <w:t xml:space="preserve">Beheshti, A., Khonsari, M.M. (2013). An engineering approach for the prediction of wear in mixed lubricated contacts. Wear 308(1-2):121-131. DOI 10.1016/j.wear.2013.10.004</w:t>
      </w:r>
    </w:p>
    <w:p>
      <w:pPr>
        <w:spacing w:after="80" w:before="180"/>
      </w:pPr>
      <w:r>
        <w:rPr>
          <w:rFonts w:ascii="Malgun Gothic" w:cs="Malgun Gothic" w:eastAsia="Malgun Gothic" w:hAnsi="Malgun Gothic"/>
          <w:b/>
          <w:bCs/>
          <w:color w:val="2E5C8A"/>
          <w:sz w:val="19"/>
          <w:szCs w:val="19"/>
        </w:rPr>
        <w:t xml:space="preserve">C. 풍력 메인베어링</w:t>
      </w:r>
    </w:p>
    <w:p>
      <w:pPr>
        <w:spacing w:after="70" w:line="280"/>
        <w:ind w:left="340" w:hanging="340"/>
      </w:pPr>
      <w:r>
        <w:rPr>
          <w:rFonts w:ascii="Malgun Gothic" w:cs="Malgun Gothic" w:eastAsia="Malgun Gothic" w:hAnsi="Malgun Gothic"/>
          <w:sz w:val="17"/>
          <w:szCs w:val="17"/>
        </w:rPr>
        <w:t xml:space="preserve">Hart, E., Clarke, B., Nicholas, G., Kazemi Amiri, A., Stirling, J., Carroll, J., Dwyer-Joyce, R., McDonald, A., Long, H. (2020). A review of wind turbine main bearings: design, operation, modelling, damage mechanisms and fault detection. Wind Energy Science 5:105-124. DOI 10.5194/wes-5-105-2020 【검증】</w:t>
      </w:r>
    </w:p>
    <w:p>
      <w:pPr>
        <w:spacing w:after="70" w:line="280"/>
        <w:ind w:left="340" w:hanging="340"/>
      </w:pPr>
      <w:r>
        <w:rPr>
          <w:rFonts w:ascii="Malgun Gothic" w:cs="Malgun Gothic" w:eastAsia="Malgun Gothic" w:hAnsi="Malgun Gothic"/>
          <w:sz w:val="17"/>
          <w:szCs w:val="17"/>
        </w:rPr>
        <w:t xml:space="preserve">Hart, E., de Mello, E., Dwyer-Joyce, R. (2022). Wind turbine main-bearing lubrication - Part 1: An introductory review of elastohydrodynamic lubrication theory. Wind Energy Science 7:1021-1042. DOI 10.5194/wes-7-1021-2022 【검증】</w:t>
      </w:r>
    </w:p>
    <w:p>
      <w:pPr>
        <w:spacing w:after="70" w:line="280"/>
        <w:ind w:left="340" w:hanging="340"/>
      </w:pPr>
      <w:r>
        <w:rPr>
          <w:rFonts w:ascii="Malgun Gothic" w:cs="Malgun Gothic" w:eastAsia="Malgun Gothic" w:hAnsi="Malgun Gothic"/>
          <w:sz w:val="17"/>
          <w:szCs w:val="17"/>
        </w:rPr>
        <w:t xml:space="preserve">Hart, E., de Mello, E., Dwyer-Joyce, R. (2022). Wind turbine main-bearing lubrication - Part 2: Simulation based results for a double-row spherical roller main-bearing in a 1.5 MW wind turbine. Wind Energy Science 7:1533-1550. DOI 10.5194/wes-7-1533-2022 【검증】</w:t>
      </w:r>
    </w:p>
    <w:p>
      <w:pPr>
        <w:spacing w:after="70" w:line="280"/>
        <w:ind w:left="340" w:hanging="340"/>
      </w:pPr>
      <w:r>
        <w:rPr>
          <w:rFonts w:ascii="Malgun Gothic" w:cs="Malgun Gothic" w:eastAsia="Malgun Gothic" w:hAnsi="Malgun Gothic"/>
          <w:sz w:val="17"/>
          <w:szCs w:val="17"/>
        </w:rPr>
        <w:t xml:space="preserve">Keller, J., Guo, Y. et al. NREL/TP-5000-86901, Wind Turbine Main Bearing Rating Lives as Determined by IEC 61400-1 and ISO 281. National Renewable Energy Laboratory 【검증】</w:t>
      </w:r>
    </w:p>
    <w:p>
      <w:pPr>
        <w:spacing w:after="70" w:line="280"/>
        <w:ind w:left="340" w:hanging="340"/>
      </w:pPr>
      <w:r>
        <w:rPr>
          <w:rFonts w:ascii="Malgun Gothic" w:cs="Malgun Gothic" w:eastAsia="Malgun Gothic" w:hAnsi="Malgun Gothic"/>
          <w:sz w:val="17"/>
          <w:szCs w:val="17"/>
        </w:rPr>
        <w:t xml:space="preserve">NREL/TP-5000-80195, Wind Turbine Drivetrain Reliability and Wind Plant Operations and Maintenance Research 【검증】</w:t>
      </w:r>
    </w:p>
    <w:p>
      <w:pPr>
        <w:spacing w:after="70" w:line="280"/>
        <w:ind w:left="340" w:hanging="340"/>
      </w:pPr>
      <w:r>
        <w:rPr>
          <w:rFonts w:ascii="Malgun Gothic" w:cs="Malgun Gothic" w:eastAsia="Malgun Gothic" w:hAnsi="Malgun Gothic"/>
          <w:sz w:val="17"/>
          <w:szCs w:val="17"/>
        </w:rPr>
        <w:t xml:space="preserve">Wu, M., Han, X., Tao, Y., Pei, J. (2023). Lubrication reliability analysis of wind turbine main bearing in random wind field. Tribology Int. 179:108181 【미검증】</w:t>
      </w:r>
    </w:p>
    <w:p>
      <w:pPr>
        <w:spacing w:after="70" w:line="280"/>
        <w:ind w:left="340" w:hanging="340"/>
      </w:pPr>
      <w:r>
        <w:rPr>
          <w:rFonts w:ascii="Malgun Gothic" w:cs="Malgun Gothic" w:eastAsia="Malgun Gothic" w:hAnsi="Malgun Gothic"/>
          <w:sz w:val="17"/>
          <w:szCs w:val="17"/>
        </w:rPr>
        <w:t xml:space="preserve">Behnke, K., Schleich, F. (2023). Exploring limiting factors of wear in pitch bearings of wind turbines with real-scale tests. Wind Energy Science 8:289-301. DOI 10.5194/wes-8-289-2023 【검증】</w:t>
      </w:r>
    </w:p>
    <w:p>
      <w:pPr>
        <w:spacing w:after="70" w:line="280"/>
        <w:ind w:left="340" w:hanging="340"/>
      </w:pPr>
      <w:r>
        <w:rPr>
          <w:rFonts w:ascii="Malgun Gothic" w:cs="Malgun Gothic" w:eastAsia="Malgun Gothic" w:hAnsi="Malgun Gothic"/>
          <w:sz w:val="17"/>
          <w:szCs w:val="17"/>
        </w:rPr>
        <w:t xml:space="preserve">Schwack, F., Schneider, V., Wandel, S., de la Presilla, R.J., Poll, G., Glavatskih, S. (2021). On the critical amplitude in oscillating rolling element bearings. Tribology Int. 163:107154. DOI 10.1016/j.triboint.2021.107154 【검증】</w:t>
      </w:r>
    </w:p>
    <w:p>
      <w:pPr>
        <w:spacing w:after="80" w:before="180"/>
      </w:pPr>
      <w:r>
        <w:rPr>
          <w:rFonts w:ascii="Malgun Gothic" w:cs="Malgun Gothic" w:eastAsia="Malgun Gothic" w:hAnsi="Malgun Gothic"/>
          <w:b/>
          <w:bCs/>
          <w:color w:val="2E5C8A"/>
          <w:sz w:val="19"/>
          <w:szCs w:val="19"/>
        </w:rPr>
        <w:t xml:space="preserve">D. 그리스·기아윤활</w:t>
      </w:r>
    </w:p>
    <w:p>
      <w:pPr>
        <w:spacing w:after="70" w:line="280"/>
        <w:ind w:left="340" w:hanging="340"/>
      </w:pPr>
      <w:r>
        <w:rPr>
          <w:rFonts w:ascii="Malgun Gothic" w:cs="Malgun Gothic" w:eastAsia="Malgun Gothic" w:hAnsi="Malgun Gothic"/>
          <w:sz w:val="17"/>
          <w:szCs w:val="17"/>
        </w:rPr>
        <w:t xml:space="preserve">Wu, M., Han, X., Tao, Y., Pei, J. (2022). A Mixed EHL Analysis Method for Grease and Formulas for Film Thickness and Asperity Load. Tribology Letters 70:128. DOI 10.1007/s11249-022-01666-4 【검증: 첨부 원문】</w:t>
      </w:r>
    </w:p>
    <w:p>
      <w:pPr>
        <w:spacing w:after="70" w:line="280"/>
        <w:ind w:left="340" w:hanging="340"/>
      </w:pPr>
      <w:r>
        <w:rPr>
          <w:rFonts w:ascii="Malgun Gothic" w:cs="Malgun Gothic" w:eastAsia="Malgun Gothic" w:hAnsi="Malgun Gothic"/>
          <w:sz w:val="17"/>
          <w:szCs w:val="17"/>
        </w:rPr>
        <w:t xml:space="preserve">Wu, M.J., Han, X., Tao, Y.R., Pei, J.X. (2022). An Average Flow Model Considering Non-Newtonian Characteristics with Application to Grease Behavior. ASME J. Tribol. DOI 10.1115/1.4054508 — Wu et al.(2022)의 유동모델 근거</w:t>
      </w:r>
    </w:p>
    <w:p>
      <w:pPr>
        <w:spacing w:after="70" w:line="280"/>
        <w:ind w:left="340" w:hanging="340"/>
      </w:pPr>
      <w:r>
        <w:rPr>
          <w:rFonts w:ascii="Malgun Gothic" w:cs="Malgun Gothic" w:eastAsia="Malgun Gothic" w:hAnsi="Malgun Gothic"/>
          <w:sz w:val="17"/>
          <w:szCs w:val="17"/>
        </w:rPr>
        <w:t xml:space="preserve">Kogut, L., Etsion, I. (2002). Elastic-Plastic Contact Analysis of a Sphere and a Rigid Flat. ASME J. Appl. Mech. — Wu et al.이 채택한 K-E 접촉모델</w:t>
      </w:r>
    </w:p>
    <w:p>
      <w:pPr>
        <w:spacing w:after="70" w:line="280"/>
        <w:ind w:left="340" w:hanging="340"/>
      </w:pPr>
      <w:r>
        <w:rPr>
          <w:rFonts w:ascii="Malgun Gothic" w:cs="Malgun Gothic" w:eastAsia="Malgun Gothic" w:hAnsi="Malgun Gothic"/>
          <w:sz w:val="17"/>
          <w:szCs w:val="17"/>
        </w:rPr>
        <w:t xml:space="preserve">Pei, J., Han, X., Tao, Y., Feng, S. (2020). Mixed elastohydrodynamic lubrication analysis of line contact with non-Gaussian surface roughness. Tribology Int. 152:106449. DOI 10.1016/j.triboint.2020.106449</w:t>
      </w:r>
    </w:p>
    <w:p>
      <w:pPr>
        <w:spacing w:after="70" w:line="280"/>
        <w:ind w:left="340" w:hanging="340"/>
      </w:pPr>
      <w:r>
        <w:rPr>
          <w:rFonts w:ascii="Malgun Gothic" w:cs="Malgun Gothic" w:eastAsia="Malgun Gothic" w:hAnsi="Malgun Gothic"/>
          <w:sz w:val="17"/>
          <w:szCs w:val="17"/>
        </w:rPr>
        <w:t xml:space="preserve">Dong, et al. — 그리스 GL 5-2 4-roller 최소유막 실측 (Wu et al. 2022의 실험 검증 출처, 원문 [41])</w:t>
      </w:r>
    </w:p>
    <w:p>
      <w:pPr>
        <w:spacing w:after="70" w:line="280"/>
        <w:ind w:left="340" w:hanging="340"/>
      </w:pPr>
      <w:r>
        <w:rPr>
          <w:rFonts w:ascii="Malgun Gothic" w:cs="Malgun Gothic" w:eastAsia="Malgun Gothic" w:hAnsi="Malgun Gothic"/>
          <w:sz w:val="17"/>
          <w:szCs w:val="17"/>
        </w:rPr>
        <w:t xml:space="preserve">Lugt, P.M. (2013). Grease Lubrication in Rolling Bearings. Wiley. ISBN 9781118353912</w:t>
      </w:r>
    </w:p>
    <w:p>
      <w:pPr>
        <w:spacing w:after="70" w:line="280"/>
        <w:ind w:left="340" w:hanging="340"/>
      </w:pPr>
      <w:r>
        <w:rPr>
          <w:rFonts w:ascii="Malgun Gothic" w:cs="Malgun Gothic" w:eastAsia="Malgun Gothic" w:hAnsi="Malgun Gothic"/>
          <w:sz w:val="17"/>
          <w:szCs w:val="17"/>
        </w:rPr>
        <w:t xml:space="preserve">Morales-Espejel, G.E., Lugt, P.M., Pasaribu, H.R., Cen, H. (2014). Film thickness in grease lubricated slow rotating rolling bearings. Tribology Int. 74:7-19. DOI 10.1016/j.triboint.2014.01.023 【검증】</w:t>
      </w:r>
    </w:p>
    <w:p>
      <w:pPr>
        <w:spacing w:after="70" w:line="280"/>
        <w:ind w:left="340" w:hanging="340"/>
      </w:pPr>
      <w:r>
        <w:rPr>
          <w:rFonts w:ascii="Malgun Gothic" w:cs="Malgun Gothic" w:eastAsia="Malgun Gothic" w:hAnsi="Malgun Gothic"/>
          <w:sz w:val="17"/>
          <w:szCs w:val="17"/>
        </w:rPr>
        <w:t xml:space="preserve">Damiens, B., Venner, C.H., Cann, P.M.E., Lubrecht, A.A. (2004). Starved Lubrication of Elliptical EHD Contacts. ASME J. Tribol. 126(1):105-111. DOI 10.1115/1.1631020 【검증】</w:t>
      </w:r>
    </w:p>
    <w:p>
      <w:pPr>
        <w:spacing w:after="70" w:line="280"/>
        <w:ind w:left="340" w:hanging="340"/>
      </w:pPr>
      <w:r>
        <w:rPr>
          <w:rFonts w:ascii="Malgun Gothic" w:cs="Malgun Gothic" w:eastAsia="Malgun Gothic" w:hAnsi="Malgun Gothic"/>
          <w:sz w:val="17"/>
          <w:szCs w:val="17"/>
        </w:rPr>
        <w:t xml:space="preserve">Wandel, S., Bader, N., Glodowski, J., Lehnhardt, B., Leckner, J., Schwack, F., Poll, G. (2022). Starvation and Relubrication Mechanisms in Grease Lubricated Oscillating Bearings. Tribology Letters 70:114. DOI 10.1007/s11249-022-01655-7 【검증】</w:t>
      </w:r>
    </w:p>
    <w:p>
      <w:pPr>
        <w:spacing w:after="70" w:line="280"/>
        <w:ind w:left="340" w:hanging="340"/>
      </w:pPr>
      <w:r>
        <w:rPr>
          <w:rFonts w:ascii="Malgun Gothic" w:cs="Malgun Gothic" w:eastAsia="Malgun Gothic" w:hAnsi="Malgun Gothic"/>
          <w:sz w:val="17"/>
          <w:szCs w:val="17"/>
        </w:rPr>
        <w:t xml:space="preserve">Fischer, D., Mues, H., Jacobs, G., Stratmann, A. (2019). Effect of Over Rolling Frequency on the Film Formation in Grease Lubricated EHD Contacts under Starved Conditions. Lubricants 7(2):19. DOI 10.3390/lubricants7020019 【검증】</w:t>
      </w:r>
    </w:p>
    <w:p>
      <w:pPr>
        <w:spacing w:after="80" w:before="180"/>
      </w:pPr>
      <w:r>
        <w:rPr>
          <w:rFonts w:ascii="Malgun Gothic" w:cs="Malgun Gothic" w:eastAsia="Malgun Gothic" w:hAnsi="Malgun Gothic"/>
          <w:b/>
          <w:bCs/>
          <w:color w:val="2E5C8A"/>
          <w:sz w:val="19"/>
          <w:szCs w:val="19"/>
        </w:rPr>
        <w:t xml:space="preserve">E. 경쟁 정량평가 체계</w:t>
      </w:r>
    </w:p>
    <w:p>
      <w:pPr>
        <w:spacing w:after="70" w:line="280"/>
        <w:ind w:left="340" w:hanging="340"/>
      </w:pPr>
      <w:r>
        <w:rPr>
          <w:rFonts w:ascii="Malgun Gothic" w:cs="Malgun Gothic" w:eastAsia="Malgun Gothic" w:hAnsi="Malgun Gothic"/>
          <w:sz w:val="17"/>
          <w:szCs w:val="17"/>
        </w:rPr>
        <w:t xml:space="preserve">Morales-Espejel, G.E., Gabelli, A., de Vries, A.J.C. (2015). A Model for Rolling Bearing Life with Surface and Subsurface Survival - Tribological Effects. Tribology Transactions 58(5):894-906. DOI 10.1080/10402004.2015.1025932 【부분검증】</w:t>
      </w:r>
    </w:p>
    <w:p>
      <w:pPr>
        <w:spacing w:after="70" w:line="280"/>
        <w:ind w:left="340" w:hanging="340"/>
      </w:pPr>
      <w:r>
        <w:rPr>
          <w:rFonts w:ascii="Malgun Gothic" w:cs="Malgun Gothic" w:eastAsia="Malgun Gothic" w:hAnsi="Malgun Gothic"/>
          <w:sz w:val="17"/>
          <w:szCs w:val="17"/>
        </w:rPr>
        <w:t xml:space="preserve">Morales-Espejel, G.E., Brizmer, V. (2011). Micropitting Modelling in Rolling-Sliding Contacts: Application to Rolling Bearings. Tribology Transactions 54(4):625-643. DOI 10.1080/10402004.2011.587633 【미검증】</w:t>
      </w:r>
    </w:p>
    <w:p>
      <w:pPr>
        <w:spacing w:after="70" w:line="280"/>
        <w:ind w:left="340" w:hanging="340"/>
      </w:pPr>
      <w:r>
        <w:rPr>
          <w:rFonts w:ascii="Malgun Gothic" w:cs="Malgun Gothic" w:eastAsia="Malgun Gothic" w:hAnsi="Malgun Gothic"/>
          <w:sz w:val="17"/>
          <w:szCs w:val="17"/>
        </w:rPr>
        <w:t xml:space="preserve">Zhu, D., Wang, Q.J. (2012). On the λ ratio range of mixed lubrication. Proc. IMechE Part J 226(12):1010-1022. DOI 10.1177/1350650112461867 【검증】</w:t>
      </w:r>
    </w:p>
    <w:p>
      <w:pPr>
        <w:spacing w:after="70" w:line="280"/>
        <w:ind w:left="340" w:hanging="340"/>
      </w:pPr>
      <w:r>
        <w:rPr>
          <w:rFonts w:ascii="Malgun Gothic" w:cs="Malgun Gothic" w:eastAsia="Malgun Gothic" w:hAnsi="Malgun Gothic"/>
          <w:sz w:val="17"/>
          <w:szCs w:val="17"/>
        </w:rPr>
        <w:t xml:space="preserve">Rycerz, P., Kadiric, A. (2019). The Influence of Slide-Roll Ratio on the Extent of Micropitting Damage in Rolling-Sliding Contacts Pertinent to Gear Applications. Tribology Letters. DOI 10.1007/s11249-019-1174-7 【검증】</w:t>
      </w:r>
    </w:p>
    <w:p>
      <w:pPr>
        <w:spacing w:after="70" w:line="280"/>
        <w:ind w:left="340" w:hanging="340"/>
      </w:pPr>
      <w:r>
        <w:rPr>
          <w:rFonts w:ascii="Malgun Gothic" w:cs="Malgun Gothic" w:eastAsia="Malgun Gothic" w:hAnsi="Malgun Gothic"/>
          <w:sz w:val="17"/>
          <w:szCs w:val="17"/>
        </w:rPr>
        <w:t xml:space="preserve">Spies, C., Parab, Y., Fatemi, A. (2025). Mixed friction: Critical assessment of engineering load sharing equations based on the Lambda-parameter. Tribology Int. 211:110812. DOI 10.1016/j.triboint.2025.110812 【검증】</w:t>
      </w:r>
    </w:p>
    <w:p>
      <w:pPr>
        <w:spacing w:after="70" w:line="280"/>
        <w:ind w:left="340" w:hanging="340"/>
      </w:pPr>
      <w:r>
        <w:rPr>
          <w:rFonts w:ascii="Malgun Gothic" w:cs="Malgun Gothic" w:eastAsia="Malgun Gothic" w:hAnsi="Malgun Gothic"/>
          <w:sz w:val="17"/>
          <w:szCs w:val="17"/>
        </w:rPr>
        <w:t xml:space="preserve">Prajapati, D.K. et al. (2024). The Influence of Non-Gaussian Roughness and Spectral Properties on Mixed Lubrication for Heavily Loaded Counterformal Contacts. Lubricants 12(3):71. DOI 10.3390/lubricants12030071 【검증】</w:t>
      </w:r>
    </w:p>
    <w:p>
      <w:pPr>
        <w:spacing w:after="70" w:line="280"/>
        <w:ind w:left="340" w:hanging="340"/>
      </w:pPr>
      <w:r>
        <w:rPr>
          <w:rFonts w:ascii="Malgun Gothic" w:cs="Malgun Gothic" w:eastAsia="Malgun Gothic" w:hAnsi="Malgun Gothic"/>
          <w:sz w:val="17"/>
          <w:szCs w:val="17"/>
        </w:rPr>
        <w:t xml:space="preserve">Cao, H. et al. (2023). Mixed Lubrication Analysis of Tapered Roller Bearings and Crowning Profile Optimization. Lubricants 11(3):97 【검증】</w:t>
      </w:r>
    </w:p>
    <w:p>
      <w:pPr>
        <w:spacing w:after="70" w:line="280"/>
        <w:ind w:left="340" w:hanging="340"/>
      </w:pPr>
      <w:r>
        <w:rPr>
          <w:rFonts w:ascii="Malgun Gothic" w:cs="Malgun Gothic" w:eastAsia="Malgun Gothic" w:hAnsi="Malgun Gothic"/>
          <w:sz w:val="17"/>
          <w:szCs w:val="17"/>
        </w:rPr>
        <w:t xml:space="preserve">Maruyama, T., Kosugi, D., Iwase, S., Maeda, M., Nakano, K., Momozono, S. (2024). Application of the electrical impedance method to steel/steel EHD point contacts. Frontiers in Mechanical Engineering 10:1489311. DOI 10.3389/fmech.2024.1489311 【검증】</w:t>
      </w:r>
    </w:p>
    <w:p>
      <w:pPr>
        <w:spacing w:after="70" w:line="280"/>
        <w:ind w:left="340" w:hanging="340"/>
      </w:pPr>
      <w:r>
        <w:rPr>
          <w:rFonts w:ascii="Malgun Gothic" w:cs="Malgun Gothic" w:eastAsia="Malgun Gothic" w:hAnsi="Malgun Gothic"/>
          <w:sz w:val="17"/>
          <w:szCs w:val="17"/>
        </w:rPr>
        <w:t xml:space="preserve">Clarke, A., Weeks, I.J.J., Evans, H.P., Snidle, R.W. (2016). An investigation into mixed lubrication conditions using electrical contact resistance techniques. Tribology Int. 93(B):709-716. DOI 10.1016/j.triboint.2014.10.010 【검증】</w:t>
      </w:r>
    </w:p>
    <w:p>
      <w:pPr>
        <w:spacing w:after="70" w:line="280"/>
        <w:ind w:left="340" w:hanging="340"/>
      </w:pPr>
      <w:r>
        <w:rPr>
          <w:rFonts w:ascii="Malgun Gothic" w:cs="Malgun Gothic" w:eastAsia="Malgun Gothic" w:hAnsi="Malgun Gothic"/>
          <w:sz w:val="17"/>
          <w:szCs w:val="17"/>
        </w:rPr>
        <w:t xml:space="preserve">Wheeler, J-D., Vergne, P., Fillot, N., Philippon, D. (2016). On the relevance of analytical film thickness EHD equations for isothermal point contacts. Friction 4(4):369-379. DOI 10.1007/s40544-016-0133-7</w:t>
      </w:r>
    </w:p>
    <w:p>
      <w:pPr>
        <w:spacing w:after="80" w:before="180"/>
      </w:pPr>
      <w:r>
        <w:rPr>
          <w:rFonts w:ascii="Malgun Gothic" w:cs="Malgun Gothic" w:eastAsia="Malgun Gothic" w:hAnsi="Malgun Gothic"/>
          <w:b/>
          <w:bCs/>
          <w:color w:val="2E5C8A"/>
          <w:sz w:val="19"/>
          <w:szCs w:val="19"/>
        </w:rPr>
        <w:t xml:space="preserve">F. 표준 및 제조사 기술문헌</w:t>
      </w:r>
    </w:p>
    <w:p>
      <w:pPr>
        <w:spacing w:after="70" w:line="280"/>
        <w:ind w:left="340" w:hanging="340"/>
      </w:pPr>
      <w:r>
        <w:rPr>
          <w:rFonts w:ascii="Malgun Gothic" w:cs="Malgun Gothic" w:eastAsia="Malgun Gothic" w:hAnsi="Malgun Gothic"/>
          <w:sz w:val="17"/>
          <w:szCs w:val="17"/>
        </w:rPr>
        <w:t xml:space="preserve">ISO 281:2007, Rolling bearings - Dynamic load ratings and rating life</w:t>
      </w:r>
    </w:p>
    <w:p>
      <w:pPr>
        <w:spacing w:after="70" w:line="280"/>
        <w:ind w:left="340" w:hanging="340"/>
      </w:pPr>
      <w:r>
        <w:rPr>
          <w:rFonts w:ascii="Malgun Gothic" w:cs="Malgun Gothic" w:eastAsia="Malgun Gothic" w:hAnsi="Malgun Gothic"/>
          <w:sz w:val="17"/>
          <w:szCs w:val="17"/>
        </w:rPr>
        <w:t xml:space="preserve">ISO/TR 1281-2:2008, Rolling bearings - Explanatory notes on ISO 281 - Part 2: Modified rating life calculation, based on a systems approach to fatigue stresses</w:t>
      </w:r>
    </w:p>
    <w:p>
      <w:pPr>
        <w:spacing w:after="70" w:line="280"/>
        <w:ind w:left="340" w:hanging="340"/>
      </w:pPr>
      <w:r>
        <w:rPr>
          <w:rFonts w:ascii="Malgun Gothic" w:cs="Malgun Gothic" w:eastAsia="Malgun Gothic" w:hAnsi="Malgun Gothic"/>
          <w:sz w:val="17"/>
          <w:szCs w:val="17"/>
        </w:rPr>
        <w:t xml:space="preserve">ISO 15243:2017, Rolling bearings - Damage and failures - Terms, characteristics and causes</w:t>
      </w:r>
    </w:p>
    <w:p>
      <w:pPr>
        <w:spacing w:after="70" w:line="280"/>
        <w:ind w:left="340" w:hanging="340"/>
      </w:pPr>
      <w:r>
        <w:rPr>
          <w:rFonts w:ascii="Malgun Gothic" w:cs="Malgun Gothic" w:eastAsia="Malgun Gothic" w:hAnsi="Malgun Gothic"/>
          <w:sz w:val="17"/>
          <w:szCs w:val="17"/>
        </w:rPr>
        <w:t xml:space="preserve">ISO/TS 6336-22:2018, Calculation of load capacity of spur and helical gears - Part 22: Calculation of micropitting load capacity</w:t>
      </w:r>
    </w:p>
    <w:p>
      <w:pPr>
        <w:spacing w:after="70" w:line="280"/>
        <w:ind w:left="340" w:hanging="340"/>
      </w:pPr>
      <w:r>
        <w:rPr>
          <w:rFonts w:ascii="Malgun Gothic" w:cs="Malgun Gothic" w:eastAsia="Malgun Gothic" w:hAnsi="Malgun Gothic"/>
          <w:sz w:val="17"/>
          <w:szCs w:val="17"/>
        </w:rPr>
        <w:t xml:space="preserve">IEC 61400-4:2025, Wind energy generation systems - Part 4: Design requirements for wind turbine gearboxes</w:t>
      </w:r>
    </w:p>
    <w:p>
      <w:pPr>
        <w:spacing w:after="70" w:line="280"/>
        <w:ind w:left="340" w:hanging="340"/>
      </w:pPr>
      <w:r>
        <w:rPr>
          <w:rFonts w:ascii="Malgun Gothic" w:cs="Malgun Gothic" w:eastAsia="Malgun Gothic" w:hAnsi="Malgun Gothic"/>
          <w:sz w:val="17"/>
          <w:szCs w:val="17"/>
        </w:rPr>
        <w:t xml:space="preserve">SKF, The SKF model for calculating the frictional moment, PUB BU/P8 【검증】</w:t>
      </w:r>
    </w:p>
    <w:p>
      <w:pPr>
        <w:spacing w:after="70" w:line="280"/>
        <w:ind w:left="340" w:hanging="340"/>
      </w:pPr>
      <w:r>
        <w:rPr>
          <w:rFonts w:ascii="Malgun Gothic" w:cs="Malgun Gothic" w:eastAsia="Malgun Gothic" w:hAnsi="Malgun Gothic"/>
          <w:sz w:val="17"/>
          <w:szCs w:val="17"/>
        </w:rPr>
        <w:t xml:space="preserve">Schaeffler, Rolling Bearing Lubrication, WL 81115/4 EA 【검증】</w:t>
      </w:r>
    </w:p>
    <w:p>
      <w:pPr>
        <w:spacing w:after="70" w:line="280"/>
        <w:ind w:left="340" w:hanging="340"/>
      </w:pPr>
      <w:r>
        <w:rPr>
          <w:rFonts w:ascii="Malgun Gothic" w:cs="Malgun Gothic" w:eastAsia="Malgun Gothic" w:hAnsi="Malgun Gothic"/>
          <w:sz w:val="17"/>
          <w:szCs w:val="17"/>
        </w:rPr>
        <w:t xml:space="preserve">NTN Bearing Wizard - Lubrication / Lifetime calculation 【검증】</w:t>
      </w:r>
    </w:p>
    <w:p>
      <w:pPr>
        <w:spacing w:after="70" w:line="280"/>
        <w:ind w:left="340" w:hanging="340"/>
      </w:pPr>
      <w:r>
        <w:rPr>
          <w:rFonts w:ascii="Malgun Gothic" w:cs="Malgun Gothic" w:eastAsia="Malgun Gothic" w:hAnsi="Malgun Gothic"/>
          <w:sz w:val="17"/>
          <w:szCs w:val="17"/>
        </w:rPr>
        <w:t xml:space="preserve">Timken, Increasing Bearing Reliability in a Main Shaft Support System (Technical White Paper) 【검증】</w:t>
      </w:r>
    </w:p>
    <w:p>
      <w:pPr>
        <w:pBdr>
          <w:top w:val="single" w:color="CCCCCC" w:sz="6"/>
        </w:pBdr>
        <w:spacing w:before="400"/>
      </w:pPr>
    </w:p>
    <w:p>
      <w:pPr>
        <w:spacing w:after="100" w:line="300"/>
      </w:pPr>
      <w:r>
        <w:rPr>
          <w:rFonts w:ascii="Malgun Gothic" w:cs="Malgun Gothic" w:eastAsia="Malgun Gothic" w:hAnsi="Malgun Gothic"/>
          <w:i/>
          <w:iCs/>
          <w:color w:val="666666"/>
          <w:sz w:val="16"/>
          <w:szCs w:val="16"/>
        </w:rPr>
        <w:t xml:space="preserve">본 보고서 §6의 모든 수치는 조사자가 원식을 직접 구현하여 산출한 자체 계산 결과이며, 문헌 인용이 아니다. 【검증】 표기가 없는 수식·상수는 원문 대조 없이 설계 문서에 전재하지 말 것.</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2026-07-31T07:13:52.644Z</dcterms:created>
  <dcterms:modified xsi:type="dcterms:W3CDTF">2026-07-31T07:13:52.881Z</dcterms:modified>
</cp:coreProperties>
</file>

<file path=docProps/custom.xml><?xml version="1.0" encoding="utf-8"?>
<Properties xmlns="http://schemas.openxmlformats.org/officeDocument/2006/custom-properties" xmlns:vt="http://schemas.openxmlformats.org/officeDocument/2006/docPropsVTypes"/>
</file>