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88" w:lineRule="auto"/>
        <w:jc w:val="right"/>
      </w:pPr>
      <w:r>
        <w:rPr>
          <w:rFonts w:ascii="Times New Roman" w:hAnsi="Times New Roman" w:eastAsia="바탕" w:cs="Times New Roman"/>
          <w:b w:val="0"/>
          <w:i/>
          <w:color w:val="666666"/>
          <w:sz w:val="18"/>
        </w:rPr>
        <w:t>학술지 투고용 초록 초안  ·  수치·저자·소속은 최종 실험·투고 요강에 맞춰 수정</w:t>
      </w:r>
    </w:p>
    <w:p>
      <w:pPr>
        <w:spacing w:before="120" w:after="0" w:line="312" w:lineRule="auto"/>
        <w:jc w:val="center"/>
      </w:pPr>
      <w:r>
        <w:rPr>
          <w:rFonts w:ascii="Times New Roman" w:hAnsi="Times New Roman" w:eastAsia="맑은 고딕" w:cs="Times New Roman"/>
          <w:b/>
          <w:i w:val="0"/>
          <w:sz w:val="32"/>
        </w:rPr>
        <w:t>시계열 홀드아웃과 비율 타깃 변환을 적용한</w:t>
      </w:r>
    </w:p>
    <w:p>
      <w:pPr>
        <w:spacing w:before="0" w:after="80" w:line="312" w:lineRule="auto"/>
        <w:jc w:val="center"/>
      </w:pPr>
      <w:r>
        <w:rPr>
          <w:rFonts w:ascii="Times New Roman" w:hAnsi="Times New Roman" w:eastAsia="맑은 고딕" w:cs="Times New Roman"/>
          <w:b/>
          <w:i w:val="0"/>
          <w:sz w:val="32"/>
        </w:rPr>
        <w:t>아파트 전세가율 예측</w:t>
      </w:r>
    </w:p>
    <w:p>
      <w:pPr>
        <w:spacing w:before="0" w:after="320" w:line="312" w:lineRule="auto"/>
        <w:jc w:val="center"/>
      </w:pPr>
      <w:r>
        <w:rPr>
          <w:rFonts w:ascii="Times New Roman" w:hAnsi="Times New Roman" w:eastAsia="맑은 고딕" w:cs="Times New Roman"/>
          <w:b w:val="0"/>
          <w:i w:val="0"/>
          <w:sz w:val="24"/>
        </w:rPr>
        <w:t>성남시 분당구 실거래가 데이터를 중심으로</w:t>
      </w:r>
    </w:p>
    <w:p>
      <w:pPr>
        <w:spacing w:before="0" w:after="0" w:line="312" w:lineRule="auto"/>
        <w:jc w:val="center"/>
      </w:pPr>
      <w:r>
        <w:rPr>
          <w:rFonts w:ascii="Times New Roman" w:hAnsi="Times New Roman" w:eastAsia="바탕" w:cs="Times New Roman"/>
          <w:b w:val="0"/>
          <w:i/>
          <w:sz w:val="24"/>
        </w:rPr>
        <w:t>Predicting Apartment Jeonse-to-Sale Price Ratios with Temporal Holdout</w:t>
      </w:r>
    </w:p>
    <w:p>
      <w:pPr>
        <w:spacing w:before="0" w:after="0" w:line="312" w:lineRule="auto"/>
        <w:jc w:val="center"/>
      </w:pPr>
      <w:r>
        <w:rPr>
          <w:rFonts w:ascii="Times New Roman" w:hAnsi="Times New Roman" w:eastAsia="바탕" w:cs="Times New Roman"/>
          <w:b w:val="0"/>
          <w:i/>
          <w:sz w:val="24"/>
        </w:rPr>
        <w:t>and Ratio-Based Target Transformation:</w:t>
      </w:r>
    </w:p>
    <w:p>
      <w:pPr>
        <w:spacing w:before="0" w:after="360" w:line="312" w:lineRule="auto"/>
        <w:jc w:val="center"/>
      </w:pPr>
      <w:r>
        <w:rPr>
          <w:rFonts w:ascii="Times New Roman" w:hAnsi="Times New Roman" w:eastAsia="바탕" w:cs="Times New Roman"/>
          <w:b w:val="0"/>
          <w:i/>
          <w:sz w:val="24"/>
        </w:rPr>
        <w:t>Evidence from Bundang, Seongnam Transaction Data</w:t>
      </w:r>
    </w:p>
    <w:p>
      <w:pPr>
        <w:spacing w:before="0" w:after="40" w:line="288" w:lineRule="auto"/>
        <w:jc w:val="center"/>
      </w:pPr>
      <w:r>
        <w:rPr>
          <w:rFonts w:ascii="Times New Roman" w:hAnsi="Times New Roman" w:eastAsia="바탕" w:cs="Times New Roman"/>
          <w:b w:val="0"/>
          <w:i w:val="0"/>
          <w:sz w:val="22"/>
        </w:rPr>
        <w:t>저자명1) · 저자명2)</w:t>
      </w:r>
    </w:p>
    <w:p>
      <w:pPr>
        <w:spacing w:before="0" w:after="360" w:line="288" w:lineRule="auto"/>
        <w:jc w:val="center"/>
      </w:pPr>
      <w:r>
        <w:rPr>
          <w:rFonts w:ascii="Times New Roman" w:hAnsi="Times New Roman" w:eastAsia="바탕" w:cs="Times New Roman"/>
          <w:b w:val="0"/>
          <w:i w:val="0"/>
          <w:color w:val="555555"/>
          <w:sz w:val="18"/>
        </w:rPr>
        <w:t>1) 소속  ·  2) 소속</w:t>
      </w:r>
    </w:p>
    <w:p>
      <w:pPr>
        <w:spacing w:before="120" w:after="200" w:line="288" w:lineRule="auto"/>
        <w:jc w:val="center"/>
      </w:pPr>
      <w:r>
        <w:rPr>
          <w:rFonts w:ascii="Times New Roman" w:hAnsi="Times New Roman" w:eastAsia="맑은 고딕" w:cs="Times New Roman"/>
          <w:b/>
          <w:i w:val="0"/>
          <w:sz w:val="26"/>
        </w:rPr>
        <w:t>국문 초록</w:t>
      </w:r>
    </w:p>
    <w:p>
      <w:pPr>
        <w:spacing w:before="0" w:after="200" w:line="408" w:lineRule="auto"/>
        <w:ind w:firstLine="340"/>
        <w:jc w:val="both"/>
      </w:pPr>
      <w:r>
        <w:rPr>
          <w:rFonts w:ascii="Times New Roman" w:hAnsi="Times New Roman" w:eastAsia="바탕" w:cs="Times New Roman"/>
          <w:b w:val="0"/>
          <w:i w:val="0"/>
          <w:sz w:val="22"/>
        </w:rPr>
        <w:t>본 연구는 성남시 분당구 아파트 매매·전세 실거래가 자료를 결합하여 전세가율(전세가격/매매가격)을 예측하고, 예측된 비율을 매매가격과 곱하여 전세가격을 추정하는 머신러닝 모형을 제안한다. 동일 시점·동일 단지·동일 면적의 매매·전세 거래가 동시에 존재하지 않는 표본 부족 문제를 완화하기 위해 단지식별자(apt_id)와 면적대(area_group)를 기준으로 매매연도와 전세연도 차이가 ±1년 이내인 거래를 매칭하였으며, 그 결과 학습 표본은 약 2,000건에서 약 8,050건으로 확대되었다. 부동산 시장의 비정상성(non-stationarity)을 고려하여 2018년 이전의 장기 시계열을 그대로 포함하지 않고 2020~2025년 자료를 사용하였으며, 학습은 2023년 이전, 검증은 2024년, 평가는 2025년으로 분할하는 시계열 홀드아웃(temporal holdout)을 적용하였다. 예측 타깃은 전세가격 절대값이 아니라 전세가율로 설정하여 가격 스케일 차이를 완화하였고(ratio-based target transformation), 동일 단지·면적대의 직전 전세가율(래그 피처), 직전 최대 3건 평균 전세가율(롤링 피처), 매칭 시차(match_gap_year), 동·연도 내 평당가 백분위 등 시계열·서브마켓 정보를 투입하였다. 전체 기간 평균 전세가율과 같이 미래 정보가 유입될 수 있는 피처는 제외하여 데이터 누수를 방지하였다. 모형은 XGBoost 회귀를 사용하였으며, 1차 학습 후 피처 중요도 상위 50개로 재학습하고, 연도별 표본 가중치와 조기 종료, 20회 랜덤 하이퍼파라미터 탐색을 적용하였다. 평가에는 MAE, RMSE, MAPE뿐 아니라 중앙값 MAPE, p75·p90·p95 오차 및 Worst prediction 분석을 병행하였다. 이상치 제거 이전의 대표 실험에서 검정 MAPE는 약 11.8%, 중앙값 MAPE는 약 9.8%였으며, 오차의 절반은 약 10% 이하, 90%는 약 23% 이하였다. 다만 전세가율이 0.22 수준으로 비정상적으로 낮은 거래에서 최대 오차가 200%를 넘는 사례가 관측되었으며, 이는 지인·특수 거래 등 비시장 거래가 평균 지표를 왜곡할 수 있음을 시사한다. 이에 전세가율 고정 구간(0.25~0.90) 또는 상·하위 백분위 제거 후 재학습하는 절차를 도입하였고, 하이퍼파라미터 탐색 결과 검정 MAPE는 약 8.8% 수준까지 개선되었다. 본 연구는 매매–전세 시차 매칭, 비율 타깃, 시계열 검증, 이상치 처리, 오차 분포 분석을 결합한 적용형 머신러닝 절차를 제시한다는 점에서 의의가 있다. 다만 분석 범위가 분당에 한정되어 타 지역 일반화는 추가 검증이 필요하며, 단지명 원핫 피처에 대한 의존과 이상치 정의의 주관성은 한계로 남는다.</w:t>
      </w:r>
    </w:p>
    <w:p>
      <w:pPr>
        <w:spacing w:before="0" w:after="440" w:line="360" w:lineRule="auto"/>
        <w:jc w:val="both"/>
      </w:pPr>
      <w:r>
        <w:rPr>
          <w:rFonts w:ascii="Times New Roman" w:hAnsi="Times New Roman" w:eastAsia="맑은 고딕" w:cs="Times New Roman"/>
          <w:b/>
          <w:i w:val="0"/>
          <w:sz w:val="22"/>
        </w:rPr>
        <w:t xml:space="preserve">주제어: </w:t>
      </w:r>
      <w:r>
        <w:rPr>
          <w:rFonts w:ascii="Times New Roman" w:hAnsi="Times New Roman" w:eastAsia="바탕" w:cs="Times New Roman"/>
          <w:b w:val="0"/>
          <w:i w:val="0"/>
          <w:sz w:val="22"/>
        </w:rPr>
        <w:t>아파트 전세가율, 실거래가, 매매–전세 매칭, 비율 타깃 변환, XGBoost, 시계열 홀드아웃, 래그 피처, 이상치 제거, MAPE</w:t>
      </w:r>
    </w:p>
    <w:p>
      <w:pPr>
        <w:spacing w:before="160" w:after="200" w:line="288" w:lineRule="auto"/>
        <w:jc w:val="center"/>
      </w:pPr>
      <w:r>
        <w:rPr>
          <w:rFonts w:ascii="Times New Roman" w:hAnsi="Times New Roman" w:eastAsia="바탕" w:cs="Times New Roman"/>
          <w:b/>
          <w:i w:val="0"/>
          <w:sz w:val="26"/>
        </w:rPr>
        <w:t>Abstract</w:t>
      </w:r>
    </w:p>
    <w:p>
      <w:pPr>
        <w:spacing w:before="0" w:after="200" w:line="408" w:lineRule="auto"/>
        <w:ind w:firstLine="340"/>
        <w:jc w:val="both"/>
      </w:pPr>
      <w:r>
        <w:rPr>
          <w:rFonts w:ascii="Times New Roman" w:hAnsi="Times New Roman" w:eastAsia="바탕" w:cs="Times New Roman"/>
          <w:b w:val="0"/>
          <w:i w:val="0"/>
          <w:sz w:val="22"/>
        </w:rPr>
        <w:t>This study proposes a machine-learning pipeline that predicts the apartment jeonse-to-sale price ratio (jeonse price divided by sale price) and recovers the jeonse price by multiplying the predicted ratio by the observed sale price. Using official transaction records from Bundang, Seongnam, we match sales and jeonse contracts on apartment identifier and rounded floor-area group, allowing a sale–jeonse year gap of at most one year. This temporal-distance matching expands the sample from about 2,000 to about 8,050 observations. Because housing markets are non-stationary, we restrict the analysis to 2020–2025 and evaluate models with a temporal holdout: training on years through 2023, validation on 2024, and testing on 2025. Instead of predicting the absolute jeonse price, we adopt a ratio-based target transformation and add lag and rolling jeonse-ratio features, a matching-year-gap variable, and within-dong unit-price percentiles, while excluding full-sample neighborhood averages that would induce data leakage. An XGBoost regressor is trained in two stages—full features, then the top 50 features by importance—with year-specific sample weights, early stopping, and a 20-trial random hyperparameter search. Performance is reported not only by MAE, RMSE, and MAPE but also by median MAPE, tail percentiles (p75, p90, p95), and worst-case inspection. In a representative specification before additional outlier filtering, test MAPE was about 11.8% and median MAPE about 9.8%; half of the errors were below about 10% and 90% were below about 23%. Extremely low ratios (around 0.22), however, produced errors exceeding 200%, consistent with non-market or related-party transactions. Filtering such cases by fixed ratio bounds or upper/lower percentiles, followed by retuning, reduced test MAPE to about 8.8%. The contribution is an applied procedure that jointly addresses sale–jeonse matching, ratio targets, temporal validation, outlier treatment, and distributional evaluation. Generalization beyond Bundang and dependence on apartment-name indicators remain limitations.</w:t>
      </w:r>
    </w:p>
    <w:p>
      <w:pPr>
        <w:spacing w:before="0" w:after="360" w:line="360" w:lineRule="auto"/>
        <w:jc w:val="both"/>
      </w:pPr>
      <w:r>
        <w:rPr>
          <w:rFonts w:ascii="Times New Roman" w:hAnsi="Times New Roman" w:eastAsia="바탕" w:cs="Times New Roman"/>
          <w:b/>
          <w:i w:val="0"/>
          <w:sz w:val="22"/>
        </w:rPr>
        <w:t xml:space="preserve">Keywords: </w:t>
      </w:r>
      <w:r>
        <w:rPr>
          <w:rFonts w:ascii="Times New Roman" w:hAnsi="Times New Roman" w:eastAsia="바탕" w:cs="Times New Roman"/>
          <w:b w:val="0"/>
          <w:i w:val="0"/>
          <w:sz w:val="22"/>
        </w:rPr>
        <w:t>jeonse-to-sale ratio, apartment transactions, sale–jeonse matching, ratio-based target transformation, XGBoost, temporal holdout, lag features, outlier filtering, MAPE</w:t>
      </w:r>
    </w:p>
    <w:p>
      <w:pPr>
        <w:spacing w:before="160" w:after="160" w:line="384" w:lineRule="auto"/>
        <w:jc w:val="left"/>
      </w:pPr>
      <w:r>
        <w:rPr>
          <w:rFonts w:ascii="Times New Roman" w:hAnsi="Times New Roman" w:eastAsia="맑은 고딕" w:cs="Times New Roman"/>
          <w:b/>
          <w:i w:val="0"/>
          <w:sz w:val="24"/>
        </w:rPr>
        <w:t>투고 시 확인 사항</w:t>
      </w:r>
    </w:p>
    <w:p>
      <w:pPr>
        <w:spacing w:before="0" w:after="80" w:line="336" w:lineRule="auto"/>
        <w:jc w:val="both"/>
      </w:pPr>
      <w:r>
        <w:rPr>
          <w:rFonts w:ascii="Times New Roman" w:hAnsi="Times New Roman" w:eastAsia="바탕" w:cs="Times New Roman"/>
          <w:b w:val="0"/>
          <w:i w:val="0"/>
          <w:color w:val="333333"/>
          <w:sz w:val="20"/>
        </w:rPr>
        <w:t>1. 저자명, 소속, 교신저자 이메일은 투고 요강에 맞게 기입한다.</w:t>
      </w:r>
    </w:p>
    <w:p>
      <w:pPr>
        <w:spacing w:before="0" w:after="80" w:line="336" w:lineRule="auto"/>
        <w:jc w:val="both"/>
      </w:pPr>
      <w:r>
        <w:rPr>
          <w:rFonts w:ascii="Times New Roman" w:hAnsi="Times New Roman" w:eastAsia="바탕" w:cs="Times New Roman"/>
          <w:b w:val="0"/>
          <w:i w:val="0"/>
          <w:color w:val="333333"/>
          <w:sz w:val="20"/>
        </w:rPr>
        <w:t>2. 학술지마다 국문 초록 분량(보통 400~800자 또는 200단어 내외)과 영문 초록 분량이 다르므로, 초과 시 결과 수치 문장부터 축약한다.</w:t>
      </w:r>
    </w:p>
    <w:p>
      <w:pPr>
        <w:spacing w:before="0" w:after="80" w:line="336" w:lineRule="auto"/>
        <w:jc w:val="both"/>
      </w:pPr>
      <w:r>
        <w:rPr>
          <w:rFonts w:ascii="Times New Roman" w:hAnsi="Times New Roman" w:eastAsia="바탕" w:cs="Times New Roman"/>
          <w:b w:val="0"/>
          <w:i w:val="0"/>
          <w:color w:val="333333"/>
          <w:sz w:val="20"/>
        </w:rPr>
        <w:t>3. 검정 MAPE 11.8%(이상치 필터 이전)와 8.8%(하이퍼파라미터 탐색 후)는 실험 설정이 다를 수 있으므로, 최종 채택 파이프라인으로 재측정한 수치로 교체하는 것이 안전하다.</w:t>
      </w:r>
    </w:p>
    <w:p>
      <w:pPr>
        <w:spacing w:before="0" w:after="80" w:line="336" w:lineRule="auto"/>
        <w:jc w:val="both"/>
      </w:pPr>
      <w:r>
        <w:rPr>
          <w:rFonts w:ascii="Times New Roman" w:hAnsi="Times New Roman" w:eastAsia="바탕" w:cs="Times New Roman"/>
          <w:b w:val="0"/>
          <w:i w:val="0"/>
          <w:color w:val="333333"/>
          <w:sz w:val="20"/>
        </w:rPr>
        <w:t>4. 이상치 제거 방식(고정 구간 0.25~0.90 또는 상·하위 백분위)은 최종 채택안을 한 가지로 명시한다.</w:t>
      </w:r>
    </w:p>
    <w:p>
      <w:pPr>
        <w:spacing w:before="0" w:after="80" w:line="336" w:lineRule="auto"/>
        <w:jc w:val="both"/>
      </w:pPr>
      <w:r>
        <w:rPr>
          <w:rFonts w:ascii="Times New Roman" w:hAnsi="Times New Roman" w:eastAsia="바탕" w:cs="Times New Roman"/>
          <w:b w:val="0"/>
          <w:i w:val="0"/>
          <w:color w:val="333333"/>
          <w:sz w:val="20"/>
        </w:rPr>
        <w:t>5. 참고문헌은 본문에 인용할 때 김태영 외(2023), 공석현·오하영(2023), 배성완·유정석(2018), 김학현 외(2023) 등을 활용할 수 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