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AI时代的软件工程经济学</w:t>
      </w:r>
    </w:p>
    <w:p>
      <w:pPr>
        <w:jc w:val="center"/>
      </w:pPr>
      <w:r>
        <w:rPr>
          <w:b w:val="0"/>
        </w:rPr>
      </w:r>
      <w:r>
        <w:rPr>
          <w:b/>
        </w:rPr>
        <w:t>成本再配置的选择性证据评述与测量框架</w:t>
      </w:r>
      <w:r>
        <w:rPr>
          <w:b w:val="0"/>
        </w:rPr>
      </w:r>
    </w:p>
    <w:p>
      <w:pPr>
        <w:jc w:val="center"/>
      </w:pPr>
      <w:r>
        <w:rPr>
          <w:b w:val="0"/>
        </w:rPr>
      </w:r>
      <w:r>
        <w:rPr>
          <w:b/>
        </w:rPr>
        <w:t>Software Engineering Economics in the Age of AI: A Selective Evidence Review and Measurement Framework for Cost Reallocation</w:t>
      </w:r>
      <w:r>
        <w:rPr>
          <w:b w:val="0"/>
        </w:rPr>
      </w:r>
    </w:p>
    <w:p>
      <w:pPr>
        <w:jc w:val="center"/>
      </w:pPr>
      <w:r>
        <w:rPr>
          <w:b w:val="0"/>
        </w:rPr>
        <w:t>乔瑞</w:t>
      </w:r>
    </w:p>
    <w:p>
      <w:r>
        <w:rPr>
          <w:b w:val="0"/>
        </w:rPr>
        <w:t>作者简介：乔瑞，经济学专业本科毕业，AI转型顾问，《AI进化十步法——从零代码小白到超级个体》作者。研究关注人工智能应用方法论、企业AI转型与知识工作重构。</w:t>
      </w:r>
    </w:p>
    <w:p>
      <w:r>
        <w:rPr>
          <w:b w:val="0"/>
        </w:rPr>
      </w:r>
      <w:r>
        <w:rPr>
          <w:b/>
        </w:rPr>
        <w:t>摘要</w:t>
      </w:r>
      <w:r>
        <w:rPr>
          <w:b w:val="0"/>
        </w:rPr>
        <w:t>：生成式AI编程助手的任务效率收益能否转化为软件全生命周期成本下降，仍需跨层测量。本文以成本再配置为待检验命题，对公开文献进行选择性证据评述；英文来源沿引用链选取，并补充中文数据库检索，不构成穷尽性系统综述。本文重点核验17项核心来源，区分个人任务、工程交付、用户采用与经济价值，并将开发者采用AI工具单列；提出成本数量、结构、承担主体和时间分布四属性及九项TEC操作化账户。核验集合中，部分账户涉及的环节已有有限时间或账单观测，另一些仅有活动、质量或采用结果线索，均不足以构成完整账户的可比成本测量。任务时间与活动量结果存在条件差异，现有集合尚不能识别完整、同口径的全生命周期净成本变化。本文区分实际资源投入与预期风险损失，规定去重、分摊、缺失值和比较边界，并以公开项目演示部分核算。研究贡献在于整合测量传统、登记账户可测性、约束跨层推论和提出可检验设计，而非确认成本迁移已经发生。</w:t>
      </w:r>
    </w:p>
    <w:p>
      <w:r>
        <w:rPr>
          <w:b w:val="0"/>
        </w:rPr>
      </w:r>
      <w:r>
        <w:rPr>
          <w:b/>
        </w:rPr>
        <w:t>关键词</w:t>
      </w:r>
      <w:r>
        <w:rPr>
          <w:b w:val="0"/>
        </w:rPr>
        <w:t>：软件工程经济学；生成式AI编程助手；选择性证据评述；L1—L4测量层次；TEC（软件全生命周期总成本概念账户）</w:t>
      </w:r>
    </w:p>
    <w:p>
      <w:r>
        <w:rPr>
          <w:b w:val="0"/>
        </w:rPr>
      </w:r>
      <w:r>
        <w:rPr>
          <w:b/>
        </w:rPr>
        <w:t>Abstract:</w:t>
      </w:r>
      <w:r>
        <w:rPr>
          <w:b w:val="0"/>
        </w:rPr>
        <w:t xml:space="preserve"> Whether efficiency gains from generative AI coding assistants reduce software lifecycle cost requires measurement across layers. Treating cost reallocation as a proposition to be tested, this paper provides a selective evidence review. English sources are selected through citation tracing, supplemented by a Chinese database search; the review is not an exhaustive systematic review. Seventeen core sources are checked against their full texts. The framework distinguishes individual tasks, engineering delivery, user adoption and economic value, while treating developers' adoption of AI tools separately. It proposes four cost attributes—quantity, structure, bearer and timing—and nine operational accounts for total lifecycle cost (TEC). The verified set provides limited observations of time or invoices for activities related to some accounts; other accounts have only activity, quality or adoption-outcome indicators. These observations do not constitute complete, comparable account-level cost measurements. Task-time and activity findings vary by condition, and the set cannot identify a complete, like-for-like change in net lifecycle cost. The paper separates realized resource inputs from expected risk losses, specifies rules for de-duplication, allocation, missing values and comparison boundaries, and illustrates partial accounting with a public project. Its contribution is to integrate measurement traditions, register account-level measurability, constrain cross-layer inference and propose testable designs, rather than confirm that cost shifting has occurred.</w:t>
      </w:r>
    </w:p>
    <w:p>
      <w:r>
        <w:rPr>
          <w:b w:val="0"/>
        </w:rPr>
      </w:r>
      <w:r>
        <w:rPr>
          <w:b/>
        </w:rPr>
        <w:t>Keywords:</w:t>
      </w:r>
      <w:r>
        <w:rPr>
          <w:b w:val="0"/>
        </w:rPr>
        <w:t xml:space="preserve"> software engineering economics; generative AI coding assistants; selective evidence review; L1–L4 measurement layers; total lifecycle cost (TEC)</w:t>
      </w:r>
    </w:p>
    <w:p>
      <w:pPr>
        <w:pStyle w:val="Heading1"/>
      </w:pPr>
      <w:r>
        <w:t>1 引言</w:t>
      </w:r>
    </w:p>
    <w:p>
      <w:pPr>
        <w:pStyle w:val="Heading2"/>
      </w:pPr>
      <w:r>
        <w:t>1.1 现象与问题</w:t>
      </w:r>
    </w:p>
    <w:p>
      <w:r>
        <w:rPr>
          <w:b w:val="0"/>
        </w:rPr>
        <w:t>生成式AI编程工具进入软件开发流程后，局部效率结果与组织经济结果并不一致。Peng等（2023）在单任务实验中报告完成时间缩短55.8%；Cui等（2026）报告完成任务计数增加26.08%；METR的2025年实验则在资深开源维护者样本中发现任务耗时增加19%。这些结果的样本、任务、工具和指标不同，不能直接合并为软件生产率的统一增幅。</w:t>
      </w:r>
    </w:p>
    <w:p>
      <w:r>
        <w:rPr>
          <w:b w:val="0"/>
        </w:rPr>
        <w:t>核心问题是：AI编程助手采用后，软件全生命周期成本的数量、构成、承担者与发生时间是否改变？本文将“成本再配置”限定为待检验命题，不预设成本迁移已经发生。</w:t>
      </w:r>
    </w:p>
    <w:p>
      <w:pPr>
        <w:pStyle w:val="Heading2"/>
      </w:pPr>
      <w:r>
        <w:t>1.2 为什么代码加速不能直接推出软件总成本下降</w:t>
      </w:r>
    </w:p>
    <w:p>
      <w:r>
        <w:rPr>
          <w:b w:val="0"/>
        </w:rPr>
        <w:t>任务效率与生命周期净成本分属不同测量对象。任务耗时减少可说明局部人力投入变化，但不能直接推导组织现金支出下降；已有员工腾出的时间可能被用于新增工作，也可能未改变工资支出。</w:t>
      </w:r>
    </w:p>
    <w:p>
      <w:r>
        <w:rPr>
          <w:b w:val="0"/>
        </w:rPr>
        <w:t>代码行、提交、PR及Token等计数只覆盖部分行为或用量，必须结合投入、功能质量和使用结果解释。其他工程环节可能改善、增加投入或不变，不应预设收益必定被验证和治理吸收。</w:t>
      </w:r>
    </w:p>
    <w:p>
      <w:r>
        <w:rPr>
          <w:b w:val="0"/>
        </w:rPr>
        <w:t>生命周期比较还需维护窗口、范围和质量边界。Demirer等观察到提交层相对增幅高于发布层，为跨层差异提供条件性例子；该差异不是总成本恒等式，也不是全领域价值收益的固定衰减率。</w:t>
      </w:r>
    </w:p>
    <w:p>
      <w:pPr>
        <w:pStyle w:val="Heading2"/>
      </w:pPr>
      <w:r>
        <w:t>1.3 研究问题</w:t>
      </w:r>
    </w:p>
    <w:p>
      <w:r>
        <w:rPr>
          <w:b w:val="0"/>
        </w:rPr>
        <w:t>本研究围绕六个操作化研究问题展开：</w:t>
      </w:r>
    </w:p>
    <w:p>
      <w:r>
        <w:rPr>
          <w:b w:val="0"/>
        </w:rPr>
        <w:t>- RQ1：传统软件工程经济学主要研究了哪些成本、价值、风险与投资问题？（“传统”指2023年之前；成本按全生命周期环节分解，价值区分使用/交换/业务价值。）</w:t>
      </w:r>
    </w:p>
    <w:p>
      <w:r>
        <w:rPr>
          <w:b w:val="0"/>
        </w:rPr>
        <w:t>- RQ2：生成式AI对软件工程效率、质量和交付产生了哪些可验证影响？（“可验证”指有明确研究设计、可复核指标与对照基线的实证；效率、质量、交付分开记录。）</w:t>
      </w:r>
    </w:p>
    <w:p>
      <w:r>
        <w:rPr>
          <w:b w:val="0"/>
        </w:rPr>
        <w:t>- RQ3：现有研究使用什么指标测量软件生产率和经济价值？（直接指标与代理指标分开登记；记录作者是否声明代理局限。）</w:t>
      </w:r>
    </w:p>
    <w:p>
      <w:r>
        <w:rPr>
          <w:b w:val="0"/>
        </w:rPr>
        <w:t>- RQ4：现有研究是否覆盖需求、集成、验证、采用、维护和治理成本？（“覆盖”指有实证测量或系统性分析，提及不算。）</w:t>
      </w:r>
    </w:p>
    <w:p>
      <w:r>
        <w:rPr>
          <w:b w:val="0"/>
        </w:rPr>
        <w:t>- RQ5：不同研究结论不一致的原因是什么？（先验编码：设计、指标/构念、样本与任务、时间窗口与工具版本、分析单位、利益冲突、统计口径七类差异；不预设哪条成立。）</w:t>
      </w:r>
    </w:p>
    <w:p>
      <w:r>
        <w:rPr>
          <w:b w:val="0"/>
        </w:rPr>
        <w:t>- RQ6：从任务级效率到软件交付、用户采用和经济价值之间存在哪些证据断层？（以L1→L2→L3→L4传导链登记每条证据的落点；矩阵空白处为断层候选，综合阶段再判定。）</w:t>
      </w:r>
    </w:p>
    <w:p>
      <w:r>
        <w:rPr>
          <w:b w:val="0"/>
        </w:rPr>
        <w:t>各问题的回答与证据位置见8.1节对照表。</w:t>
      </w:r>
    </w:p>
    <w:p>
      <w:pPr>
        <w:pStyle w:val="Heading2"/>
      </w:pPr>
      <w:r>
        <w:t>1.4 研究范围</w:t>
      </w:r>
    </w:p>
    <w:p>
      <w:r>
        <w:rPr>
          <w:b w:val="0"/>
        </w:rPr>
        <w:t>本文属选择性证据评述：英文来源沿引用链选取，不是统一检索式下的穷尽性系统综述（见3.2）。理论基础采用关键文献法；AI证据范围为2023—2026年发表的研究及公开报告，检索截止日为2026-10-05。发表年份与实验发生年份分开登记，例如Peng等（2023）的实验发生在2022年。</w:t>
      </w:r>
    </w:p>
    <w:p>
      <w:r>
        <w:rPr>
          <w:b w:val="0"/>
        </w:rPr>
        <w:t>核心评述集合包含17项经全文重点核验的核心来源，另以METR后续实验更新与GitHub—Accenture报告作为两项伴随来源，不重复计入独立效应证据。全文核验包括研究设计、指标、主要结果与限制的核对，不等于独立复现。中文补充检索获得18条题录，筛出1条直接相关候选；由于未取得其全文，该候选不参与全文级实证评述。</w:t>
      </w:r>
    </w:p>
    <w:p>
      <w:r>
        <w:rPr>
          <w:b w:val="0"/>
        </w:rPr>
        <w:t>本文不裁决全生命周期净成本方向，不预测长期结构，也不将有限英文证据外推为中国软件产业总体结论。</w:t>
      </w:r>
    </w:p>
    <w:p>
      <w:pPr>
        <w:pStyle w:val="Heading2"/>
      </w:pPr>
      <w:r>
        <w:t>1.5 研究贡献</w:t>
      </w:r>
    </w:p>
    <w:p>
      <w:r>
        <w:rPr>
          <w:b w:val="0"/>
        </w:rPr>
        <w:t>本文定位为选择性证据评述与概念测量框架论文，贡献限定为三项。第一，对TEC九项账户做可测性登记：对每项账户标明现有公开证据能直接观测什么、只能用代理指标观测什么、本文核验集合内未见观测（见表2）。第二，将跨层推论规则（4.5节）写成可逐条检查的编码纪律，要求每次从任务层向交付层、采用层或经济层外推时披露中间假设。第三，将17项核心来源按分析单位和测量层次登记，标明各项结论可在何种范围内引用、哪些不能外推。</w:t>
      </w:r>
    </w:p>
    <w:p>
      <w:r>
        <w:rPr>
          <w:b w:val="0"/>
        </w:rPr>
        <w:t>以上贡献属于对既有测量传统的整合和操作化，不构成对成本再配置命题的检验；框架有效性仍需独立编码与项目试测。</w:t>
      </w:r>
    </w:p>
    <w:p>
      <w:pPr>
        <w:pStyle w:val="Heading2"/>
      </w:pPr>
      <w:r>
        <w:t>1.6 推论边界</w:t>
      </w:r>
    </w:p>
    <w:p>
      <w:r>
        <w:rPr>
          <w:b w:val="0"/>
        </w:rPr>
        <w:t>当前证据不允许主张AI已经使软件全生命周期净成本普遍下降或上升，不允许由活动量推出成本承担者或瓶颈已转移，也不允许从短期非显著结果推出精确零效应。不得将安装／评分代理等同真实留存和业务价值，不得从单案例外推总体结论。</w:t>
      </w:r>
    </w:p>
    <w:p>
      <w:r>
        <w:rPr>
          <w:b w:val="0"/>
        </w:rPr>
        <w:t>允许讨论各单项研究限定范围内的任务、质量、成本分项及用户使用线索。竞争结果包括净成本下降、结构变化但总量不变、质量风险抵消收益、多环节改善但无系统性迁移、范围扩张但单位成本下降，以及框架需要修改或放弃。</w:t>
      </w:r>
    </w:p>
    <w:p>
      <w:pPr>
        <w:pStyle w:val="Heading1"/>
      </w:pPr>
      <w:r>
        <w:t>2 文献综述与研究缺口</w:t>
      </w:r>
    </w:p>
    <w:p>
      <w:pPr>
        <w:pStyle w:val="Heading2"/>
      </w:pPr>
      <w:r>
        <w:t>2.1 软件工程经济学传统</w:t>
      </w:r>
    </w:p>
    <w:p>
      <w:r>
        <w:rPr>
          <w:b w:val="0"/>
        </w:rPr>
        <w:t>Boehm（1981）将软件成本估计与工程决策相联系。本文借鉴其生命周期分析立场，强调阶段成本必须结合项目范围、技术条件和质量要求测量，不能将传统项目的阶段比例直接用于AI辅助开发项目。</w:t>
      </w:r>
    </w:p>
    <w:p>
      <w:r>
        <w:rPr>
          <w:b w:val="0"/>
        </w:rPr>
        <w:t>关于后期修复代价，Boehm与Basili（2001）属于历史缺陷经济学讨论，结果随项目条件变化；本文不使用“1∶10∶100”作为普遍规律。</w:t>
      </w:r>
    </w:p>
    <w:p>
      <w:pPr>
        <w:pStyle w:val="Heading2"/>
      </w:pPr>
      <w:r>
        <w:t>2.2 本质复杂度与偶然复杂度</w:t>
      </w:r>
    </w:p>
    <w:p>
      <w:r>
        <w:rPr>
          <w:b w:val="0"/>
        </w:rPr>
        <w:t>Brooks（1987）区分软件的本质复杂度与偶然复杂度，指出单项技术改进未必带来整体数量级提升。该区分有助于解释编码效率与整个开发过程绩效之间的差异。</w:t>
      </w:r>
    </w:p>
    <w:p>
      <w:r>
        <w:rPr>
          <w:b w:val="0"/>
        </w:rPr>
        <w:t>AI可能改善表达，也可能辅助需求与设计，不能把“编码等于偶然复杂度”当作Brooks原命题。该传统提供的是全流程评估提醒，不是AI必然无效的证明。</w:t>
      </w:r>
    </w:p>
    <w:p>
      <w:pPr>
        <w:pStyle w:val="Heading2"/>
      </w:pPr>
      <w:r>
        <w:t>2.3 生产率悖论与J曲线</w:t>
      </w:r>
    </w:p>
    <w:p>
      <w:r>
        <w:rPr>
          <w:b w:val="0"/>
        </w:rPr>
        <w:t>Brynjolfsson、Rock与Syverson（2021）提出生产率J曲线机制。本文对该理论的分析依据其2020年1月NBER修订稿，期刊发表信息列于参考文献。</w:t>
      </w:r>
    </w:p>
    <w:p>
      <w:r>
        <w:rPr>
          <w:b w:val="0"/>
        </w:rPr>
        <w:t>该理论强调通用技术与无形资本互补：企业需要投入组织调整、技能和新流程，部分投入及其服务流未被常规生产率统计充分计量，因而可出现测得生产率收益的滞后及测量偏差。它为讨论配套投入提供机制解释，但不保证每项AI应用都会先降后升，也不提供本研究适用的固定十年周期。培训等投入即使不作为资产资本化，也可能已经列入企业费用；“未资本化”不等于“账上完全不可见”。</w:t>
      </w:r>
    </w:p>
    <w:p>
      <w:pPr>
        <w:pStyle w:val="Heading2"/>
      </w:pPr>
      <w:r>
        <w:t>2.4 软件生产率与交付测量</w:t>
      </w:r>
    </w:p>
    <w:p>
      <w:r>
        <w:rPr>
          <w:b w:val="0"/>
        </w:rPr>
        <w:t>Forsgren等（2021）提出的SPACE框架主张开发者生产率不可被单一指标刻画，至少取满意度与福祉（S）、绩效（P）、活动（A）、沟通与协作（C）、效率与心流（E）三个以上维度，并已明示活动计数只是代理、不可单独使用。本文据此要求将活动代理与投入、质量和使用结果分别报告。</w:t>
      </w:r>
    </w:p>
    <w:p>
      <w:r>
        <w:rPr>
          <w:b w:val="0"/>
        </w:rPr>
        <w:t>DORA经典框架（Forsgren等，2018）以部署频率、变更前置时间、变更失败率和服务恢复时间测量软件交付绩效，强调吞吐与稳定性的兼容。它主要描述交付表现，不能直接替代成本、流程瓶颈或最终用户采用的测量。本文个人任务层次与SPACE的部分维度相交，工程交付层次与DORA指标相交；所提出框架的目的在于连接这些测量传统，而非重新命名既有概念。</w:t>
      </w:r>
    </w:p>
    <w:p>
      <w:pPr>
        <w:pStyle w:val="Heading2"/>
      </w:pPr>
      <w:r>
        <w:t>2.5 价值导向软件工程（VBSE）</w:t>
      </w:r>
    </w:p>
    <w:p>
      <w:r>
        <w:rPr>
          <w:b w:val="0"/>
        </w:rPr>
        <w:t>价值导向软件工程（VBSE）将软件决策与利益相关者的价值实现相联系。Boehm（2003）及Biffl等（2006）提供了相关理论基础。本文借用结果链思路，区分交付成果、最终用户采用和经济价值。</w:t>
      </w:r>
    </w:p>
    <w:p>
      <w:r>
        <w:rPr>
          <w:b w:val="0"/>
        </w:rPr>
        <w:t>本文L4只作测量层次标记，不取代VBSE价值建模；用户采用与经济收益之间仍需组织条件和可测结果。</w:t>
      </w:r>
    </w:p>
    <w:p>
      <w:pPr>
        <w:pStyle w:val="Heading2"/>
      </w:pPr>
      <w:r>
        <w:t>2.6 技术采用、组织互补与无形资本</w:t>
      </w:r>
    </w:p>
    <w:p>
      <w:r>
        <w:rPr>
          <w:b w:val="0"/>
        </w:rPr>
        <w:t>TAM（Davis，1989）与UTAUT（Venkatesh等，2003）解释技术使用者的感知、意愿和使用行为。应用对象必须明确：开发者使用编程助手时属于A_tool；最终用户使用交付的软件时可以服务于L3研究。两者需要不同样本和指标，但不能把这两套理论限定为只能解释A_tool。</w:t>
      </w:r>
    </w:p>
    <w:p>
      <w:r>
        <w:rPr>
          <w:b w:val="0"/>
        </w:rPr>
        <w:t>组织互补与无形资本研究有助于识别培训、流程调整和协作投入。本文仅将其作为机制候选，不把“需要互补投入”转述为“治理成本已经系统性上升”。</w:t>
      </w:r>
    </w:p>
    <w:p>
      <w:r>
        <w:rPr>
          <w:b w:val="0"/>
        </w:rPr>
        <w:t>小结（对应RQ1）：本文借鉴的传统分别提供成本边界（Boehm）、复杂度区分（Brooks）、无形资本机制（J曲线）、多维测量（SPACE、DORA）、价值实现（VBSE）和技术采用（TAM、UTAUT）。这些传统可为AI辅助开发研究提供基础，但不直接给出本文所采用的九项账户归集与跨层比较规则。</w:t>
      </w:r>
    </w:p>
    <w:p>
      <w:pPr>
        <w:pStyle w:val="Heading2"/>
      </w:pPr>
      <w:r>
        <w:t>2.7 AI辅助软件工程：实证现状</w:t>
      </w:r>
    </w:p>
    <w:p>
      <w:r>
        <w:rPr>
          <w:b w:val="0"/>
        </w:rPr>
        <w:t>任务层面的结果呈现条件差异。Peng等的单任务时间结果与Cui等的企业任务计数结果分别测量投入时间和活动产出；后者的IV结果针对受随机授权影响而使用工具的开发者，不能推广为所有开发者的平均提效，也没有完成全生命周期成本核算。Cui等论文已于2026-02-27在Management Science在线发表，发表状态经INFORMS官方页核验；本文的任务计数估计依据2025年2月工作论文全文。</w:t>
      </w:r>
    </w:p>
    <w:p>
      <w:r>
        <w:rPr>
          <w:b w:val="0"/>
        </w:rPr>
        <w:t>METR（Becker等，2025）的任务级随机实验以16名资深开源开发者为对象，报告允许使用当时AI工具后耗时增加；2026年2月更新讨论的是2025年8月开始的另一次实验，两次实验应分别解释，具体数字与限制见5.4。</w:t>
      </w:r>
    </w:p>
    <w:p>
      <w:r>
        <w:rPr>
          <w:b w:val="0"/>
        </w:rPr>
        <w:t>Stray等（2026）在NAV IT的两年案例中未发现提交活动的显著变化；Shen与Tamkin（2026）在52人的新库学习实验中观察到理解与调试表现受损，不能将其样本统一称为“初级工程师”。Paradis等的96名Google工程师实验报告任务时间约缩短21%，置信区间较宽。</w:t>
      </w:r>
    </w:p>
    <w:p>
      <w:r>
        <w:rPr>
          <w:b w:val="0"/>
        </w:rPr>
        <w:t>跨层证据方面，Demirer等（2026）的2026年9月全文稿报告提交层相对增幅高于发布层，但这是一项研究的条件性结果，不是普遍衰减定律。其应用市场分析提供了安装、下载或评分等L3代理证据。Wang等（2026）的Volvo生产案例还报告内部用户日常使用与反馈，构成L3案例线索；没有用户采用前后的因果效应估计。Neves等（2026）提供真实工具支出和自报工时，说明成本分项已可测量，但未提供完整生命周期对照。</w:t>
      </w:r>
    </w:p>
    <w:p>
      <w:r>
        <w:rPr>
          <w:b w:val="0"/>
        </w:rPr>
        <w:t>质量侧，Liu等（2026）的观察研究从6,299个GitHub仓库取得约30.26万条明确标记的AI作者／共同作者提交，覆盖五类编程助手；研究比较提交前后的静态分析结果，并追踪新增问题至仓库最新修订。作者识别出484,366项问题，其中89.3%为代码异味；可追踪问题中22.7%在最新修订仍然存在。问题数量与持续性提供质量和技术债线索，但研究没有可靠的纯人工提交对照，也未测量债务偿还的实际工时或费用，不能据此估计AI相对人工开发的维护成本差额。</w:t>
      </w:r>
    </w:p>
    <w:p>
      <w:r>
        <w:rPr>
          <w:b w:val="0"/>
        </w:rPr>
        <w:t>Perry等（2023）将参与者随机分配至可使用Codex助手或不使用助手的条件，最终有效样本47人（助手组33人、对照组14人），分析五项安全编程任务。助手组在其中四项任务中更常提交不安全解答，统计显著性因任务而异；使用助手的参与者还更容易认为自己的代码安全。该小样本实验针对当时的模型与安全任务，提供验证环节的风险线索，不代表当前工具的普遍安全效应，也不直接测量验证费用、交付后维护费用或事故损失。</w:t>
      </w:r>
    </w:p>
    <w:p>
      <w:r>
        <w:rPr>
          <w:b w:val="0"/>
        </w:rPr>
        <w:t>按本文账户边界，Perry的安全结果对应C_verify相关质量线索，Liu的问题持续性对应C_maint相关债务线索。质量指标不是成本账单，同一问题在验证、维护与风险讨论中可被引用，但相应实际投入不得重复归集。</w:t>
      </w:r>
    </w:p>
    <w:p>
      <w:pPr>
        <w:pStyle w:val="Heading2"/>
      </w:pPr>
      <w:r>
        <w:t>2.8 研究缺口</w:t>
      </w:r>
    </w:p>
    <w:p>
      <w:r>
        <w:rPr>
          <w:b w:val="0"/>
        </w:rPr>
        <w:t>前人已测量任务时间、提交和PR活动、质量指标、部分流程环节、实际工具费用及自报人力，并在技术采用和价值实现方面形成成熟理论。本文不把这些成果编码为“无人研究”。</w:t>
      </w:r>
    </w:p>
    <w:p>
      <w:r>
        <w:rPr>
          <w:b w:val="0"/>
        </w:rPr>
        <w:t>本文将推进位置限定在测量衔接：在所选来源内，将不同分析单位、生命周期阶段和指标映射到明确的成本账户，逐项标明可观测内容与不可外推结论，并提出跨层比较的检查规则。缺少同一项目的完整总账数据并不自动构成理论缺口；只有说明缺失数据阻碍了哪项比较、如何取得数据及怎样检验框架，才能形成可操作的研究问题。本文的可测性登记和数据需求清单是待检验的整合工具，不以证明全球不存在类似框架为前提。</w:t>
      </w:r>
    </w:p>
    <w:p>
      <w:r>
        <w:rPr>
          <w:b w:val="0"/>
        </w:rPr>
        <w:t>该缺口受本次检索覆盖限制，仍须扩展中文和专业数据库、独立筛选及项目试测；不能表述为全球首次或无人研究。</w:t>
      </w:r>
    </w:p>
    <w:p>
      <w:pPr>
        <w:pStyle w:val="Heading1"/>
      </w:pPr>
      <w:r>
        <w:t>3 研究方法</w:t>
      </w:r>
    </w:p>
    <w:p>
      <w:pPr>
        <w:pStyle w:val="Heading2"/>
      </w:pPr>
      <w:r>
        <w:t>3.1 数据来源</w:t>
      </w:r>
    </w:p>
    <w:p>
      <w:r>
        <w:rPr>
          <w:b w:val="0"/>
        </w:rPr>
        <w:t>英文来源主要通过arXiv、NBER、作者托管全文、机构官方报告和期刊官方页面获取，并记录获取日期、URL、原文页码和文件散列。中文检索使用国家哲学社会科学文献中心公开界面。本文未形成CNKI、万方及软件工程专业数据库的完整检索结果，因此检索覆盖具有明确局限。</w:t>
      </w:r>
    </w:p>
    <w:p>
      <w:pPr>
        <w:pStyle w:val="Heading2"/>
      </w:pPr>
      <w:r>
        <w:t>3.2 时间范围与检索式</w:t>
      </w:r>
    </w:p>
    <w:p>
      <w:r>
        <w:rPr>
          <w:b w:val="0"/>
        </w:rPr>
        <w:t>中文检索在题名／关键词字段先检索“软件工程”，再在结果中以相同字段检索“人工智能”，日期限定为2023年1月1日至2026年10月5日。共获得18条中文期刊记录，全部经过题录和摘要筛查。</w:t>
      </w:r>
    </w:p>
    <w:p>
      <w:r>
        <w:rPr>
          <w:b w:val="0"/>
        </w:rPr>
        <w:t>英文来源沿相关研究的引用链选择，优先纳入能够补充成本测量与跨层传导分析的文献。该选择并非统一检索式下的穷尽性检索，因此本文的结论限于所选来源，不代表该领域证据的全貌。后续系统综述可将“软件开发／软件工程／编程”与“生成式人工智能／大语言模型／AI编程助手／代码生成”组合，并分别扩展成本、生产率、采用、验证与组织等主题；这些扩展查询未纳入本文的已执行检索统计。</w:t>
      </w:r>
    </w:p>
    <w:p>
      <w:pPr>
        <w:pStyle w:val="Heading2"/>
      </w:pPr>
      <w:r>
        <w:t>3.3 纳入与排除标准</w:t>
      </w:r>
    </w:p>
    <w:p>
      <w:r>
        <w:rPr>
          <w:b w:val="0"/>
        </w:rPr>
        <w:t>核心评述纳入职业或接近职业的软件开发实证、软件开发成本案例，以及对测量框架必要的理论和方法来源。案例、观察研究、RCT及理论来源分别评价，不使用一个设计等级替代偏倚评估。训练任务研究可纳入能力形成议题，但注明不能代表成熟项目。</w:t>
      </w:r>
    </w:p>
    <w:p>
      <w:r>
        <w:rPr>
          <w:b w:val="0"/>
        </w:rPr>
        <w:t>中文查询18条中，15条因主要对象为教育／课程改革排除，1条因非实证通用讨论排除，1条因研究的是将大模型嵌入业务系统而非开发工具对工程投入的影响排除。剩余1条《劳动经济研究》论文进入全文获取队列。此处“排除”仅相对于本文核心实证问题，不是对论文质量的否定。</w:t>
      </w:r>
    </w:p>
    <w:p>
      <w:pPr>
        <w:pStyle w:val="Heading2"/>
      </w:pPr>
      <w:r>
        <w:t>3.4 去重规则</w:t>
      </w:r>
    </w:p>
    <w:p>
      <w:r>
        <w:rPr>
          <w:b w:val="0"/>
        </w:rPr>
        <w:t>去重包括题录、同一研究的发表形态和研究家族三个层次。Cui等的工作论文与期刊论文视为同一研究。GitHub—Accenture报告与Cui等的企业实验可能存在样本关联；由于公开信息不足以逐人核对样本和时间，本文采用保守聚类，将前者作为伴随来源而不另计独立效应。这一处理减少重复计权风险，但不意味着两者完全使用同一样本已得到证实。</w:t>
      </w:r>
    </w:p>
    <w:p>
      <w:r>
        <w:rPr>
          <w:b w:val="0"/>
        </w:rPr>
        <w:t>缺乏可识别题名或可靠出处的材料不进入正式证据集合。未取得全文的候选仅用于检索线索，不参与正文定量判断。</w:t>
      </w:r>
    </w:p>
    <w:p>
      <w:pPr>
        <w:pStyle w:val="Heading2"/>
      </w:pPr>
      <w:r>
        <w:t>3.5 筛选流程</w:t>
      </w:r>
    </w:p>
    <w:p>
      <w:r>
        <w:rPr>
          <w:b w:val="0"/>
        </w:rPr>
        <w:t>本文记录来源获取、题录筛查、全文核验与证据评述各阶段，但不宣称完成PRISMA 2020系统综述。核心集合包含17项经重点核验的来源，另有两项伴随网页。中文查询的18条记录中，1条进入全文获取队列，但未进入核心集合。</w:t>
      </w:r>
    </w:p>
    <w:p>
      <w:r>
        <w:rPr>
          <w:b w:val="0"/>
        </w:rPr>
        <w:t>不同来源渠道之间存在交集，不能将这些数字直接相加后称为“独立研究总数”。本文不报告合并效应，不以正负结果投票裁决命题。</w:t>
      </w:r>
    </w:p>
    <w:p>
      <w:pPr>
        <w:pStyle w:val="Heading2"/>
      </w:pPr>
      <w:r>
        <w:t>3.6 证据质量评价</w:t>
      </w:r>
    </w:p>
    <w:p>
      <w:r>
        <w:rPr>
          <w:b w:val="0"/>
        </w:rPr>
        <w:t>17项核心来源中，16项取得PDF全文，1项取得产业报告网页全文；另保存两项伴随网页。核验内容包括分析单位、研究设计、指标、主要结果、限制和供应商关联。关键数字须在原文中定位并说明口径。本文未重跑原始数据、独立重算标准误或审计案例账单。传统理论与采用理论的书目来源另行列示，不充作AI效应的实证样本。</w:t>
      </w:r>
    </w:p>
    <w:p>
      <w:pPr>
        <w:pStyle w:val="Heading2"/>
      </w:pPr>
      <w:r>
        <w:t>3.7 利益冲突处理</w:t>
      </w:r>
    </w:p>
    <w:p>
      <w:r>
        <w:rPr>
          <w:b w:val="0"/>
        </w:rPr>
        <w:t>供应商关联按作者雇佣关系、数据支持及出版方分别记录，未知不记为“无关联”。Peng、Cui、Paradis及Shen与Tamkin等研究含供应商关联；Faros和DORA属于产业来源。标记不等于排除，也不能仅凭方向推断偏倚。未完成全体来源资助审计，不报告未经重算的关联比例。</w:t>
      </w:r>
    </w:p>
    <w:p>
      <w:pPr>
        <w:pStyle w:val="Heading2"/>
      </w:pPr>
      <w:r>
        <w:t>3.8 编码过程</w:t>
      </w:r>
    </w:p>
    <w:p>
      <w:r>
        <w:rPr>
          <w:b w:val="0"/>
        </w:rPr>
        <w:t>编码区分直接指标、代理指标、作者解释与未测量项，记录研究发生时期、发表时期、工具版本、分析单位和因果边界。时间、费用、活动计数、技能及用户采用分别编码。同一工时或账单不得在不同成本账户中重复加总，未知项不填零。本文未进行双人独立编码及一致性检验。</w:t>
      </w:r>
    </w:p>
    <w:p>
      <w:pPr>
        <w:pStyle w:val="Heading2"/>
      </w:pPr>
      <w:r>
        <w:t>3.9 研究限制</w:t>
      </w:r>
    </w:p>
    <w:p>
      <w:r>
        <w:rPr>
          <w:b w:val="0"/>
        </w:rPr>
        <w:t>本文采用限定范围检索与全文重点核验，未覆盖全部数据库。中文查询词较窄，国家哲学社会科学文献中心不能替代软件工程专业数据库；直接相关中文候选的全文获取尚未完成。研究家族关联与理论来源仍有核验限制。全文核对能够提高结果引用的准确性，但不能代替独立复现或原始数据验证。</w:t>
      </w:r>
    </w:p>
    <w:p>
      <w:pPr>
        <w:pStyle w:val="Heading1"/>
      </w:pPr>
      <w:r>
        <w:t>4 分析框架</w:t>
      </w:r>
    </w:p>
    <w:p>
      <w:pPr>
        <w:pStyle w:val="Heading2"/>
      </w:pPr>
      <w:r>
        <w:t>4.1 测量层次与工具采用</w:t>
      </w:r>
    </w:p>
    <w:p>
      <w:r>
        <w:rPr>
          <w:b w:val="0"/>
        </w:rPr>
        <w:t>本研究的测量坐标系分为四个层次。L1＝代码活动与个人任务绩效：开发者在编码及相关微观任务上的行为与产出，如任务完成时间、PR计数、自报工时。L2＝项目或团队的软件工程交付：可交付成果及其质量与周期，如部署频率、缺陷率、churn率。L3＝交付软件被真实用户采用：交付物被其最终用户接受和使用的程度；操作定义上，采用≠满意≠付费≠留存。L4＝组织或社会层面的业务与经济价值，内部分为两个子类：L4a＝组织财务与运营指标（项目／组织费用、收入和运营结果；现有部分项目费用，不足完整生命周期比较），L4b＝社会／劳动力市场层面（劳动者收入／工时／工资、宏观核算；本文Humlum与Vestergaard（2025）研究归入此类，不得与L4a混同）。</w:t>
      </w:r>
    </w:p>
    <w:p>
      <w:r>
        <w:rPr>
          <w:b w:val="0"/>
        </w:rPr>
        <w:t>A_tool＝开发者对AI工具的采用：度量“工具用起来了”（采用率、使用强度、感知有用性）。它与L3构成“供应侧采用 vs 需求侧采用”的严格对照：采用理论须按开发者与最终用户分别设置对象和指标。</w:t>
      </w:r>
    </w:p>
    <w:p>
      <w:r>
        <w:rPr>
          <w:b w:val="0"/>
        </w:rPr>
        <w:t>与既有框架的重叠包括：L1约等于SPACE框架A/S/E中个人任务相关部分的子集；L2的交付测量部分与DORA经典四项交付指标高度重合；L3的概念在SPACE的P维度示例（feature adoption）与VBSE的价值实现中已有先例。L1—L4的增量不在概念发明，而在三处方法论操作（见4.7）。</w:t>
      </w:r>
    </w:p>
    <w:p>
      <w:pPr>
        <w:pStyle w:val="Heading2"/>
      </w:pPr>
      <w:r>
        <w:t>4.2 成本四属性与流程约束位置</w:t>
      </w:r>
    </w:p>
    <w:p>
      <w:r>
        <w:rPr>
          <w:b w:val="0"/>
        </w:rPr>
        <w:t>成本按四个分析属性登记，并非假定它们在统计上正交。数量指总成本或单位成本的绝对变化；结构指分项占明确总成本／工时分母的比例；主体指开发者、组织、用户和供应商等承担者；时间指投入及损失发生的阶段与时点。结构变化不自动意味着总量变化，时间转移也不自动意味着新增支出。</w:t>
      </w:r>
    </w:p>
    <w:p>
      <w:r>
        <w:rPr>
          <w:b w:val="0"/>
        </w:rPr>
        <w:t>Xu等的评审活动量是成本承担者变化的机制候选，不是主体费用的直接测量。主体检验须同时观察各方投入，不能由一方活动增加推断另一方成本下降。</w:t>
      </w:r>
    </w:p>
    <w:p>
      <w:r>
        <w:rPr>
          <w:b w:val="0"/>
        </w:rPr>
        <w:t>流程约束位置作为单独的分析维度，需有排队、等待、资源利用率及吞吐限制等证据。某环节更耗时不等于该环节成为瓶颈；活动量改变不等于流程约束转移。</w:t>
      </w:r>
    </w:p>
    <w:p>
      <w:pPr>
        <w:pStyle w:val="Heading2"/>
      </w:pPr>
      <w:r>
        <w:t>4.3 软件全生命周期总成本账户</w:t>
      </w:r>
    </w:p>
    <w:p>
      <w:r>
        <w:rPr>
          <w:b w:val="0"/>
        </w:rPr>
        <w:t>TEC保持九项覆盖，但区分已经发生的资源投入和前瞻风险口径：</w:t>
      </w:r>
    </w:p>
    <w:p>
      <w:pPr>
        <w:jc w:val="center"/>
      </w:pPr>
      <m:oMathPara>
        <m:oMath>
          <m:sSub>
            <m:e>
              <m:r>
                <m:t>TEC</m:t>
              </m:r>
            </m:e>
            <m:sub>
              <m:r>
                <m:t>resource</m:t>
              </m:r>
            </m:sub>
          </m:sSub>
          <m:r>
            <m:t> = </m:t>
          </m:r>
          <m:sSub>
            <m:e>
              <m:r>
                <m:t>C</m:t>
              </m:r>
            </m:e>
            <m:sub>
              <m:r>
                <m:t>spec</m:t>
              </m:r>
            </m:sub>
          </m:sSub>
          <m:r>
            <m:t> + </m:t>
          </m:r>
          <m:sSub>
            <m:e>
              <m:r>
                <m:t>C</m:t>
              </m:r>
            </m:e>
            <m:sub>
              <m:r>
                <m:t>gen</m:t>
              </m:r>
            </m:sub>
          </m:sSub>
          <m:r>
            <m:t> + </m:t>
          </m:r>
          <m:sSub>
            <m:e>
              <m:r>
                <m:t>C</m:t>
              </m:r>
            </m:e>
            <m:sub>
              <m:r>
                <m:t>model</m:t>
              </m:r>
            </m:sub>
          </m:sSub>
          <m:r>
            <m:t> + </m:t>
          </m:r>
          <m:sSub>
            <m:e>
              <m:r>
                <m:t>C</m:t>
              </m:r>
            </m:e>
            <m:sub>
              <m:r>
                <m:t>int</m:t>
              </m:r>
            </m:sub>
          </m:sSub>
          <m:r>
            <m:t> + </m:t>
          </m:r>
          <m:sSub>
            <m:e>
              <m:r>
                <m:t>C</m:t>
              </m:r>
            </m:e>
            <m:sub>
              <m:r>
                <m:t>verify</m:t>
              </m:r>
            </m:sub>
          </m:sSub>
          <m:r>
            <m:t> + </m:t>
          </m:r>
          <m:sSub>
            <m:e>
              <m:r>
                <m:t>C</m:t>
              </m:r>
            </m:e>
            <m:sub>
              <m:r>
                <m:t>adopt</m:t>
              </m:r>
            </m:sub>
          </m:sSub>
          <m:r>
            <m:t> + </m:t>
          </m:r>
          <m:sSub>
            <m:e>
              <m:r>
                <m:t>C</m:t>
              </m:r>
            </m:e>
            <m:sub>
              <m:r>
                <m:t>maint</m:t>
              </m:r>
            </m:sub>
          </m:sSub>
          <m:r>
            <m:t> + </m:t>
          </m:r>
          <m:sSub>
            <m:e>
              <m:r>
                <m:t>C</m:t>
              </m:r>
            </m:e>
            <m:sub>
              <m:r>
                <m:t>gov</m:t>
              </m:r>
            </m:sub>
          </m:sSub>
        </m:oMath>
      </m:oMathPara>
    </w:p>
    <w:p>
      <w:pPr>
        <w:jc w:val="center"/>
      </w:pPr>
      <m:oMathPara>
        <m:oMath>
          <m:sSub>
            <m:e>
              <m:r>
                <m:t>TEC</m:t>
              </m:r>
            </m:e>
            <m:sub>
              <m:r>
                <m:t>risk adjusted</m:t>
              </m:r>
            </m:sub>
          </m:sSub>
          <m:r>
            <m:t> = </m:t>
          </m:r>
          <m:sSub>
            <m:e>
              <m:r>
                <m:t>TEC</m:t>
              </m:r>
            </m:e>
            <m:sub>
              <m:r>
                <m:t>resource</m:t>
              </m:r>
            </m:sub>
          </m:sSub>
          <m:r>
            <m:t> + </m:t>
          </m:r>
          <m:r>
            <m:t>E(</m:t>
          </m:r>
          <m:sSub>
            <m:e>
              <m:r>
                <m:t>L</m:t>
              </m:r>
            </m:e>
            <m:sub>
              <m:r>
                <m:t>residual</m:t>
              </m:r>
            </m:sub>
          </m:sSub>
          <m:r>
            <m:t>)</m:t>
          </m:r>
        </m:oMath>
      </m:oMathPara>
    </w:p>
    <w:p>
      <w:r>
        <w:rPr>
          <w:b w:val="0"/>
        </w:rPr>
        <w:t>本文提到“TEC九项”时，是八项实际资源账户加一项残余风险账户。风险调整总量仅在同一观察期、同一风险边界且排除重复损失后才可计算。风险准备金、已实现事故损失和预期损失不是可无条件相加的三类支出。</w:t>
      </w:r>
    </w:p>
    <w:p>
      <w:pPr>
        <w:keepNext/>
        <w:spacing w:after="60"/>
        <w:jc w:val="center"/>
      </w:pPr>
      <w:r>
        <w:rPr>
          <w:b w:val="0"/>
          <w:sz w:val="20"/>
        </w:rPr>
      </w:r>
      <w:r>
        <w:rPr>
          <w:b/>
          <w:sz w:val="20"/>
        </w:rPr>
        <w:t>表1 软件全生命周期总成本九项操作化账户</w:t>
      </w:r>
      <w:r>
        <w:rPr>
          <w:b w:val="0"/>
          <w:sz w:val="20"/>
        </w:rPr>
      </w:r>
    </w:p>
    <w:tbl>
      <w:tblPr>
        <w:tblStyle w:val="TableGrid"/>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07"/>
        <w:gridCol w:w="1984"/>
        <w:gridCol w:w="1191"/>
        <w:gridCol w:w="1304"/>
        <w:gridCol w:w="2154"/>
        <w:gridCol w:w="1531"/>
      </w:tblGrid>
      <w:tr>
        <w:trPr>
          <w:cantSplit/>
          <w:tblHeader/>
        </w:trPr>
        <w:tc>
          <w:tcPr>
            <w:tcW w:type="dxa" w:w="907"/>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6"/>
              </w:rPr>
              <w:t>账户</w:t>
            </w:r>
          </w:p>
        </w:tc>
        <w:tc>
          <w:tcPr>
            <w:tcW w:type="dxa" w:w="1984"/>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6"/>
              </w:rPr>
              <w:t>定义与边界</w:t>
            </w:r>
          </w:p>
        </w:tc>
        <w:tc>
          <w:tcPr>
            <w:tcW w:type="dxa" w:w="1191"/>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6"/>
              </w:rPr>
              <w:t>测量单位</w:t>
            </w:r>
          </w:p>
        </w:tc>
        <w:tc>
          <w:tcPr>
            <w:tcW w:type="dxa" w:w="1304"/>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6"/>
              </w:rPr>
              <w:t>数据来源</w:t>
            </w:r>
          </w:p>
        </w:tc>
        <w:tc>
          <w:tcPr>
            <w:tcW w:type="dxa" w:w="2154"/>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6"/>
              </w:rPr>
              <w:t>可能重复项</w:t>
            </w:r>
          </w:p>
        </w:tc>
        <w:tc>
          <w:tcPr>
            <w:tcW w:type="dxa" w:w="1531"/>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6"/>
              </w:rPr>
              <w:t>验证方法</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C_spec</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业务意图转为规格、需求与验收标准的人力投入；不含模型账单</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人时；元／项目</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需求工单、访谈／建模日志</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提示编写按目标归科；不重复列入生成或治理</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抽样回溯需求记录；统一完成标准</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C_gen</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初始实现、提示迭代及交付前代码编写人力</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人时；元／功能单元</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开发日志、计时器、工资成本率</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调试按原因及阶段归验证／维护；工具费只入C_model</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任务日志与版本差异对照；核验工时覆盖</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C_model</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实际订阅、调用、推理、嵌入及专用算力支出</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元／项目或观察期</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合同、账单、用量及分摊表</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避免订阅与Token估算重复；专用算力不再入集成</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账单对账；记录包月／按量／混合计费</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C_int</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接口、数据、依赖及系统连接的人力和非模型直接费用</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人时；元／项目</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集成工单、环境配置、接口验收</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集成故障排查按主任务归科；非模型云资源仅入一次</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工单与接口验收匹配；核验分摊键</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C_verify</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交付前评审、测试、安全检查及其缺陷修复</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人时；元／发布</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评审、测试、缺陷日志</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评审等待时间不等于劳动工时；政策制定入治理</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分离工作／等待；按缺陷ID与工时对账</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C_adopt</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最终用户培训、迁移、上线支持和使用促成</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人时；元／用户群</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培训、迁移、支持工单</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开发者AI工具培训另标对象，按相关生成／治理目的入账</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核对采用对象；关联激活、真实使用与留存</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C_maint</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交付后缺陷修复、依赖升级、演化及债务偿还</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人时；元／维护期</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发布后工单、运维、修复日志</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交付前修复入验证；事故处置费用勿再计预期损失</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明确交付时点与维护窗；按缺陷ID查重</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C_gov</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AI政策、组织级质量／安全制度、权限及审计投入</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人时；元／观察期</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制度、审计、权限／合规工单</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具体测试入验证；共享治理按事前规则分摊</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审计抽样与账单／日志核验；复核分摊依据</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6"/>
              </w:rPr>
              <w:t>E(L)</w:t>
            </w:r>
          </w:p>
        </w:tc>
        <w:tc>
          <w:tcPr>
            <w:tcW w:type="dxa" w:w="198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观察期外或尚未实现的残余风险损失情景，不是已支出费用</w:t>
            </w:r>
          </w:p>
        </w:tc>
        <w:tc>
          <w:tcPr>
            <w:tcW w:type="dxa" w:w="119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概率×元；元／风险窗</w:t>
            </w:r>
          </w:p>
        </w:tc>
        <w:tc>
          <w:tcPr>
            <w:tcW w:type="dxa" w:w="130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事故基率、历史损失、情景估计</w:t>
            </w:r>
          </w:p>
        </w:tc>
        <w:tc>
          <w:tcPr>
            <w:tcW w:type="dxa" w:w="2154"/>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已计验证／维护／事故支出的损失不得重复加入</w:t>
            </w:r>
          </w:p>
        </w:tc>
        <w:tc>
          <w:tcPr>
            <w:tcW w:type="dxa" w:w="153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6"/>
              </w:rPr>
              <w:t>概率来源、风险窗、严重度及敏感性分析</w:t>
            </w:r>
          </w:p>
        </w:tc>
      </w:tr>
    </w:tbl>
    <w:p>
      <w:r>
        <w:rPr>
          <w:b w:val="0"/>
        </w:rPr>
        <w:t>比较前先明确并固定项目范围、功能与质量验收、生命周期和维护窗口、币种及价格基期、成本承担者、工具版本。人力工时与实际现金工资、按成本率估值的人力资源成本分别报告；既有员工节省时间不自动等于现金工资下降，也不再额外加一次机会成本。共享订阅与治理开支采用事前登记的分摊键。培训、流程再造作为配套投入标签，不另设第十项与八项重复加总。</w:t>
      </w:r>
    </w:p>
    <w:p>
      <w:r>
        <w:rPr>
          <w:b w:val="0"/>
        </w:rPr>
        <w:t>ΔTEC只在上述边界一致且各分项完整时可求和。未知项写NA，确认不适用且说明理由才可填0；部分合计只能称“已测部分小计”。项目扩围时同时报告固定范围单位成本与实际总支出，不能把二者混为降本。</w:t>
      </w:r>
    </w:p>
    <w:p>
      <w:r>
        <w:rPr>
          <w:b w:val="0"/>
        </w:rPr>
        <w:t>现有证据已有单任务时间、需求建模时间和单项目账单等分项观测；尚未取得可支撑完整前后对照的九项同口径数据。该操作化表仍需项目试测和独立编码检验，不是已验证计量定律。各账户在本文核验集合内的可测性登记见表2（5.5节）。</w:t>
      </w:r>
    </w:p>
    <w:p>
      <w:pPr>
        <w:pStyle w:val="Heading2"/>
      </w:pPr>
      <w:r>
        <w:t>4.4 理论基础与适用边界</w:t>
      </w:r>
    </w:p>
    <w:p>
      <w:r>
        <w:rPr>
          <w:b w:val="0"/>
        </w:rPr>
        <w:t>生产理论用于区分局部替代与全流程互补。本文统一采用Demirer等（2026）的2026年9月修订稿：第6.3节及图8报告替代弹性σ≈0.23，参数校准说明见附录D.8。该数值通过拟合自动补全工具在六个工程活动层次上的经验增幅获得，建立在分层CES生产函数等模型假设之上；它不是无需模型假设的独立因果识别参数，不能作为所有AI工具或软件项目的通用弹性。参考文献注明所用修订时间，本文不将不同文本中的数值混合为参数区间。</w:t>
      </w:r>
    </w:p>
    <w:p>
      <w:r>
        <w:rPr>
          <w:b w:val="0"/>
        </w:rPr>
        <w:t>无形资本理论提示登记技能、流程及组织配套投入，但这些投入是否新增、是否被抵消，需要测量。风险理论则为残余损失情景提供结构；没有可信概率时只作情景范围，不给点估计。</w:t>
      </w:r>
    </w:p>
    <w:p>
      <w:r>
        <w:rPr>
          <w:b w:val="0"/>
        </w:rPr>
        <w:t>本文暂不建立组织边界选择的交易成本模型。采用理论可用于A_tool和L3机制研究，但本文不增加未经测量的完整因果路径。</w:t>
      </w:r>
    </w:p>
    <w:p>
      <w:pPr>
        <w:pStyle w:val="Heading2"/>
      </w:pPr>
      <w:r>
        <w:t>4.5 跨层推论规则</w:t>
      </w:r>
    </w:p>
    <w:p>
      <w:r>
        <w:rPr>
          <w:b w:val="0"/>
        </w:rPr>
        <w:t>任何从一层向另一层的外推都是一条待检验的因果链，须遵守四条纪律。第一，L1活动量≠生产率：提交数、PR数、代码行是行为的代理计数，生产率是产出与投入之比；计数上升既不能确认产出价值也不能确认投入不变。第二，L2交付≠L3采用：L2测量交付制品与交付绩效，L3测量真实用户的使用行为；交付物无人使用则交付绩效不转化为价值——Demirer等（2026）研究的跨层增幅收窄与新应用进入翻倍但终端参与度未增，正是交付与采用断裂的观测。第三，L3采用≠L4经济价值：用户采用是价值实现的前提而非实现本身；从采用到财务与经济结果之间隔着配套投入、组织变革与时间滞后——这正是无形资本与J曲线传统要解释的鸿沟。第四，跨层推论必须披露中间假设：任何外推（如L1加速→总成本下降）的每一步中间假设必须被写出并接受检验；未写明假设的推论为无效推论。这一要求将代理指标的解释限制延伸至跨层推论。</w:t>
      </w:r>
    </w:p>
    <w:p>
      <w:pPr>
        <w:pStyle w:val="Heading2"/>
      </w:pPr>
      <w:r>
        <w:t>4.6 三项可区分的检验</w:t>
      </w:r>
    </w:p>
    <w:p>
      <w:r>
        <w:rPr>
          <w:b w:val="0"/>
        </w:rPr>
        <w:t>三项检验分别回答新增投入是否出现、投入结构是否变化、完整净成本是否变化；它们不是统计独立事件，也不要求只有三者同时显著才允许研究其中之一。共同设计是同组织／项目的前后或对照观察，控制范围、质量、工具版本及维护窗口。结构检验必须指定分母；总量检验要求分项覆盖完整。当前重点核验集合不足以完成这三个问题的组织级联合识别。</w:t>
      </w:r>
    </w:p>
    <w:p>
      <w:pPr>
        <w:pStyle w:val="Heading2"/>
      </w:pPr>
      <w:r>
        <w:t>4.7 框架定位与验证</w:t>
      </w:r>
    </w:p>
    <w:p>
      <w:r>
        <w:rPr>
          <w:b w:val="0"/>
        </w:rPr>
        <w:t>本框架整合SPACE、DORA、技术采用研究、VBSE和生命周期成本传统，用作证据编码与测量检查表。其增量是将指标层次、成本边界和跨层假设连接，提出账户归集规则，并对各账户在公开证据中的可测性作登记。框架有效性需要通过独立编码、项目试测及与既有框架的比较评估。</w:t>
      </w:r>
    </w:p>
    <w:p>
      <w:pPr>
        <w:pStyle w:val="Heading1"/>
      </w:pPr>
      <w:r>
        <w:t>5 证据评述结果</w:t>
      </w:r>
    </w:p>
    <w:p>
      <w:r>
        <w:rPr>
          <w:b w:val="0"/>
        </w:rPr>
        <w:t>本节报告证据集合的构成、测量层次与观测结果。跨层推论与经济含义在第6节和第7节讨论。</w:t>
      </w:r>
    </w:p>
    <w:p>
      <w:pPr>
        <w:pStyle w:val="Heading2"/>
      </w:pPr>
      <w:r>
        <w:t>5.1 证据集合的构成</w:t>
      </w:r>
    </w:p>
    <w:p>
      <w:r>
        <w:rPr>
          <w:b w:val="0"/>
        </w:rPr>
        <w:t>正式重点核验集合为17项核心来源，其中包括AI效应与软件质量研究、真实成本与工作流案例、产业调查／观察报告，以及J曲线理论全文。另列METR后续更新和Accenture博客两项伴随来源。它们不是17次独立RCT，也不能据此称存在17项可合并的因果效应。来源分组与书目见参考文献A、B、C三组；研究设计、观测结果与限制见2.7、5.4及第6节。</w:t>
      </w:r>
    </w:p>
    <w:p>
      <w:r>
        <w:rPr>
          <w:b w:val="0"/>
        </w:rPr>
        <w:t>仅经全文核验并满足纳入标准的来源进入核心集合。中文检索得到的直接相关候选仅达到题录摘要级，不参与核心证据的结果评述。</w:t>
      </w:r>
    </w:p>
    <w:p>
      <w:pPr>
        <w:pStyle w:val="Heading2"/>
      </w:pPr>
      <w:r>
        <w:t>5.2 测量层次分布</w:t>
      </w:r>
    </w:p>
    <w:p>
      <w:r>
        <w:rPr>
          <w:b w:val="0"/>
        </w:rPr>
        <w:t>L1包含Peng、METR、Cui、Paradis、Stray及技能学习实验等，但任务时间、提交计数、测验成绩必须分开解释。L2包含质量、评审、项目及发布观测。L3存在有限证据：Demirer等提供应用市场安装／下载／评分代理；Wang等提供生产使用和内部用户反馈的案例线索。两者尚不足以识别由AI开发方式导致的最终用户采用变化。</w:t>
      </w:r>
    </w:p>
    <w:p>
      <w:r>
        <w:rPr>
          <w:b w:val="0"/>
        </w:rPr>
        <w:t>L4a有Neves的单项目部分成本核算，不等于组织全生命周期总成本；L4b有Humlum与Vestergaard的劳动者层面观测。A_tool与L3按采用对象区分，而非按是否采用TAM或UTAUT区分。不同层可能重叠，本文不报告未经独立重编码的精确层次数量。</w:t>
      </w:r>
    </w:p>
    <w:p>
      <w:pPr>
        <w:pStyle w:val="Heading2"/>
      </w:pPr>
      <w:r>
        <w:t>5.3 证据质量、供应商关联与来源分布</w:t>
      </w:r>
    </w:p>
    <w:p>
      <w:r>
        <w:rPr>
          <w:b w:val="0"/>
        </w:rPr>
        <w:t>17项核心来源已取得全文并进行重点核验。全文可得性与研究可信度是不同概念，供应商关联、样本选择、非随机采用、观察窗口和自报偏差仍须逐项评估。</w:t>
      </w:r>
    </w:p>
    <w:p>
      <w:r>
        <w:rPr>
          <w:b w:val="0"/>
        </w:rPr>
        <w:t>中文检索仅识别出1条直接相关的题录摘要级候选，未能形成中文全文证据集合，因此不足以支持中国软件产业的代表性判断。</w:t>
      </w:r>
    </w:p>
    <w:p>
      <w:pPr>
        <w:pStyle w:val="Heading2"/>
      </w:pPr>
      <w:r>
        <w:t>5.4 观测结果与条件差异</w:t>
      </w:r>
    </w:p>
    <w:p>
      <w:r>
        <w:rPr>
          <w:b w:val="0"/>
        </w:rPr>
        <w:t>正向时间结果见Peng和Paradis，企业任务计数结果见Cui；METR早期实验报告耗时增加；Stray的提交活动没有显著变化。学习效果、质量风险、活动产出和任务时间不能统一为“提效”指标，也不能按正负篇数投票。</w:t>
      </w:r>
    </w:p>
    <w:p>
      <w:r>
        <w:rPr>
          <w:b w:val="0"/>
        </w:rPr>
        <w:t>METR（Becker等，2025）对16名资深开源开发者的246项任务按任务随机分组，发现允许使用当时AI工具后耗时增加19%（耗时变化95%置信区间为+2%至+39%）。2026年2月24日更新讨论的是2025年8月开始的另一次实验；后续估计受参与、任务选择及并行工作计时影响，不能可靠识别当前提效幅度。该更新没有撤回或修正早期实验的19%结果。因此，两次实验的样本、时期和估计量应分别解释。</w:t>
      </w:r>
    </w:p>
    <w:p>
      <w:r>
        <w:rPr>
          <w:b w:val="0"/>
        </w:rPr>
        <w:t>需求与集成相关环节也已有正向但受限的时间观测：Eisenreich等的5人探索性研究报告用例建模时间减少60%；Wang等的Volvo案例提供每API工作流时间和生产使用信息，但流程同时涉及规格、生成、协调与集成，不能将全部时间归为纯集成投入。979小时是依据案例规模外推的工程时间节省估计，不是独立前后观测的完整生命周期工时差。Neves提供实际支出、自报工时及回顾性反事实三个不同层次的数据。</w:t>
      </w:r>
    </w:p>
    <w:p>
      <w:pPr>
        <w:pStyle w:val="Heading2"/>
      </w:pPr>
      <w:r>
        <w:t>5.5 成本账户的可测性登记与证据缺口</w:t>
      </w:r>
    </w:p>
    <w:p>
      <w:r>
        <w:rPr>
          <w:b w:val="0"/>
        </w:rPr>
        <w:t>表2按TEC九项账户登记本文核验集合内的观测状态。“观测内容”取自来源原文，“不能据此推出”说明外推边界。时间或账单的直接观测、成本相关代理、采用结果线索与账户成本未观测分别登记；一个综合任务的时间不能自动归入单项账户。判定仅限本次核验集合，不代表该领域证据全貌。</w:t>
      </w:r>
    </w:p>
    <w:p>
      <w:pPr>
        <w:keepNext/>
        <w:spacing w:after="60"/>
        <w:jc w:val="center"/>
      </w:pPr>
      <w:r>
        <w:rPr>
          <w:b w:val="0"/>
          <w:sz w:val="20"/>
        </w:rPr>
      </w:r>
      <w:r>
        <w:rPr>
          <w:b/>
          <w:sz w:val="20"/>
        </w:rPr>
        <w:t>表2 TEC九项账户在核验集合内的可测性登记</w:t>
      </w:r>
      <w:r>
        <w:rPr>
          <w:b w:val="0"/>
          <w:sz w:val="20"/>
        </w:rPr>
      </w:r>
    </w:p>
    <w:tbl>
      <w:tblPr>
        <w:tblStyle w:val="TableGrid"/>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07"/>
        <w:gridCol w:w="3288"/>
        <w:gridCol w:w="2608"/>
        <w:gridCol w:w="2268"/>
      </w:tblGrid>
      <w:tr>
        <w:trPr>
          <w:cantSplit/>
          <w:tblHeader/>
        </w:trPr>
        <w:tc>
          <w:tcPr>
            <w:tcW w:type="dxa" w:w="907"/>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账户</w:t>
            </w:r>
          </w:p>
        </w:tc>
        <w:tc>
          <w:tcPr>
            <w:tcW w:type="dxa" w:w="3288"/>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核验集合内的观测内容</w:t>
            </w:r>
          </w:p>
        </w:tc>
        <w:tc>
          <w:tcPr>
            <w:tcW w:type="dxa" w:w="2608"/>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不能据此推出</w:t>
            </w:r>
          </w:p>
        </w:tc>
        <w:tc>
          <w:tcPr>
            <w:tcW w:type="dxa" w:w="2268"/>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可测性判定</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C_spec</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Eisenreich：5人探索研究，用例建模时间减少60%</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完整需求账户成本；项目级或总体成本变化</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相关子环节有直接时间观测，样本极小</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C_gen</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Peng、Paradis、METR的编码相关任务时间；Cui的任务计数</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纯编写工时；统一增幅；综合任务时间可能含调试与测试</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综合任务有直接时间观测，未完成账户拆分</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C_model</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Neves：单项目实际工具费用约US$69</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一般项目模型成本或生命周期总成本</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单案例有实际费用报告，未独立审计账单</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C_int</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Wang：每API综合工作流时间；979小时为规模外推</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纯集成工时；独立前后对照的账户成本</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综合工作流时间观测与外推并存</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C_verify</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Xu：PR评审及返工计数；Cui：构建成功率；Perry：安全任务结果</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评审工时、验证费用或事故损失</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活动／质量代理，无直接账户成本</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C_adopt</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Demirer：安装、下载、评分；Wang：内部用户实际使用报告</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用户培训、迁移、支持费用；采用变化的因果效应</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采用结果线索，促成成本未观测</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C_maint</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Liu：静态分析问题持续性，22.7%可追踪问题仍在最新修订</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交付后修复工时／费用；AI相对人工的维护成本差额</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技术债代理，无直接维护成本</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C_gov</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DORA有组织条件讨论，未报告符合本账户的投入</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治理成本水平或变化方向</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未见直接账户成本观测</w:t>
            </w:r>
          </w:p>
        </w:tc>
      </w:tr>
      <w:tr>
        <w:trPr>
          <w:cantSplit/>
        </w:trPr>
        <w:tc>
          <w:tcPr>
            <w:tcW w:type="dxa" w:w="90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E(L)</w:t>
            </w:r>
          </w:p>
        </w:tc>
        <w:tc>
          <w:tcPr>
            <w:tcW w:type="dxa" w:w="328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Perry、Liu有风险相关质量线索，但未估计残余损失期望值</w:t>
            </w:r>
          </w:p>
        </w:tc>
        <w:tc>
          <w:tcPr>
            <w:tcW w:type="dxa" w:w="260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事故概率与损失金额；残余风险期望值</w:t>
            </w:r>
          </w:p>
        </w:tc>
        <w:tc>
          <w:tcPr>
            <w:tcW w:type="dxa" w:w="2268"/>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未见符合风险账户的损失估计</w:t>
            </w:r>
          </w:p>
        </w:tc>
      </w:tr>
    </w:tbl>
    <w:p>
      <w:r>
        <w:rPr>
          <w:b w:val="0"/>
        </w:rPr>
        <w:t>按该登记，四项账户涉及的环节具有有限时间或实际费用观测（C_spec、C_gen、C_model、C_int），但未全部实现独立、完整的账户归集；两项有成本相关活动或质量代理（C_verify、C_maint）；一项仅有采用结果线索且促成成本未观测（C_adopt）；两项未见符合定义的成本或残余损失观测（C_gov、E(L)）。这不是“四项完整成本账户已经得到直接测量”的判断，也不是将采用结果当作采用促成成本的代理。</w:t>
      </w:r>
    </w:p>
    <w:p>
      <w:r>
        <w:rPr>
          <w:b w:val="0"/>
        </w:rPr>
        <w:t>Xu等（2026）采用基于Copilot技术预览和语言支持差异的双重差分设计，将“维护努力”操作化为每位贡献者每月的PR评审次数；其PR返工指标为提交初始版本后的后续提交次数。原文未报告交付后维护工时或费用，研究的处理条件也不等于逐人确认使用AI。按本文交付时点边界，这些指标归为C_verify相关活动代理；不因原文使用“维护”一词就直接归入C_maint，更不能在两项账户中重复计入。Liu的债务持续性则补充了维护相关代理，但代码合并不等于实际交付，后续试测仍需核对发布时点与维护窗口。</w:t>
      </w:r>
    </w:p>
    <w:p>
      <w:r>
        <w:rPr>
          <w:b w:val="0"/>
        </w:rPr>
        <w:t>证据仍偏重任务、活动和工程交付，但用户采用、技术债与部分费用并非完全空白。本文拟推进的是指标到成本账户的可核对映射及其比较边界：将分散测量联结到同一项目、同一范围和质量条件，并验证归集、分摊和缺失处理规则是否可行。当前集合尚未提供完整组织级前后或对照识别，这一限制不能用来证明全领域“无人研究”。</w:t>
      </w:r>
    </w:p>
    <w:p>
      <w:pPr>
        <w:pStyle w:val="Heading1"/>
      </w:pPr>
      <w:r>
        <w:t>6 跨层传导与证据断层</w:t>
      </w:r>
    </w:p>
    <w:p>
      <w:r>
        <w:rPr>
          <w:b w:val="0"/>
        </w:rPr>
        <w:t>本部分回答一个核心问题：L1观测到的任务加速，能否沿L1→L2→L3→L4的链条传导为组织总成本的变化？回答是分段的：每一段传导都有各自的证据状态、断裂点与外推边界，而把各段观测拼成一条因果链，恰恰是4.5节跨层推论规则所禁止的。</w:t>
      </w:r>
    </w:p>
    <w:p>
      <w:pPr>
        <w:pStyle w:val="Heading2"/>
      </w:pPr>
      <w:r>
        <w:t>6.1 个人任务向工程交付的传导</w:t>
      </w:r>
    </w:p>
    <w:p>
      <w:r>
        <w:rPr>
          <w:b w:val="0"/>
        </w:rPr>
        <w:t>L1→L2是证据相对最厚的一段，但“相对最厚”不等于“可以传导”。Cui等的三地田野RCT发现，每周已完成任务（各公司PR／任务计数）的加权IV估计+26.08%（SE 10.3%），这是大样本企业田野证据（4,867名开发者）。但该研究自己承认了三处边界：其一，主结果以PR／任务计数衡量，属于活动量代理，作者未测量评审、维护环节，也未测量投入工时——每周多完成26%的PR，既可能是同样工时产出更多，也可能是工时结构变化的结果，该数字不得读作“生产率提升26%”；其二，构建成功率合并估计-5.53（SE 3.64）不显著，且Accenture分项为负且显著，质量方向在公司间并不一致；其三，约30—40%的工程师从未尝试产品，低采用率限制了TOT估计向全体开发者的外推。</w:t>
      </w:r>
    </w:p>
    <w:p>
      <w:r>
        <w:rPr>
          <w:b w:val="0"/>
        </w:rPr>
        <w:t>Peng等的实验室RCT（55.8%任务完成时间缩短，p=0.0017，95% CI [21%, 89%]）提供L1直接时间指标的随机对照证据，但其外推边界同样清晰：Upwork招募的95名程序员（该数字为招募人数）、2022年GA之前的Copilot版本、单个人造greenfield任务——任务中没有代码库、没有评审、没有协作。作者的结论明确限定于实验人群。</w:t>
      </w:r>
    </w:p>
    <w:p>
      <w:r>
        <w:rPr>
          <w:b w:val="0"/>
        </w:rPr>
        <w:t>把这两条证据并置，可以看到L1→L2传导的第一个断裂点：任务是否经过协作与评审环节。实验室任务绕过了这些环节，而田野中的PR恰恰要经过它们。其他研究从两侧收紧了这个判断：Paradis等的Google企业RCT（n=96，复杂企业级任务）发现任务时间约-21%，但置信区间宽，方向支持、精度不足；而Stray等对挪威NAV IT公共部门敏捷组织的两年纵向追踪（26,317 commits／703仓库）发现，采用后commit活动无统计显著变化，且开发者感知与客观测量脱节——当任务嵌入真实组织的协作流程，实验室量级的加速未必能转化为可观测的交付活动变化。本文据此推断：L1加速向L2的传导不是自动的，它取决于加速是否在被评审、集成、质量修复等环节重新吸收之前实现。</w:t>
      </w:r>
    </w:p>
    <w:p>
      <w:pPr>
        <w:pStyle w:val="Heading2"/>
      </w:pPr>
      <w:r>
        <w:t>6.2 工程交付向用户采用的传导</w:t>
      </w:r>
    </w:p>
    <w:p>
      <w:r>
        <w:rPr>
          <w:b w:val="0"/>
        </w:rPr>
        <w:t>L2到L3的主要问题是关联与识别不足，而不是L3完全没有证据。Demirer等应用市场数据包含安装、下载和评分等用户参与代理，但无法逐个确认应用由AI辅助开发，也不是采用方式对使用行为的随机比较。Wang等的生产案例报告内部用户实际使用及满意度，支持“已在生产中使用”的案例判断，不支持AI导致采用率提高的因果判断。</w:t>
      </w:r>
    </w:p>
    <w:p>
      <w:r>
        <w:rPr>
          <w:b w:val="0"/>
        </w:rPr>
        <w:t>因此，应登记L3代理、案例直接使用报告、采用变化的因果估计三个不同层级。开发者接受AI建议属于A_tool，最终用户使用软件属于L3；同一种接受理论可以研究不同对象。需要进一步采集激活、有效使用、重复使用和留存等指标，并与开发方式、交付质量及业务效果相连接。</w:t>
      </w:r>
    </w:p>
    <w:p>
      <w:pPr>
        <w:pStyle w:val="Heading2"/>
      </w:pPr>
      <w:r>
        <w:t>6.3 用户采用向经济价值的传导</w:t>
      </w:r>
    </w:p>
    <w:p>
      <w:r>
        <w:rPr>
          <w:b w:val="0"/>
        </w:rPr>
        <w:t>即便L3证据存在，从L3到L4仍隔着一道鸿沟：用户采用是价值实现的前提，不是实现本身。从采用到组织财务与经济结果之间，隔着配套投入、组织变革与时间滞后——这正是无形资本与J曲线传统要解释的机制，也是本研究借用VBSE结果链思想来充实的最弱一环。现有证据对此只提供了间接的形状：DORA 2025的调查发现，AI在高绩效组织中放大优势、在挣扎的组织中放大失调（“AI creates localized pockets of productivity that are often lost to downstream chaos”），作者据此认为AI的首要角色是“放大器”而非普惠的生产率引擎——这是一个机构解释框架，不是因果识别结论，但它指出了L3→L4传导的调节变量：组织基础。</w:t>
      </w:r>
    </w:p>
    <w:p>
      <w:pPr>
        <w:pStyle w:val="Heading2"/>
      </w:pPr>
      <w:r>
        <w:t>6.4 劳动市场结果与项目成本</w:t>
      </w:r>
    </w:p>
    <w:p>
      <w:r>
        <w:rPr>
          <w:b w:val="0"/>
        </w:rPr>
        <w:t>Humlum与Vestergaard将丹麦职业调查与行政记录连接，分析AI聊天机器人使用与劳动市场结果。其收入、工时等平均效应没有统计显著变化，并报告相应置信区间界限。它研究通用聊天机器人、劳动者与短期经济结果，不是软件项目成本实验。</w:t>
      </w:r>
    </w:p>
    <w:p>
      <w:r>
        <w:rPr>
          <w:b w:val="0"/>
        </w:rPr>
        <w:t>即便劳动者总工时未变，其内部工作构成也可能变化；即便工时下降，现金支出也未必同步下降。组织成本的识别需要工资成本率、实际账单、范围、质量与维护窗口等信息，不能由劳动者层面的平均效应直接推断。</w:t>
      </w:r>
    </w:p>
    <w:p>
      <w:pPr>
        <w:pStyle w:val="Heading2"/>
      </w:pPr>
      <w:r>
        <w:t>6.5 组织互补条件如何影响传导</w:t>
      </w:r>
    </w:p>
    <w:p>
      <w:r>
        <w:rPr>
          <w:b w:val="0"/>
        </w:rPr>
        <w:t>J曲线与组织互补理论为培训、流程调整及制度投入提供解释，但不是这些成本已经增加的证据。企业会计可能已将培训和管理投入费用化，只是未按AI项目分项归集；测量缺口既可能来自统计未充分计量，也可能来自项目归因与分摊困难。</w:t>
      </w:r>
    </w:p>
    <w:p>
      <w:r>
        <w:rPr>
          <w:b w:val="0"/>
        </w:rPr>
        <w:t>需求建模与Volvo流程案例提示AI可能改善编码之外的环节，因而不能预设所有其他环节都成为新增负担。组织级设计应同时容许配套成本上升、下降或不变，区分一次性投入与持续运营。短期证据限制长期判断，但本研究不预设十年的配套周期。</w:t>
      </w:r>
    </w:p>
    <w:p>
      <w:pPr>
        <w:pStyle w:val="Heading2"/>
      </w:pPr>
      <w:r>
        <w:t>6.6 研究结果差异的来源</w:t>
      </w:r>
    </w:p>
    <w:p>
      <w:r>
        <w:rPr>
          <w:b w:val="0"/>
        </w:rPr>
        <w:t>不同研究测量不同对象：Peng研究单人造任务；Cui研究开发者周度完成任务计数；METR研究熟悉成熟代码库的开发者处理真实任务；Stray研究真实组织提交活动；Shen与Tamkin研究陌生库的技能形成；Paradis研究企业级复杂任务。样本、任务、工具与估计量都不同，不能把方向差异归结为某一研究“正确”、另一研究“错误”。</w:t>
      </w:r>
    </w:p>
    <w:p>
      <w:r>
        <w:rPr>
          <w:b w:val="0"/>
        </w:rPr>
        <w:t>供应商关联与非随机采用是偏倚评估项，不是结论方向的充分解释。统计不显著需连同区间、样本与可识别效应解释；17个百分点的成绩差异也不能写成相对降低17%。本文不建立跨研究统一权重，保留条件差异作为后续实证设计变量。</w:t>
      </w:r>
    </w:p>
    <w:p>
      <w:pPr>
        <w:pStyle w:val="Heading1"/>
      </w:pPr>
      <w:r>
        <w:t>7 讨论</w:t>
      </w:r>
    </w:p>
    <w:p>
      <w:pPr>
        <w:pStyle w:val="Heading2"/>
      </w:pPr>
      <w:r>
        <w:t>7.1 结果解释与证据强度</w:t>
      </w:r>
    </w:p>
    <w:p>
      <w:r>
        <w:rPr>
          <w:b w:val="0"/>
        </w:rPr>
        <w:t>可确认的是各来源在自身范围内报告的结果：任务时间的正向与负向估计并存，提交及PR活动不能等同净成本；单案例已有真实工具费用和自报人力投入。原文结果并不因取得全文就自动成为领域普遍规律。</w:t>
      </w:r>
    </w:p>
    <w:p>
      <w:r>
        <w:rPr>
          <w:b w:val="0"/>
        </w:rPr>
        <w:t>方向性线索包括质量与评审工作、需求建模、工作流协调及技能形成的变化；这些变量需要连接工时、费用和质量约束。待检验命题是完整净成本、分项占比、承担者及时间分布的再配置。</w:t>
      </w:r>
    </w:p>
    <w:p>
      <w:r>
        <w:rPr>
          <w:b w:val="0"/>
        </w:rPr>
        <w:t>综合分析需要区分METR不同时期的实验，区分最终用户采用的代理指标、实际使用案例与因果效应，并区分成本分项观测和完整生命周期总成本核算。混淆这些层次会导致对证据覆盖和效应方向的误判。</w:t>
      </w:r>
    </w:p>
    <w:p>
      <w:pPr>
        <w:pStyle w:val="Heading2"/>
      </w:pPr>
      <w:r>
        <w:t>7.2 成本再配置命题的可检验性</w:t>
      </w:r>
    </w:p>
    <w:p>
      <w:r>
        <w:rPr>
          <w:b w:val="0"/>
        </w:rPr>
        <w:t>“成本再配置”用于提出研究问题，而非命名已经确认的迁移事实。当前更可验证的状态是测量分散：部分费用、时间和用户使用已被观测，却尚未连成同口径生命周期对照。</w:t>
      </w:r>
    </w:p>
    <w:p>
      <w:r>
        <w:rPr>
          <w:b w:val="0"/>
        </w:rPr>
        <w:t>如果后续数据发现多环节同时改善、成本并未向其他环节迁移，仍是有效结果。框架也必须允许经试测合并、拆分或放弃账户，不以术语完整为优先。</w:t>
      </w:r>
    </w:p>
    <w:p>
      <w:pPr>
        <w:pStyle w:val="Heading2"/>
      </w:pPr>
      <w:r>
        <w:t>7.3 后续实证研究的数据需求</w:t>
      </w:r>
    </w:p>
    <w:p>
      <w:r>
        <w:rPr>
          <w:b w:val="0"/>
        </w:rPr>
        <w:t>后续研究先试测4.3操作化表，再实施固定范围、固定质量及相近任务难度的前后／对照设计。每个任务建立唯一ID、阶段、工时、人员成本率、工具费用、承担主体及发生时间；分项缺失不能以零代替。验证、集成和维护的界线须预先约定，并用工单抽样检查重复归科。</w:t>
      </w:r>
    </w:p>
    <w:p>
      <w:r>
        <w:rPr>
          <w:b w:val="0"/>
        </w:rPr>
        <w:t>用户采用研究须区分内部与外部用户，记录真实使用及留存而非仅安装或评分。净成本研究同时观察功能范围、质量和维护窗口，避免质量下降或项目扩围掩盖单位成本变化。预注册分析、不确定性报告及第二位编码者复核应在结果出现前完成。</w:t>
      </w:r>
    </w:p>
    <w:p>
      <w:pPr>
        <w:pStyle w:val="Heading2"/>
      </w:pPr>
      <w:r>
        <w:t>7.4 公开项目的部分核算演示</w:t>
      </w:r>
    </w:p>
    <w:p>
      <w:r>
        <w:rPr>
          <w:b w:val="0"/>
        </w:rPr>
        <w:t>Neves等的公开项目提供一个有限核算示例：6人学生团队在一个学期建设对话式入职助手，作者报告工具费用约US$69、人力35.2小时；按US$6.67／小时估值得约US$235，人力估值加工具费约US$304（原文表2使用四舍五入数字）。其中工具账单是C_model直接观测，自报工时是资源投入观测，不是现金工资。</w:t>
      </w:r>
    </w:p>
    <w:p>
      <w:r>
        <w:rPr>
          <w:b w:val="0"/>
        </w:rPr>
        <w:t>其按阶段登记的数据不能直接切成TEC的八项资源账户：P3将构建与测试合并，不能再同时填入C_gen和C_verify；需求、设计、测量等阶段也不等同本文账户。故完整TEC及ΔTEC记NA，不能把未覆盖维护、采用促成、治理与残余风险填零。US$3,005和329小时是回顾性专业人员反事实，不是真实无AI对照；9.9倍比值不是受控生产率增幅。</w:t>
      </w:r>
    </w:p>
    <w:p>
      <w:r>
        <w:rPr>
          <w:b w:val="0"/>
        </w:rPr>
        <w:t>该例证明部分账户可由账单和工时日志操作化，也显示完整核算仍需要更细粒度数据。本研究只复核论文公开结果，没有独立审计原始账单或复现其项目。企业试测应使用脱敏项目工单、实际账单及双方相同验收口径；若只取得部分数据，只报告已测部分小计。</w:t>
      </w:r>
    </w:p>
    <w:p>
      <w:pPr>
        <w:pStyle w:val="Heading1"/>
      </w:pPr>
      <w:r>
        <w:t>8 结论与局限</w:t>
      </w:r>
    </w:p>
    <w:p>
      <w:pPr>
        <w:pStyle w:val="Heading2"/>
      </w:pPr>
      <w:r>
        <w:t>8.1 主要结论</w:t>
      </w:r>
    </w:p>
    <w:p>
      <w:pPr>
        <w:keepNext/>
        <w:spacing w:after="60"/>
        <w:jc w:val="center"/>
      </w:pPr>
      <w:r>
        <w:rPr>
          <w:b w:val="0"/>
          <w:sz w:val="20"/>
        </w:rPr>
      </w:r>
      <w:r>
        <w:rPr>
          <w:b/>
          <w:sz w:val="20"/>
        </w:rPr>
        <w:t>表3 研究问题与证据位置对照</w:t>
      </w:r>
      <w:r>
        <w:rPr>
          <w:b w:val="0"/>
          <w:sz w:val="20"/>
        </w:rPr>
      </w:r>
    </w:p>
    <w:tbl>
      <w:tblPr>
        <w:tblStyle w:val="TableGrid"/>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7"/>
        <w:gridCol w:w="5443"/>
        <w:gridCol w:w="1871"/>
      </w:tblGrid>
      <w:tr>
        <w:trPr>
          <w:cantSplit/>
          <w:tblHeader/>
        </w:trPr>
        <w:tc>
          <w:tcPr>
            <w:tcW w:type="dxa" w:w="1757"/>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研究问题</w:t>
            </w:r>
          </w:p>
        </w:tc>
        <w:tc>
          <w:tcPr>
            <w:tcW w:type="dxa" w:w="5443"/>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一句话回答（据本文核验集合）</w:t>
            </w:r>
          </w:p>
        </w:tc>
        <w:tc>
          <w:tcPr>
            <w:tcW w:type="dxa" w:w="1871"/>
            <w:vAlign w:val="center"/>
            <w:tcMar>
              <w:top w:w="80" w:type="dxa"/>
              <w:bottom w:w="80" w:type="dxa"/>
              <w:left w:w="80" w:type="dxa"/>
              <w:right w:w="80" w:type="dxa"/>
            </w:tcMar>
            <w:shd w:fill="EDEDED"/>
          </w:tcPr>
          <w:p>
            <w:pPr>
              <w:spacing w:line="276" w:lineRule="auto" w:after="0"/>
              <w:jc w:val="center"/>
            </w:pPr>
            <w:r>
              <w:rPr>
                <w:rFonts w:ascii="Times New Roman" w:hAnsi="Times New Roman" w:eastAsia="宋体"/>
                <w:b/>
                <w:sz w:val="18"/>
              </w:rPr>
              <w:t>证据位置</w:t>
            </w:r>
          </w:p>
        </w:tc>
      </w:tr>
      <w:tr>
        <w:trPr>
          <w:cantSplit/>
        </w:trPr>
        <w:tc>
          <w:tcPr>
            <w:tcW w:type="dxa" w:w="175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RQ1 传统软件工程经济学研究了什么</w:t>
            </w:r>
          </w:p>
        </w:tc>
        <w:tc>
          <w:tcPr>
            <w:tcW w:type="dxa" w:w="5443"/>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提供生命周期成本、复杂度、无形资本、多维测量、价值实现和采用传统；本文将其连接为具体的账户归集与比较规则</w:t>
            </w:r>
          </w:p>
        </w:tc>
        <w:tc>
          <w:tcPr>
            <w:tcW w:type="dxa" w:w="187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2.1—2.6</w:t>
            </w:r>
          </w:p>
        </w:tc>
      </w:tr>
      <w:tr>
        <w:trPr>
          <w:cantSplit/>
        </w:trPr>
        <w:tc>
          <w:tcPr>
            <w:tcW w:type="dxa" w:w="175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RQ2 AI的可验证影响</w:t>
            </w:r>
          </w:p>
        </w:tc>
        <w:tc>
          <w:tcPr>
            <w:tcW w:type="dxa" w:w="5443"/>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任务时间、活动量、质量与技能结果并存且方向不一，具有样本、任务与工具版本依赖</w:t>
            </w:r>
          </w:p>
        </w:tc>
        <w:tc>
          <w:tcPr>
            <w:tcW w:type="dxa" w:w="187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2.7、5.4、6.1</w:t>
            </w:r>
          </w:p>
        </w:tc>
      </w:tr>
      <w:tr>
        <w:trPr>
          <w:cantSplit/>
        </w:trPr>
        <w:tc>
          <w:tcPr>
            <w:tcW w:type="dxa" w:w="175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RQ3 指标测量</w:t>
            </w:r>
          </w:p>
        </w:tc>
        <w:tc>
          <w:tcPr>
            <w:tcW w:type="dxa" w:w="5443"/>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任务时间、PR与提交计数、构建成功率、安装下载评分、工时与账单；代理局限需单独声明</w:t>
            </w:r>
          </w:p>
        </w:tc>
        <w:tc>
          <w:tcPr>
            <w:tcW w:type="dxa" w:w="187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4.1、5.2、表2</w:t>
            </w:r>
          </w:p>
        </w:tc>
      </w:tr>
      <w:tr>
        <w:trPr>
          <w:cantSplit/>
        </w:trPr>
        <w:tc>
          <w:tcPr>
            <w:tcW w:type="dxa" w:w="175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RQ4 成本覆盖</w:t>
            </w:r>
          </w:p>
        </w:tc>
        <w:tc>
          <w:tcPr>
            <w:tcW w:type="dxa" w:w="5443"/>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部分环节有有限时间／费用观测；验证与维护有代理，采用有结果线索；完整治理成本与残余损失尚未观测</w:t>
            </w:r>
          </w:p>
        </w:tc>
        <w:tc>
          <w:tcPr>
            <w:tcW w:type="dxa" w:w="187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5.4、5.5、表2</w:t>
            </w:r>
          </w:p>
        </w:tc>
      </w:tr>
      <w:tr>
        <w:trPr>
          <w:cantSplit/>
        </w:trPr>
        <w:tc>
          <w:tcPr>
            <w:tcW w:type="dxa" w:w="175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RQ5 结论不一致的原因</w:t>
            </w:r>
          </w:p>
        </w:tc>
        <w:tc>
          <w:tcPr>
            <w:tcW w:type="dxa" w:w="5443"/>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对象、样本、任务、工具、估计量与时间窗口不同；供应商关联与非随机采用为偏倚评估项；未做七类差异的逐项双人编码</w:t>
            </w:r>
          </w:p>
        </w:tc>
        <w:tc>
          <w:tcPr>
            <w:tcW w:type="dxa" w:w="187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3.8、6.6</w:t>
            </w:r>
          </w:p>
        </w:tc>
      </w:tr>
      <w:tr>
        <w:trPr>
          <w:cantSplit/>
        </w:trPr>
        <w:tc>
          <w:tcPr>
            <w:tcW w:type="dxa" w:w="1757"/>
            <w:vAlign w:val="center"/>
            <w:tcMar>
              <w:top w:w="80" w:type="dxa"/>
              <w:bottom w:w="80" w:type="dxa"/>
              <w:left w:w="80" w:type="dxa"/>
              <w:right w:w="80" w:type="dxa"/>
            </w:tcMar>
          </w:tcPr>
          <w:p>
            <w:pPr>
              <w:spacing w:line="276" w:lineRule="auto" w:after="0"/>
              <w:jc w:val="center"/>
            </w:pPr>
            <w:r>
              <w:rPr>
                <w:rFonts w:ascii="Times New Roman" w:hAnsi="Times New Roman" w:eastAsia="宋体"/>
                <w:b w:val="0"/>
                <w:sz w:val="18"/>
              </w:rPr>
              <w:t>RQ6 证据断层</w:t>
            </w:r>
          </w:p>
        </w:tc>
        <w:tc>
          <w:tcPr>
            <w:tcW w:type="dxa" w:w="5443"/>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L1→L2取决于加速是否经过评审与集成；L2→L3识别不足；L3→L4缺中间变量证据</w:t>
            </w:r>
          </w:p>
        </w:tc>
        <w:tc>
          <w:tcPr>
            <w:tcW w:type="dxa" w:w="1871"/>
            <w:vAlign w:val="center"/>
            <w:tcMar>
              <w:top w:w="80" w:type="dxa"/>
              <w:bottom w:w="80" w:type="dxa"/>
              <w:left w:w="80" w:type="dxa"/>
              <w:right w:w="80" w:type="dxa"/>
            </w:tcMar>
          </w:tcPr>
          <w:p>
            <w:pPr>
              <w:spacing w:line="276" w:lineRule="auto" w:after="0"/>
              <w:jc w:val="left"/>
            </w:pPr>
            <w:r>
              <w:rPr>
                <w:rFonts w:ascii="Times New Roman" w:hAnsi="Times New Roman" w:eastAsia="宋体"/>
                <w:b w:val="0"/>
                <w:sz w:val="18"/>
              </w:rPr>
              <w:t>第6章</w:t>
            </w:r>
          </w:p>
        </w:tc>
      </w:tr>
    </w:tbl>
    <w:p>
      <w:r>
        <w:rPr>
          <w:b w:val="0"/>
        </w:rPr>
        <w:t>重点核验集合支持四个有限结论。第一，AI开发工具对任务时间、活动量、质量与技能的影响不同，具有样本、任务及工具版本依赖。第二，局部产出增长不能直接推出组织净成本下降；Demirer等的跨层相对增幅收窄也不能提升为一般定律。第三，已有分项成本观测及有限用户采用证据，但尚不足以识别完整、同口径的软件生命周期净成本变化。第四，成本再配置仍是待检验命题，净下降、结构变化、风险抵消、多环节改善、范围扩张或框架修正等竞争结果均保持开放。</w:t>
      </w:r>
    </w:p>
    <w:p>
      <w:pPr>
        <w:pStyle w:val="Heading2"/>
      </w:pPr>
      <w:r>
        <w:t>8.2 尚未识别的经济效应</w:t>
      </w:r>
    </w:p>
    <w:p>
      <w:r>
        <w:rPr>
          <w:b w:val="0"/>
        </w:rPr>
        <w:t>现有集合尚不能判定全生命周期净成本变化的方向，也不能识别各分项占比、成本承担主体及发生时间是否系统性改变。评审活动增加属于机制线索，尚不足以说明核心开发者的成本负担已经上升；某环节耗时增加也不等于流程约束转移。AI开发方式对最终用户采用的因果影响和长期维护结果，同样缺少充分证据。</w:t>
      </w:r>
    </w:p>
    <w:p>
      <w:pPr>
        <w:pStyle w:val="Heading2"/>
      </w:pPr>
      <w:r>
        <w:t>8.3 测量与识别困难</w:t>
      </w:r>
    </w:p>
    <w:p>
      <w:r>
        <w:rPr>
          <w:b w:val="0"/>
        </w:rPr>
        <w:t>主要限制来自构念和分析单位不一致、生命周期与维护窗口不足、分项归因和共享费用分摊困难，以及数据公开程度有限。活动代理不能直接换算工时，账单与资源估值不能混为现金支出。理论机制可以指导测量，但不能替代项目数据；本次检索覆盖也不足以证明全领域不存在相应研究。</w:t>
      </w:r>
    </w:p>
    <w:p>
      <w:pPr>
        <w:pStyle w:val="Heading2"/>
      </w:pPr>
      <w:r>
        <w:t>8.4 后续研究方向</w:t>
      </w:r>
    </w:p>
    <w:p>
      <w:r>
        <w:rPr>
          <w:b w:val="0"/>
        </w:rPr>
        <w:t>优先开展组织／项目级直接测量，按4.3账户记录人力与实际费用、明确功能和质量边界，并观察用户实际使用与维护期结果。任务级实验仍可用于识别特定环节的机制，但不能单独回答完整净成本问题。</w:t>
      </w:r>
    </w:p>
    <w:p>
      <w:r>
        <w:rPr>
          <w:b w:val="0"/>
        </w:rPr>
        <w:t>先以小项目试测账户的可归科性与重复率，再预注册前后／对照设计，报告缺失、敏感性与不确定性。对限定项目的总量判断需要相应完整数据，不应将该要求解释为整个领域必须等待本文特定模型方可发表成本研究。</w:t>
      </w:r>
    </w:p>
    <w:p>
      <w:pPr>
        <w:pStyle w:val="Heading2"/>
      </w:pPr>
      <w:r>
        <w:t>8.5 研究局限</w:t>
      </w:r>
    </w:p>
    <w:p>
      <w:r>
        <w:rPr>
          <w:b w:val="0"/>
        </w:rPr>
        <w:t>第一，中文数据库仅执行一组查询并筛查18条记录，直接相关候选尚未取得全文，不能支撑中国语境外推。第二，17项重点核验来源不是穷尽性集合，英文来源沿引用链选取，本文未完成覆盖主要专业数据库的系统综述。第三，关键结果核验没有重跑原始数据，也没有双人独立编码及一致性检验。第四，GitHub—Accenture报告与Cui等研究按潜在研究家族保守聚类，但完全同样本尚未得到证实。</w:t>
      </w:r>
    </w:p>
    <w:p>
      <w:r>
        <w:rPr>
          <w:b w:val="0"/>
        </w:rPr>
        <w:t>第五，TEC属于待试测的操作化框架，表2的可测性判定仅限本文核验集合，公开案例仅演示部分资源账户，本文没有自行采集完整生命周期项目数据。第六，部分传统理论专著的全文可得性有限，本文对相关理论作概念性借鉴，不使用未核验的逐字引文或精确经验比例。以上限制决定了本文主要贡献是测量整合与研究设计，而非对软件总成本变化的最终经验裁决。</w:t>
      </w:r>
    </w:p>
    <w:p>
      <w:pPr>
        <w:pStyle w:val="Heading1"/>
      </w:pPr>
      <w:r>
        <w:t>AI辅助使用声明</w:t>
      </w:r>
    </w:p>
    <w:p>
      <w:r>
        <w:rPr>
          <w:b w:val="0"/>
        </w:rPr>
        <w:t>本研究使用生成式AI辅助文献线索检索、文本提取、证据整理和语言编辑。AI不列为作者，其输出不替代原文核验、独立复现或同行评审；论文的研究责任由作者承担。</w:t>
      </w:r>
    </w:p>
    <w:p>
      <w:pPr>
        <w:pStyle w:val="Heading1"/>
      </w:pPr>
      <w:r>
        <w:t>参考文献</w:t>
      </w:r>
    </w:p>
    <w:p>
      <w:r>
        <w:rPr>
          <w:b w:val="0"/>
        </w:rPr>
        <w:t>本文采用著者—出版年文内引用，参考文献按核心评述集合、伴随来源及理论与方法来源分组。arXiv条目按实际使用的文本著录，预印本标识不代表已完成同行评审；已有期刊或会议发表信息的来源分别注明。</w:t>
      </w:r>
    </w:p>
    <w:p>
      <w:pPr>
        <w:pStyle w:val="Heading2"/>
      </w:pPr>
      <w:r>
        <w:t>A 核心评述集合（17项）</w:t>
      </w:r>
    </w:p>
    <w:p>
      <w:pPr>
        <w:spacing w:line="276" w:lineRule="auto" w:after="80"/>
        <w:ind w:left="340" w:hanging="340"/>
      </w:pPr>
      <w:r>
        <w:rPr>
          <w:b w:val="0"/>
          <w:sz w:val="20"/>
        </w:rPr>
        <w:t>BECKER J, RUSH N, BARNES B, et al. 2025. Measuring the impact of early-2025 AI on experienced open-source developer productivity[EB/OL]. arXiv:2507.09089v2. https://arxiv.org/abs/2507.09089.</w:t>
      </w:r>
    </w:p>
    <w:p>
      <w:pPr>
        <w:spacing w:line="276" w:lineRule="auto" w:after="80"/>
        <w:ind w:left="340" w:hanging="340"/>
      </w:pPr>
      <w:r>
        <w:rPr>
          <w:b w:val="0"/>
          <w:sz w:val="20"/>
        </w:rPr>
        <w:t>BRYNJOLFSSON E, ROCK D, SYVERSON C. 2021. The productivity J-curve: how intangibles complement general purpose technologies[J]. American Economic Journal: Macroeconomics, 13(1): 333-372. DOI:10.1257/mac.20180386.</w:t>
      </w:r>
    </w:p>
    <w:p>
      <w:pPr>
        <w:spacing w:line="276" w:lineRule="auto" w:after="80"/>
        <w:ind w:left="340" w:hanging="340"/>
      </w:pPr>
      <w:r>
        <w:rPr>
          <w:b w:val="0"/>
          <w:sz w:val="20"/>
        </w:rPr>
        <w:t>CUI K Z, DEMIRER M, JAFFE S, et al. 2026. The effects of generative AI on high-skilled work: evidence from three field experiments with software developers[J/OL]. Management Science, 2026-02-27 (online). DOI:10.1287/mnsc.2025.00535.</w:t>
      </w:r>
    </w:p>
    <w:p>
      <w:pPr>
        <w:spacing w:line="276" w:lineRule="auto" w:after="80"/>
        <w:ind w:left="340" w:hanging="340"/>
      </w:pPr>
      <w:r>
        <w:rPr>
          <w:b w:val="0"/>
          <w:sz w:val="20"/>
        </w:rPr>
        <w:t>DEMIRER M, MUSOLFF L, YANG L. 2026. Writing code vs. shipping code: productivity effects across generations of AI coding tools[R/OL]. NBER Working Paper 35275 (2026-05, rev. 2026-09). DOI:10.3386/w35275. https://www.nber.org/system/files/working_papers/w35275/w35275.pdf.</w:t>
      </w:r>
    </w:p>
    <w:p>
      <w:pPr>
        <w:spacing w:line="276" w:lineRule="auto" w:after="80"/>
        <w:ind w:left="340" w:hanging="340"/>
      </w:pPr>
      <w:r>
        <w:rPr>
          <w:b w:val="0"/>
          <w:sz w:val="20"/>
        </w:rPr>
        <w:t>DORA / Google Cloud. 2025. State of AI-assisted software development 2025 (report v2025.2)[R/OL]. https://services.google.com/fh/files/misc/2025_state_of_ai_assisted_software_development.pdf.</w:t>
      </w:r>
    </w:p>
    <w:p>
      <w:pPr>
        <w:spacing w:line="276" w:lineRule="auto" w:after="80"/>
        <w:ind w:left="340" w:hanging="340"/>
      </w:pPr>
      <w:r>
        <w:rPr>
          <w:b w:val="0"/>
          <w:sz w:val="20"/>
        </w:rPr>
        <w:t>EISENREICH T, FRIEDLAENDER N, WAGNER S. 2025. Leveraging large language models for use case model generation from software requirements[EB/OL]. arXiv:2511.09231. https://arxiv.org/abs/2511.09231.</w:t>
      </w:r>
    </w:p>
    <w:p>
      <w:pPr>
        <w:spacing w:line="276" w:lineRule="auto" w:after="80"/>
        <w:ind w:left="340" w:hanging="340"/>
      </w:pPr>
      <w:r>
        <w:rPr>
          <w:b w:val="0"/>
          <w:sz w:val="20"/>
        </w:rPr>
        <w:t>FAROS AI. 2025. The AI productivity paradox[EB/OL]. https://www.faros.ai/blog/ai-software-engineering.</w:t>
      </w:r>
    </w:p>
    <w:p>
      <w:pPr>
        <w:spacing w:line="276" w:lineRule="auto" w:after="80"/>
        <w:ind w:left="340" w:hanging="340"/>
      </w:pPr>
      <w:r>
        <w:rPr>
          <w:b w:val="0"/>
          <w:sz w:val="20"/>
        </w:rPr>
        <w:t>HUMLUM A, VESTERGAARD E. 2025. Large language models, small labor market effects[R/OL]. NBER Working Paper 33777 (2025-05, rev. 2025-10). https://www.nber.org/system/files/working_papers/w33777/revisions/w33777.rev1.pdf.</w:t>
      </w:r>
    </w:p>
    <w:p>
      <w:pPr>
        <w:spacing w:line="276" w:lineRule="auto" w:after="80"/>
        <w:ind w:left="340" w:hanging="340"/>
      </w:pPr>
      <w:r>
        <w:rPr>
          <w:b w:val="0"/>
          <w:sz w:val="20"/>
        </w:rPr>
        <w:t>LIU Y, WIDYASARI R, ZHAO Y, et al. 2026. Debt behind the AI boom: a large-scale empirical study of AI-generated code in the wild[EB/OL]. arXiv:2603.28592v2. https://arxiv.org/abs/2603.28592v2.</w:t>
      </w:r>
    </w:p>
    <w:p>
      <w:pPr>
        <w:spacing w:line="276" w:lineRule="auto" w:after="80"/>
        <w:ind w:left="340" w:hanging="340"/>
      </w:pPr>
      <w:r>
        <w:rPr>
          <w:b w:val="0"/>
          <w:sz w:val="20"/>
        </w:rPr>
        <w:t>NEVES V B M, GAMA K S, GARCIA V C. 2026. Building AI-intensive software with AI: early results and a cautionary tale on measuring development cost[EB/OL]. arXiv:2608.13730v1. https://arxiv.org/abs/2608.13730.</w:t>
      </w:r>
    </w:p>
    <w:p>
      <w:pPr>
        <w:spacing w:line="276" w:lineRule="auto" w:after="80"/>
        <w:ind w:left="340" w:hanging="340"/>
      </w:pPr>
      <w:r>
        <w:rPr>
          <w:b w:val="0"/>
          <w:sz w:val="20"/>
        </w:rPr>
        <w:t>PARADIS E, GREY K, MADISON Q, et al. 2024. How much does AI impact development speed? An enterprise-based randomized controlled trial[EB/OL]. arXiv:2410.12944v3. https://arxiv.org/abs/2410.12944.</w:t>
      </w:r>
    </w:p>
    <w:p>
      <w:pPr>
        <w:spacing w:line="276" w:lineRule="auto" w:after="80"/>
        <w:ind w:left="340" w:hanging="340"/>
      </w:pPr>
      <w:r>
        <w:rPr>
          <w:b w:val="0"/>
          <w:sz w:val="20"/>
        </w:rPr>
        <w:t>PENG S, KALLIAMVAKOU E, CIHON P, et al. 2023. The impact of AI on developer productivity: evidence from GitHub Copilot[EB/OL]. arXiv:2302.06590v1. https://arxiv.org/abs/2302.06590.</w:t>
      </w:r>
    </w:p>
    <w:p>
      <w:pPr>
        <w:spacing w:line="276" w:lineRule="auto" w:after="80"/>
        <w:ind w:left="340" w:hanging="340"/>
      </w:pPr>
      <w:r>
        <w:rPr>
          <w:b w:val="0"/>
          <w:sz w:val="20"/>
        </w:rPr>
        <w:t>PERRY N, SRIVASTAVA M, KUMAR D, et al. 2023. Do users write more insecure code with AI assistants?[C]// Proceedings of ACM CCS 2023: 2785-2799. DOI:10.1145/3576915.3623157. https://arxiv.org/abs/2211.03622v3.</w:t>
      </w:r>
    </w:p>
    <w:p>
      <w:pPr>
        <w:spacing w:line="276" w:lineRule="auto" w:after="80"/>
        <w:ind w:left="340" w:hanging="340"/>
      </w:pPr>
      <w:r>
        <w:rPr>
          <w:b w:val="0"/>
          <w:sz w:val="20"/>
        </w:rPr>
        <w:t>SHEN J H, TAMKIN A. 2026. How AI impacts skill formation[EB/OL]. arXiv:2601.20245. https://arxiv.org/abs/2601.20245.</w:t>
      </w:r>
    </w:p>
    <w:p>
      <w:pPr>
        <w:spacing w:line="276" w:lineRule="auto" w:after="80"/>
        <w:ind w:left="340" w:hanging="340"/>
      </w:pPr>
      <w:r>
        <w:rPr>
          <w:b w:val="0"/>
          <w:sz w:val="20"/>
        </w:rPr>
        <w:t>STRAY V, BRANDTZÆG E G, WIVESTAD V T, et al. 2026. Developer productivity with and without GitHub Copilot: a longitudinal mixed-methods case study[EB/OL]. arXiv:2509.20353v2. https://arxiv.org/abs/2509.20353.</w:t>
      </w:r>
    </w:p>
    <w:p>
      <w:pPr>
        <w:spacing w:line="276" w:lineRule="auto" w:after="80"/>
        <w:ind w:left="340" w:hanging="340"/>
      </w:pPr>
      <w:r>
        <w:rPr>
          <w:b w:val="0"/>
          <w:sz w:val="20"/>
        </w:rPr>
        <w:t>WANG S, YU Y, BARR E, et al. 2026. LLM-powered workflow optimization for multidisciplinary software development: an automotive industry case study[C]// FSE Companion 2026. DOI:10.1145/3803437.3805251. https://arxiv.org/abs/2603.21439.</w:t>
      </w:r>
    </w:p>
    <w:p>
      <w:pPr>
        <w:spacing w:line="276" w:lineRule="auto" w:after="80"/>
        <w:ind w:left="340" w:hanging="340"/>
      </w:pPr>
      <w:r>
        <w:rPr>
          <w:b w:val="0"/>
          <w:sz w:val="20"/>
        </w:rPr>
        <w:t>XU F, MEDAPPA P K, TUNC M M, et al. 2026. AI-assisted programming decreases the productivity of experienced developers by increasing the technical debt and maintenance burden[EB/OL]. arXiv:2510.10165v3. https://arxiv.org/abs/2510.10165.</w:t>
      </w:r>
    </w:p>
    <w:p>
      <w:pPr>
        <w:pStyle w:val="Heading2"/>
      </w:pPr>
      <w:r>
        <w:t>B 伴随来源（2项，不计独立效应）</w:t>
      </w:r>
    </w:p>
    <w:p>
      <w:pPr>
        <w:spacing w:line="276" w:lineRule="auto" w:after="80"/>
        <w:ind w:left="340" w:hanging="340"/>
      </w:pPr>
      <w:r>
        <w:rPr>
          <w:b w:val="0"/>
          <w:sz w:val="20"/>
        </w:rPr>
        <w:t>GitHub, Accenture. 2024. Research: quantifying GitHub Copilot's impact in the enterprise with Accenture[EB/OL]. https://github.blog/news-insights/research/research-quantifying-github-copilots-impact-in-the-enterprise-with-accenture/.</w:t>
      </w:r>
    </w:p>
    <w:p>
      <w:pPr>
        <w:spacing w:line="276" w:lineRule="auto" w:after="80"/>
        <w:ind w:left="340" w:hanging="340"/>
      </w:pPr>
      <w:r>
        <w:rPr>
          <w:b w:val="0"/>
          <w:sz w:val="20"/>
        </w:rPr>
        <w:t>METR. 2026. We are changing our developer productivity experiment design[EB/OL]. 2026-02-24. https://metr.org/blog/2026-02-24-uplift-update/.</w:t>
      </w:r>
    </w:p>
    <w:p>
      <w:pPr>
        <w:pStyle w:val="Heading2"/>
      </w:pPr>
      <w:r>
        <w:t>C 理论与方法来源（9项）</w:t>
      </w:r>
    </w:p>
    <w:p>
      <w:pPr>
        <w:spacing w:line="276" w:lineRule="auto" w:after="80"/>
        <w:ind w:left="340" w:hanging="340"/>
      </w:pPr>
      <w:r>
        <w:rPr>
          <w:b w:val="0"/>
          <w:sz w:val="20"/>
        </w:rPr>
        <w:t>BIFFL S, AURUM A, BOEHM B, et al., eds. 2006. Value-based software engineering[M]. Berlin, Heidelberg: Springer. DOI:10.1007/3-540-29263-2.</w:t>
      </w:r>
    </w:p>
    <w:p>
      <w:pPr>
        <w:spacing w:line="276" w:lineRule="auto" w:after="80"/>
        <w:ind w:left="340" w:hanging="340"/>
      </w:pPr>
      <w:r>
        <w:rPr>
          <w:b w:val="0"/>
          <w:sz w:val="20"/>
        </w:rPr>
        <w:t>BOEHM B W. 1981. Software engineering economics[M]. Englewood Cliffs, NJ: Prentice-Hall. 767 p. ISBN 0-13-822122-7.</w:t>
      </w:r>
    </w:p>
    <w:p>
      <w:pPr>
        <w:spacing w:line="276" w:lineRule="auto" w:after="80"/>
        <w:ind w:left="340" w:hanging="340"/>
      </w:pPr>
      <w:r>
        <w:rPr>
          <w:b w:val="0"/>
          <w:sz w:val="20"/>
        </w:rPr>
        <w:t>BOEHM B W. 2003. Value-based software engineering[J]. ACM SIGSOFT Software Engineering Notes, 28(2): 3. DOI:10.1145/638750.638775.</w:t>
      </w:r>
    </w:p>
    <w:p>
      <w:pPr>
        <w:spacing w:line="276" w:lineRule="auto" w:after="80"/>
        <w:ind w:left="340" w:hanging="340"/>
      </w:pPr>
      <w:r>
        <w:rPr>
          <w:b w:val="0"/>
          <w:sz w:val="20"/>
        </w:rPr>
        <w:t>BOEHM B, BASILI V R. 2001. Software defect reduction top 10 list[J]. IEEE Computer, 34(1): 135-137.</w:t>
      </w:r>
    </w:p>
    <w:p>
      <w:pPr>
        <w:spacing w:line="276" w:lineRule="auto" w:after="80"/>
        <w:ind w:left="340" w:hanging="340"/>
      </w:pPr>
      <w:r>
        <w:rPr>
          <w:b w:val="0"/>
          <w:sz w:val="20"/>
        </w:rPr>
        <w:t>BROOKS F P Jr. 1987. No silver bullet: essence and accidents of software engineering[J]. Computer, 20(4): 10-19. DOI:10.1109/MC.1987.1663532.</w:t>
      </w:r>
    </w:p>
    <w:p>
      <w:pPr>
        <w:spacing w:line="276" w:lineRule="auto" w:after="80"/>
        <w:ind w:left="340" w:hanging="340"/>
      </w:pPr>
      <w:r>
        <w:rPr>
          <w:b w:val="0"/>
          <w:sz w:val="20"/>
        </w:rPr>
        <w:t>DAVIS F D. 1989. Perceived usefulness, perceived ease of use, and user acceptance of information technology[J]. MIS Quarterly, 13(3): 319-340. DOI:10.2307/249008.</w:t>
      </w:r>
    </w:p>
    <w:p>
      <w:pPr>
        <w:spacing w:line="276" w:lineRule="auto" w:after="80"/>
        <w:ind w:left="340" w:hanging="340"/>
      </w:pPr>
      <w:r>
        <w:rPr>
          <w:b w:val="0"/>
          <w:sz w:val="20"/>
        </w:rPr>
        <w:t>FORSGREN N, HUMBLE J, KIM G. 2018. Accelerate: the science of lean software and DevOps[M]. Portland: IT Revolution.</w:t>
      </w:r>
    </w:p>
    <w:p>
      <w:pPr>
        <w:spacing w:line="276" w:lineRule="auto" w:after="80"/>
        <w:ind w:left="340" w:hanging="340"/>
      </w:pPr>
      <w:r>
        <w:rPr>
          <w:b w:val="0"/>
          <w:sz w:val="20"/>
        </w:rPr>
        <w:t>FORSGREN N, STOREY M A, MADDILA C, et al. 2021. The SPACE of developer productivity: there's more to it than you think[J]. ACM Queue, 19(1): 20-48. DOI:10.1145/3454122.3454124.</w:t>
      </w:r>
    </w:p>
    <w:p>
      <w:pPr>
        <w:spacing w:line="276" w:lineRule="auto" w:after="80"/>
        <w:ind w:left="340" w:hanging="340"/>
      </w:pPr>
      <w:r>
        <w:rPr>
          <w:b w:val="0"/>
          <w:sz w:val="20"/>
        </w:rPr>
        <w:t>VENKATESH V, MORRIS M G, DAVIS G B, et al. 2003. User acceptance of information technology: toward a unified view[J]. MIS Quarterly, 27(3): 425-478. DOI:10.2307/30036540.</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AI时代的软件工程经济学 成本再配置的选择性证据评述与测量框架</dc:title>
  <dc:subject>选择性证据评述与测量框架</dc:subject>
  <dc:creator>乔瑞</dc:creator>
  <cp:keywords/>
  <dc:description>generated by python-docx</dc:description>
  <cp:lastModifiedBy>乔瑞</cp:lastModifiedBy>
  <cp:revision>1</cp:revision>
  <dcterms:created xsi:type="dcterms:W3CDTF">2013-12-23T23:15:00Z</dcterms:created>
  <dcterms:modified xsi:type="dcterms:W3CDTF">2013-12-23T23:15:00Z</dcterms:modified>
  <cp:category/>
</cp:coreProperties>
</file>