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53FF" w14:textId="77777777" w:rsidR="00BB074A" w:rsidRDefault="00BB074A">
      <w:pPr>
        <w:rPr>
          <w:rFonts w:ascii="Arial" w:eastAsia="Arial" w:hAnsi="Arial" w:cs="Arial"/>
          <w:sz w:val="32"/>
          <w:szCs w:val="32"/>
          <w:u w:val="single"/>
        </w:rPr>
      </w:pPr>
    </w:p>
    <w:p w14:paraId="603F4FAD" w14:textId="77777777" w:rsidR="00BB074A" w:rsidRDefault="00DC3592">
      <w:pPr>
        <w:spacing w:before="240" w:line="240" w:lineRule="auto"/>
        <w:rPr>
          <w:rFonts w:ascii="Arial" w:eastAsia="Arial" w:hAnsi="Arial" w:cs="Arial"/>
          <w:sz w:val="32"/>
          <w:szCs w:val="32"/>
          <w:u w:val="single"/>
        </w:rPr>
      </w:pPr>
      <w:r>
        <w:rPr>
          <w:noProof/>
        </w:rPr>
        <mc:AlternateContent>
          <mc:Choice Requires="wps">
            <w:drawing>
              <wp:anchor distT="0" distB="0" distL="114300" distR="114300" simplePos="0" relativeHeight="251658240" behindDoc="0" locked="0" layoutInCell="1" hidden="0" allowOverlap="1" wp14:anchorId="3B715B13" wp14:editId="06BFB588">
                <wp:simplePos x="0" y="0"/>
                <wp:positionH relativeFrom="column">
                  <wp:posOffset>-888999</wp:posOffset>
                </wp:positionH>
                <wp:positionV relativeFrom="paragraph">
                  <wp:posOffset>-901699</wp:posOffset>
                </wp:positionV>
                <wp:extent cx="7860461" cy="1439174"/>
                <wp:effectExtent l="0" t="0" r="0" b="0"/>
                <wp:wrapNone/>
                <wp:docPr id="36" name="Rectangle 36"/>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32292F60" w14:textId="77777777" w:rsidR="00BB074A" w:rsidRDefault="00BB074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B715B13" id="Rectangle 36" o:spid="_x0000_s1026" style="position:absolute;margin-left:-70pt;margin-top:-71pt;width:618.95pt;height:113.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" fillcolor="#002060" strokecolor="#5d4876" strokeweight="2pt">
                <v:stroke startarrowwidth="narrow" startarrowlength="short" endarrowwidth="narrow" endarrowlength="short" joinstyle="round"/>
                <v:textbox inset="2.53958mm,2.53958mm,2.53958mm,2.53958mm">
                  <w:txbxContent>
                    <w:p w14:paraId="32292F60" w14:textId="77777777" w:rsidR="00BB074A" w:rsidRDefault="00BB074A">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03A3DCC8" wp14:editId="405984E0">
                <wp:simplePos x="0" y="0"/>
                <wp:positionH relativeFrom="column">
                  <wp:posOffset>-520699</wp:posOffset>
                </wp:positionH>
                <wp:positionV relativeFrom="paragraph">
                  <wp:posOffset>-761999</wp:posOffset>
                </wp:positionV>
                <wp:extent cx="7274763" cy="1158432"/>
                <wp:effectExtent l="0" t="0" r="0" b="0"/>
                <wp:wrapNone/>
                <wp:docPr id="35" name="Rectangle 35"/>
                <wp:cNvGraphicFramePr/>
                <a:graphic xmlns:a="http://schemas.openxmlformats.org/drawingml/2006/main">
                  <a:graphicData uri="http://schemas.microsoft.com/office/word/2010/wordprocessingShape">
                    <wps:wsp>
                      <wps:cNvSpPr/>
                      <wps:spPr>
                        <a:xfrm>
                          <a:off x="1722906" y="3215072"/>
                          <a:ext cx="7246188" cy="1129857"/>
                        </a:xfrm>
                        <a:prstGeom prst="rect">
                          <a:avLst/>
                        </a:prstGeom>
                        <a:noFill/>
                        <a:ln>
                          <a:noFill/>
                        </a:ln>
                      </wps:spPr>
                      <wps:txbx>
                        <w:txbxContent>
                          <w:p w14:paraId="55D66100" w14:textId="77777777" w:rsidR="00BB074A" w:rsidRDefault="00DC3592">
                            <w:pPr>
                              <w:spacing w:line="258" w:lineRule="auto"/>
                              <w:textDirection w:val="btLr"/>
                            </w:pPr>
                            <w:r>
                              <w:rPr>
                                <w:rFonts w:ascii="Arial" w:eastAsia="Arial" w:hAnsi="Arial" w:cs="Arial"/>
                                <w:color w:val="FFFFFF"/>
                                <w:sz w:val="56"/>
                              </w:rPr>
                              <w:t xml:space="preserve">Standard 2: Standardized Assessment Tool </w:t>
                            </w:r>
                          </w:p>
                          <w:p w14:paraId="1C543304" w14:textId="77777777" w:rsidR="00BB074A" w:rsidRDefault="00DC3592">
                            <w:pPr>
                              <w:spacing w:line="258" w:lineRule="auto"/>
                              <w:textDirection w:val="btLr"/>
                            </w:pPr>
                            <w:r>
                              <w:rPr>
                                <w:rFonts w:ascii="Arial" w:eastAsia="Arial" w:hAnsi="Arial" w:cs="Arial"/>
                                <w:color w:val="FFFFFF"/>
                                <w:sz w:val="56"/>
                              </w:rPr>
                              <w:t>(FROG)</w:t>
                            </w:r>
                          </w:p>
                        </w:txbxContent>
                      </wps:txbx>
                      <wps:bodyPr spcFirstLastPara="1" wrap="square" lIns="91425" tIns="45700" rIns="91425" bIns="45700" anchor="t" anchorCtr="0">
                        <a:noAutofit/>
                      </wps:bodyPr>
                    </wps:wsp>
                  </a:graphicData>
                </a:graphic>
              </wp:anchor>
            </w:drawing>
          </mc:Choice>
          <mc:Fallback>
            <w:pict>
              <v:rect w14:anchorId="03A3DCC8" id="Rectangle 35" o:spid="_x0000_s1027" style="position:absolute;margin-left:-41pt;margin-top:-60pt;width:572.8pt;height:9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" filled="f" stroked="f">
                <v:textbox inset="2.53958mm,1.2694mm,2.53958mm,1.2694mm">
                  <w:txbxContent>
                    <w:p w14:paraId="55D66100" w14:textId="77777777" w:rsidR="00BB074A" w:rsidRDefault="00DC3592">
                      <w:pPr>
                        <w:spacing w:line="258" w:lineRule="auto"/>
                        <w:textDirection w:val="btLr"/>
                      </w:pPr>
                      <w:r>
                        <w:rPr>
                          <w:rFonts w:ascii="Arial" w:eastAsia="Arial" w:hAnsi="Arial" w:cs="Arial"/>
                          <w:color w:val="FFFFFF"/>
                          <w:sz w:val="56"/>
                        </w:rPr>
                        <w:t xml:space="preserve">Standard 2: Standardized Assessment Tool </w:t>
                      </w:r>
                    </w:p>
                    <w:p w14:paraId="1C543304" w14:textId="77777777" w:rsidR="00BB074A" w:rsidRDefault="00DC3592">
                      <w:pPr>
                        <w:spacing w:line="258" w:lineRule="auto"/>
                        <w:textDirection w:val="btLr"/>
                      </w:pPr>
                      <w:r>
                        <w:rPr>
                          <w:rFonts w:ascii="Arial" w:eastAsia="Arial" w:hAnsi="Arial" w:cs="Arial"/>
                          <w:color w:val="FFFFFF"/>
                          <w:sz w:val="56"/>
                        </w:rPr>
                        <w:t>(FROG)</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54B6343" wp14:editId="782BCBAA">
                <wp:simplePos x="0" y="0"/>
                <wp:positionH relativeFrom="column">
                  <wp:posOffset>-520699</wp:posOffset>
                </wp:positionH>
                <wp:positionV relativeFrom="paragraph">
                  <wp:posOffset>-761999</wp:posOffset>
                </wp:positionV>
                <wp:extent cx="7274763" cy="1158432"/>
                <wp:effectExtent l="0" t="0" r="0" b="0"/>
                <wp:wrapNone/>
                <wp:docPr id="37" name="Rectangle 37"/>
                <wp:cNvGraphicFramePr/>
                <a:graphic xmlns:a="http://schemas.openxmlformats.org/drawingml/2006/main">
                  <a:graphicData uri="http://schemas.microsoft.com/office/word/2010/wordprocessingShape">
                    <wps:wsp>
                      <wps:cNvSpPr/>
                      <wps:spPr>
                        <a:xfrm>
                          <a:off x="1722906" y="3215072"/>
                          <a:ext cx="7246188" cy="1129857"/>
                        </a:xfrm>
                        <a:prstGeom prst="rect">
                          <a:avLst/>
                        </a:prstGeom>
                        <a:noFill/>
                        <a:ln>
                          <a:noFill/>
                        </a:ln>
                      </wps:spPr>
                      <wps:txbx>
                        <w:txbxContent>
                          <w:p w14:paraId="5D8BBD92" w14:textId="77777777" w:rsidR="00BB074A" w:rsidRDefault="00DC3592">
                            <w:pPr>
                              <w:spacing w:line="258" w:lineRule="auto"/>
                              <w:textDirection w:val="btLr"/>
                            </w:pPr>
                            <w:r>
                              <w:rPr>
                                <w:rFonts w:ascii="Arial" w:eastAsia="Arial" w:hAnsi="Arial" w:cs="Arial"/>
                                <w:color w:val="FFFFFF"/>
                                <w:sz w:val="56"/>
                              </w:rPr>
                              <w:t xml:space="preserve">Standard 2: Standardized Assessment Tool </w:t>
                            </w:r>
                          </w:p>
                          <w:p w14:paraId="54F4720A" w14:textId="77777777" w:rsidR="00BB074A" w:rsidRDefault="00DC3592">
                            <w:pPr>
                              <w:spacing w:line="258" w:lineRule="auto"/>
                              <w:textDirection w:val="btLr"/>
                            </w:pPr>
                            <w:r>
                              <w:rPr>
                                <w:rFonts w:ascii="Arial" w:eastAsia="Arial" w:hAnsi="Arial" w:cs="Arial"/>
                                <w:color w:val="FFFFFF"/>
                                <w:sz w:val="56"/>
                              </w:rPr>
                              <w:t>(FROG)</w:t>
                            </w:r>
                          </w:p>
                        </w:txbxContent>
                      </wps:txbx>
                      <wps:bodyPr spcFirstLastPara="1" wrap="square" lIns="91425" tIns="45700" rIns="91425" bIns="45700" anchor="t" anchorCtr="0">
                        <a:noAutofit/>
                      </wps:bodyPr>
                    </wps:wsp>
                  </a:graphicData>
                </a:graphic>
              </wp:anchor>
            </w:drawing>
          </mc:Choice>
          <mc:Fallback>
            <w:pict>
              <v:rect w14:anchorId="454B6343" id="Rectangle 37" o:spid="_x0000_s1028" style="position:absolute;margin-left:-41pt;margin-top:-60pt;width:572.8pt;height:91.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" filled="f" stroked="f">
                <v:textbox inset="2.53958mm,1.2694mm,2.53958mm,1.2694mm">
                  <w:txbxContent>
                    <w:p w14:paraId="5D8BBD92" w14:textId="77777777" w:rsidR="00BB074A" w:rsidRDefault="00DC3592">
                      <w:pPr>
                        <w:spacing w:line="258" w:lineRule="auto"/>
                        <w:textDirection w:val="btLr"/>
                      </w:pPr>
                      <w:r>
                        <w:rPr>
                          <w:rFonts w:ascii="Arial" w:eastAsia="Arial" w:hAnsi="Arial" w:cs="Arial"/>
                          <w:color w:val="FFFFFF"/>
                          <w:sz w:val="56"/>
                        </w:rPr>
                        <w:t xml:space="preserve">Standard 2: Standardized Assessment Tool </w:t>
                      </w:r>
                    </w:p>
                    <w:p w14:paraId="54F4720A" w14:textId="77777777" w:rsidR="00BB074A" w:rsidRDefault="00DC3592">
                      <w:pPr>
                        <w:spacing w:line="258" w:lineRule="auto"/>
                        <w:textDirection w:val="btLr"/>
                      </w:pPr>
                      <w:r>
                        <w:rPr>
                          <w:rFonts w:ascii="Arial" w:eastAsia="Arial" w:hAnsi="Arial" w:cs="Arial"/>
                          <w:color w:val="FFFFFF"/>
                          <w:sz w:val="56"/>
                        </w:rPr>
                        <w:t>(FROG)</w:t>
                      </w:r>
                    </w:p>
                  </w:txbxContent>
                </v:textbox>
              </v:rect>
            </w:pict>
          </mc:Fallback>
        </mc:AlternateContent>
      </w:r>
    </w:p>
    <w:p w14:paraId="77E08B38" w14:textId="77777777" w:rsidR="00BB074A" w:rsidRDefault="00BB074A">
      <w:pPr>
        <w:spacing w:before="240" w:line="240" w:lineRule="auto"/>
        <w:rPr>
          <w:rFonts w:ascii="Arial" w:eastAsia="Arial" w:hAnsi="Arial" w:cs="Arial"/>
          <w:sz w:val="32"/>
          <w:szCs w:val="32"/>
          <w:u w:val="single"/>
        </w:rPr>
      </w:pPr>
    </w:p>
    <w:p w14:paraId="7C49C858" w14:textId="77777777" w:rsidR="00BB074A" w:rsidRDefault="00DC3592">
      <w:pPr>
        <w:spacing w:before="240" w:line="240" w:lineRule="auto"/>
        <w:rPr>
          <w:b/>
        </w:rPr>
      </w:pPr>
      <w:bookmarkStart w:id="0" w:name="bookmark=id.gjdgxs" w:colFirst="0" w:colLast="0"/>
      <w:bookmarkEnd w:id="0"/>
      <w:r>
        <w:rPr>
          <w:rFonts w:ascii="Arial" w:eastAsia="Arial" w:hAnsi="Arial" w:cs="Arial"/>
          <w:b/>
        </w:rPr>
        <w:t>Use of the Family Resilience Opportunities for Growth</w:t>
      </w:r>
      <w:r>
        <w:rPr>
          <w:rFonts w:ascii="Arial" w:eastAsia="Arial" w:hAnsi="Arial" w:cs="Arial"/>
          <w:b/>
          <w:color w:val="000000"/>
        </w:rPr>
        <w:t xml:space="preserve"> (FROG) </w:t>
      </w:r>
      <w:r>
        <w:rPr>
          <w:rFonts w:ascii="Arial" w:eastAsia="Arial" w:hAnsi="Arial" w:cs="Arial"/>
          <w:b/>
        </w:rPr>
        <w:t>Scale</w:t>
      </w:r>
      <w:r>
        <w:rPr>
          <w:rFonts w:ascii="Arial" w:eastAsia="Arial" w:hAnsi="Arial" w:cs="Arial"/>
          <w:b/>
          <w:color w:val="000000"/>
        </w:rPr>
        <w:t xml:space="preserve"> </w:t>
      </w:r>
      <w:r>
        <w:rPr>
          <w:b/>
        </w:rPr>
        <w:tab/>
      </w:r>
    </w:p>
    <w:p w14:paraId="3597D27A" w14:textId="77777777" w:rsidR="00BB074A" w:rsidRDefault="00DC3592">
      <w:pPr>
        <w:spacing w:before="240" w:line="240" w:lineRule="auto"/>
        <w:rPr>
          <w:b/>
          <w:shd w:val="clear" w:color="auto" w:fill="93C47D"/>
        </w:rPr>
      </w:pPr>
      <w:r>
        <w:rPr>
          <w:rFonts w:ascii="Arial" w:eastAsia="Arial" w:hAnsi="Arial" w:cs="Arial"/>
          <w:color w:val="000000"/>
          <w:shd w:val="clear" w:color="auto" w:fill="93C47D"/>
        </w:rPr>
        <w:t>(EFFECTIVE</w:t>
      </w:r>
      <w:r>
        <w:rPr>
          <w:rFonts w:ascii="Arial" w:eastAsia="Arial" w:hAnsi="Arial" w:cs="Arial"/>
          <w:shd w:val="clear" w:color="auto" w:fill="93C47D"/>
        </w:rPr>
        <w:t xml:space="preserve"> 11/27/2024</w:t>
      </w:r>
      <w:r>
        <w:rPr>
          <w:rFonts w:ascii="Arial" w:eastAsia="Arial" w:hAnsi="Arial" w:cs="Arial"/>
          <w:color w:val="000000"/>
          <w:shd w:val="clear" w:color="auto" w:fill="93C47D"/>
        </w:rPr>
        <w:t>)</w:t>
      </w:r>
    </w:p>
    <w:p w14:paraId="1C726B90" w14:textId="77777777" w:rsidR="00BB074A" w:rsidRDefault="00DC3592">
      <w:pPr>
        <w:spacing w:line="240" w:lineRule="auto"/>
        <w:rPr>
          <w:rFonts w:ascii="Arial" w:eastAsia="Arial" w:hAnsi="Arial" w:cs="Arial"/>
          <w:color w:val="000000"/>
        </w:rPr>
      </w:pPr>
      <w:r>
        <w:rPr>
          <w:rFonts w:ascii="Arial" w:eastAsia="Arial" w:hAnsi="Arial" w:cs="Arial"/>
          <w:b/>
          <w:color w:val="000000"/>
        </w:rPr>
        <w:t>HFA Best Practice Standard 2-</w:t>
      </w:r>
      <w:proofErr w:type="gramStart"/>
      <w:r>
        <w:rPr>
          <w:rFonts w:ascii="Arial" w:eastAsia="Arial" w:hAnsi="Arial" w:cs="Arial"/>
          <w:b/>
          <w:color w:val="000000"/>
        </w:rPr>
        <w:t>1.A</w:t>
      </w:r>
      <w:proofErr w:type="gramEnd"/>
    </w:p>
    <w:p w14:paraId="6C953399" w14:textId="77777777" w:rsidR="00BB074A" w:rsidRDefault="00DC3592">
      <w:pPr>
        <w:spacing w:before="240"/>
        <w:jc w:val="both"/>
        <w:rPr>
          <w:rFonts w:ascii="Arial" w:eastAsia="Arial" w:hAnsi="Arial" w:cs="Arial"/>
        </w:rPr>
      </w:pPr>
      <w:r>
        <w:rPr>
          <w:rFonts w:ascii="Arial" w:eastAsia="Arial" w:hAnsi="Arial" w:cs="Arial"/>
          <w:b/>
          <w:color w:val="000000"/>
        </w:rPr>
        <w:t xml:space="preserve">POLICY: </w:t>
      </w:r>
      <w:r>
        <w:rPr>
          <w:rFonts w:ascii="Arial" w:eastAsia="Arial" w:hAnsi="Arial" w:cs="Arial"/>
          <w:b/>
          <w:color w:val="000000"/>
          <w:shd w:val="clear" w:color="auto" w:fill="93C47D"/>
        </w:rPr>
        <w:t xml:space="preserve">The FROG Scale is administered to identify risk and protective factors that could contribute to or </w:t>
      </w:r>
      <w:proofErr w:type="gramStart"/>
      <w:r>
        <w:rPr>
          <w:rFonts w:ascii="Arial" w:eastAsia="Arial" w:hAnsi="Arial" w:cs="Arial"/>
          <w:b/>
          <w:shd w:val="clear" w:color="auto" w:fill="93C47D"/>
        </w:rPr>
        <w:t xml:space="preserve">mitigate </w:t>
      </w:r>
      <w:r>
        <w:rPr>
          <w:rFonts w:ascii="Arial" w:eastAsia="Arial" w:hAnsi="Arial" w:cs="Arial"/>
          <w:b/>
          <w:color w:val="000000"/>
          <w:shd w:val="clear" w:color="auto" w:fill="93C47D"/>
        </w:rPr>
        <w:t xml:space="preserve"> increased</w:t>
      </w:r>
      <w:proofErr w:type="gramEnd"/>
      <w:r>
        <w:rPr>
          <w:rFonts w:ascii="Arial" w:eastAsia="Arial" w:hAnsi="Arial" w:cs="Arial"/>
          <w:b/>
          <w:color w:val="000000"/>
          <w:shd w:val="clear" w:color="auto" w:fill="93C47D"/>
        </w:rPr>
        <w:t xml:space="preserve"> risk for child maltreatment or other adverse childhood experiences. </w:t>
      </w:r>
      <w:r>
        <w:rPr>
          <w:rFonts w:ascii="Arial" w:eastAsia="Arial" w:hAnsi="Arial" w:cs="Arial"/>
          <w:b/>
          <w:color w:val="000000"/>
        </w:rPr>
        <w:t>The policy and procedures also require documentation of these risk and protective factors be completed in narrative format that fully describes the concerns, needs, and strengths expressed by the parent(s) during the FROG Scale conversation, and all items are scored in accordance with the guidelines of the tool. The policy and procedures specify who is responsible for administering the tool and the timeframe for completing the na</w:t>
      </w:r>
      <w:r>
        <w:rPr>
          <w:rFonts w:ascii="Arial" w:eastAsia="Arial" w:hAnsi="Arial" w:cs="Arial"/>
          <w:b/>
          <w:color w:val="000000"/>
        </w:rPr>
        <w:t>rrative, including supervisor review</w:t>
      </w:r>
      <w:r>
        <w:rPr>
          <w:rFonts w:ascii="Arial" w:eastAsia="Arial" w:hAnsi="Arial" w:cs="Arial"/>
          <w:color w:val="000000"/>
        </w:rPr>
        <w:t xml:space="preserve">. </w:t>
      </w:r>
    </w:p>
    <w:p w14:paraId="32E96EF1" w14:textId="77777777" w:rsidR="00BB074A" w:rsidRDefault="00DC3592">
      <w:pPr>
        <w:spacing w:before="240"/>
        <w:jc w:val="both"/>
        <w:rPr>
          <w:rFonts w:ascii="Arial" w:eastAsia="Arial" w:hAnsi="Arial" w:cs="Arial"/>
          <w:u w:val="single"/>
        </w:rPr>
      </w:pPr>
      <w:r>
        <w:rPr>
          <w:rFonts w:ascii="Arial" w:eastAsia="Arial" w:hAnsi="Arial" w:cs="Arial"/>
          <w:u w:val="single"/>
        </w:rPr>
        <w:t>HFNY Policy Guidelines</w:t>
      </w:r>
    </w:p>
    <w:p w14:paraId="4051DEDB" w14:textId="77777777" w:rsidR="00BB074A" w:rsidRDefault="00DC3592">
      <w:pPr>
        <w:numPr>
          <w:ilvl w:val="0"/>
          <w:numId w:val="3"/>
        </w:numPr>
        <w:spacing w:after="0" w:line="276" w:lineRule="auto"/>
        <w:jc w:val="both"/>
        <w:rPr>
          <w:rFonts w:ascii="Arial" w:eastAsia="Arial" w:hAnsi="Arial" w:cs="Arial"/>
          <w:color w:val="000000"/>
        </w:rPr>
      </w:pPr>
      <w:r>
        <w:rPr>
          <w:rFonts w:ascii="Arial" w:eastAsia="Arial" w:hAnsi="Arial" w:cs="Arial"/>
          <w:color w:val="000000"/>
        </w:rPr>
        <w:t>Sites use the FROG Scale to assess the presence of various factors associated with increased risk of adverse childhood experiences</w:t>
      </w:r>
      <w:r>
        <w:rPr>
          <w:rFonts w:ascii="Arial" w:eastAsia="Arial" w:hAnsi="Arial" w:cs="Arial"/>
        </w:rPr>
        <w:t xml:space="preserve"> </w:t>
      </w:r>
      <w:r>
        <w:rPr>
          <w:rFonts w:ascii="Arial" w:eastAsia="Arial" w:hAnsi="Arial" w:cs="Arial"/>
          <w:color w:val="000000"/>
        </w:rPr>
        <w:t>and support the development of a service plan that meets the unique needs of each family.</w:t>
      </w:r>
    </w:p>
    <w:p w14:paraId="1FDF4017" w14:textId="77777777" w:rsidR="00BB074A" w:rsidRDefault="00DC3592">
      <w:pPr>
        <w:numPr>
          <w:ilvl w:val="0"/>
          <w:numId w:val="3"/>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The FROG Scale is completed after enrollment, typically occurring at the first home visit, ideally within a single visit, but in no more than two visits (within 30 days of enrollment). </w:t>
      </w:r>
    </w:p>
    <w:p w14:paraId="52AA859A" w14:textId="77777777" w:rsidR="00BB074A" w:rsidRDefault="00DC3592">
      <w:pPr>
        <w:numPr>
          <w:ilvl w:val="0"/>
          <w:numId w:val="3"/>
        </w:numPr>
        <w:spacing w:after="0" w:line="276" w:lineRule="auto"/>
        <w:jc w:val="both"/>
        <w:rPr>
          <w:rFonts w:ascii="Arial" w:eastAsia="Arial" w:hAnsi="Arial" w:cs="Arial"/>
          <w:color w:val="000000"/>
        </w:rPr>
      </w:pPr>
      <w:r>
        <w:rPr>
          <w:rFonts w:ascii="Arial" w:eastAsia="Arial" w:hAnsi="Arial" w:cs="Arial"/>
          <w:color w:val="000000"/>
        </w:rPr>
        <w:t>The FROG Scale is completed for the parents (or primary caregivers) present in a relationship-building, conversational style. Efforts are made to complete the FROG Scale with both parents (or primary caregivers).</w:t>
      </w:r>
    </w:p>
    <w:p w14:paraId="72D43737" w14:textId="77777777" w:rsidR="00BB074A" w:rsidRDefault="00DC3592">
      <w:pPr>
        <w:numPr>
          <w:ilvl w:val="0"/>
          <w:numId w:val="3"/>
        </w:numPr>
        <w:spacing w:after="0" w:line="276" w:lineRule="auto"/>
        <w:rPr>
          <w:rFonts w:ascii="Arial" w:eastAsia="Arial" w:hAnsi="Arial" w:cs="Arial"/>
          <w:color w:val="000000"/>
        </w:rPr>
      </w:pPr>
      <w:r>
        <w:rPr>
          <w:rFonts w:ascii="Arial" w:eastAsia="Arial" w:hAnsi="Arial" w:cs="Arial"/>
          <w:color w:val="000000"/>
        </w:rPr>
        <w:t>The FROG Scale is administered objectively and reliably according to the FROG training.</w:t>
      </w:r>
    </w:p>
    <w:p w14:paraId="525723C1" w14:textId="77777777" w:rsidR="00BB074A" w:rsidRDefault="00DC3592">
      <w:pPr>
        <w:numPr>
          <w:ilvl w:val="0"/>
          <w:numId w:val="3"/>
        </w:numPr>
        <w:spacing w:after="0" w:line="276" w:lineRule="auto"/>
        <w:rPr>
          <w:rFonts w:ascii="Arial" w:eastAsia="Arial" w:hAnsi="Arial" w:cs="Arial"/>
        </w:rPr>
      </w:pPr>
      <w:r>
        <w:rPr>
          <w:rFonts w:ascii="Arial" w:eastAsia="Arial" w:hAnsi="Arial" w:cs="Arial"/>
          <w:color w:val="000000"/>
        </w:rPr>
        <w:t>Responses from parents (or partner/significant other) present at the FROG visit are scored</w:t>
      </w:r>
      <w:r>
        <w:rPr>
          <w:rFonts w:ascii="Arial" w:eastAsia="Arial" w:hAnsi="Arial" w:cs="Arial"/>
        </w:rPr>
        <w:t xml:space="preserve"> </w:t>
      </w:r>
      <w:r>
        <w:rPr>
          <w:rFonts w:ascii="Arial" w:eastAsia="Arial" w:hAnsi="Arial" w:cs="Arial"/>
          <w:color w:val="000000"/>
        </w:rPr>
        <w:t>(0-4 or U (unknown)) in all domains the parent shared information for. When a domain is not</w:t>
      </w:r>
      <w:r>
        <w:rPr>
          <w:rFonts w:ascii="Arial" w:eastAsia="Arial" w:hAnsi="Arial" w:cs="Arial"/>
        </w:rPr>
        <w:t xml:space="preserve"> </w:t>
      </w:r>
      <w:r>
        <w:rPr>
          <w:rFonts w:ascii="Arial" w:eastAsia="Arial" w:hAnsi="Arial" w:cs="Arial"/>
          <w:color w:val="000000"/>
        </w:rPr>
        <w:t xml:space="preserve">explored for a person who was present at the FROG visit, score is U (unknown) and documentation includes reason for score; for example, "FRS did not ask." or "Lack of information gathered made it unable to rate." Domains scored U (unknown) can be entered on the service plan for further exploration. </w:t>
      </w:r>
    </w:p>
    <w:p w14:paraId="740376CE" w14:textId="77777777" w:rsidR="00BB074A" w:rsidRDefault="00DC3592">
      <w:pPr>
        <w:numPr>
          <w:ilvl w:val="0"/>
          <w:numId w:val="3"/>
        </w:numPr>
        <w:spacing w:after="0" w:line="276" w:lineRule="auto"/>
        <w:rPr>
          <w:rFonts w:ascii="Arial" w:eastAsia="Arial" w:hAnsi="Arial" w:cs="Arial"/>
        </w:rPr>
      </w:pPr>
      <w:r>
        <w:rPr>
          <w:rFonts w:ascii="Arial" w:eastAsia="Arial" w:hAnsi="Arial" w:cs="Arial"/>
        </w:rPr>
        <w:t>T</w:t>
      </w:r>
      <w:r>
        <w:rPr>
          <w:rFonts w:ascii="Arial" w:eastAsia="Arial" w:hAnsi="Arial" w:cs="Arial"/>
          <w:color w:val="000000"/>
        </w:rPr>
        <w:t>he FROG Scale narrative is documented in the HFNY FROG Scale Narrative Form, scor</w:t>
      </w:r>
      <w:r>
        <w:rPr>
          <w:rFonts w:ascii="Arial" w:eastAsia="Arial" w:hAnsi="Arial" w:cs="Arial"/>
        </w:rPr>
        <w:t>e</w:t>
      </w:r>
      <w:r>
        <w:rPr>
          <w:rFonts w:ascii="Arial" w:eastAsia="Arial" w:hAnsi="Arial" w:cs="Arial"/>
          <w:color w:val="000000"/>
        </w:rPr>
        <w:t>d, and submitted in the MIS to the supervisor for review within 2 business days.</w:t>
      </w:r>
    </w:p>
    <w:p w14:paraId="43F1B8EB" w14:textId="77777777" w:rsidR="00BB074A" w:rsidRDefault="00DC3592">
      <w:pPr>
        <w:numPr>
          <w:ilvl w:val="1"/>
          <w:numId w:val="3"/>
        </w:numPr>
        <w:spacing w:after="0" w:line="276" w:lineRule="auto"/>
        <w:rPr>
          <w:rFonts w:ascii="Arial" w:eastAsia="Arial" w:hAnsi="Arial" w:cs="Arial"/>
        </w:rPr>
      </w:pPr>
      <w:r>
        <w:rPr>
          <w:rFonts w:ascii="Arial" w:eastAsia="Arial" w:hAnsi="Arial" w:cs="Arial"/>
        </w:rPr>
        <w:t xml:space="preserve">Visit(s) where the FROG is administered will need to be recorded in the Home Visit Log. </w:t>
      </w:r>
    </w:p>
    <w:p w14:paraId="2B4FE16B" w14:textId="77777777" w:rsidR="00BB074A" w:rsidRDefault="00DC3592">
      <w:pPr>
        <w:numPr>
          <w:ilvl w:val="0"/>
          <w:numId w:val="3"/>
        </w:numPr>
        <w:spacing w:after="0" w:line="276" w:lineRule="auto"/>
        <w:rPr>
          <w:rFonts w:ascii="Arial" w:eastAsia="Arial" w:hAnsi="Arial" w:cs="Arial"/>
        </w:rPr>
      </w:pPr>
      <w:r>
        <w:rPr>
          <w:rFonts w:ascii="Arial" w:eastAsia="Arial" w:hAnsi="Arial" w:cs="Arial"/>
          <w:color w:val="000000"/>
        </w:rPr>
        <w:t>Supervisors review all FROG Scale narratives. These reviews may be completed outside of regular supervision times to ensure that the supervisor reviews them in a timely manner. Any subsequent changes are reflected in a finalized FROG Scale narrative. Supervisors have 3 business days from submission to review, finalize, approve the FROG Scale narratives, and</w:t>
      </w:r>
      <w:r>
        <w:rPr>
          <w:rFonts w:ascii="Arial" w:eastAsia="Arial" w:hAnsi="Arial" w:cs="Arial"/>
        </w:rPr>
        <w:t xml:space="preserve"> ensure that the </w:t>
      </w:r>
      <w:r>
        <w:rPr>
          <w:rFonts w:ascii="Arial" w:eastAsia="Arial" w:hAnsi="Arial" w:cs="Arial"/>
          <w:color w:val="000000"/>
        </w:rPr>
        <w:t xml:space="preserve">appropriate staff </w:t>
      </w:r>
      <w:r>
        <w:rPr>
          <w:rFonts w:ascii="Arial" w:eastAsia="Arial" w:hAnsi="Arial" w:cs="Arial"/>
        </w:rPr>
        <w:t>has been assigned</w:t>
      </w:r>
      <w:r>
        <w:rPr>
          <w:rFonts w:ascii="Arial" w:eastAsia="Arial" w:hAnsi="Arial" w:cs="Arial"/>
          <w:color w:val="000000"/>
        </w:rPr>
        <w:t xml:space="preserve">. </w:t>
      </w:r>
    </w:p>
    <w:p w14:paraId="32879BBD" w14:textId="77777777" w:rsidR="00BB074A" w:rsidRDefault="00DC3592">
      <w:pPr>
        <w:numPr>
          <w:ilvl w:val="0"/>
          <w:numId w:val="3"/>
        </w:numPr>
        <w:spacing w:after="0" w:line="276" w:lineRule="auto"/>
        <w:rPr>
          <w:rFonts w:ascii="Arial" w:eastAsia="Arial" w:hAnsi="Arial" w:cs="Arial"/>
          <w:color w:val="000000"/>
        </w:rPr>
      </w:pPr>
      <w:r>
        <w:rPr>
          <w:rFonts w:ascii="Arial" w:eastAsia="Arial" w:hAnsi="Arial" w:cs="Arial"/>
          <w:color w:val="000000"/>
        </w:rPr>
        <w:t>The narrative includes details of the family’s strengths, protective factors, concerns, and needs as determined by the FROG Scale.</w:t>
      </w:r>
    </w:p>
    <w:p w14:paraId="176E81A5" w14:textId="77777777" w:rsidR="00BB074A" w:rsidRDefault="00DC3592">
      <w:pPr>
        <w:numPr>
          <w:ilvl w:val="0"/>
          <w:numId w:val="3"/>
        </w:numPr>
        <w:spacing w:after="0" w:line="276" w:lineRule="auto"/>
        <w:rPr>
          <w:rFonts w:ascii="Arial" w:eastAsia="Arial" w:hAnsi="Arial" w:cs="Arial"/>
          <w:color w:val="000000"/>
        </w:rPr>
      </w:pPr>
      <w:r>
        <w:rPr>
          <w:rFonts w:ascii="Arial" w:eastAsia="Arial" w:hAnsi="Arial" w:cs="Arial"/>
          <w:color w:val="000000"/>
        </w:rPr>
        <w:t xml:space="preserve">Staff who administer the tool participate in regularly scheduled supervision with their supervisor to review and confirm documentation is complete and scoring is discussed. Staff are supported with building skills that ensure FROG Scale conversations are done in a manner that builds relationships and is respectful, culturally responsive, and strength based. </w:t>
      </w:r>
      <w:r>
        <w:rPr>
          <w:rFonts w:ascii="Arial" w:eastAsia="Arial" w:hAnsi="Arial" w:cs="Arial"/>
          <w:color w:val="000000"/>
          <w:shd w:val="clear" w:color="auto" w:fill="93C47D"/>
        </w:rPr>
        <w:t>Supervisors observe staff conducting the FROG Scale. See GA-</w:t>
      </w:r>
      <w:proofErr w:type="gramStart"/>
      <w:r>
        <w:rPr>
          <w:rFonts w:ascii="Arial" w:eastAsia="Arial" w:hAnsi="Arial" w:cs="Arial"/>
          <w:color w:val="000000"/>
          <w:shd w:val="clear" w:color="auto" w:fill="93C47D"/>
        </w:rPr>
        <w:t>2.A</w:t>
      </w:r>
      <w:proofErr w:type="gramEnd"/>
      <w:r>
        <w:rPr>
          <w:rFonts w:ascii="Arial" w:eastAsia="Arial" w:hAnsi="Arial" w:cs="Arial"/>
          <w:color w:val="000000"/>
          <w:shd w:val="clear" w:color="auto" w:fill="93C47D"/>
        </w:rPr>
        <w:t xml:space="preserve"> for observation re</w:t>
      </w:r>
      <w:r>
        <w:rPr>
          <w:rFonts w:ascii="Arial" w:eastAsia="Arial" w:hAnsi="Arial" w:cs="Arial"/>
          <w:shd w:val="clear" w:color="auto" w:fill="93C47D"/>
        </w:rPr>
        <w:t>quirements.</w:t>
      </w:r>
    </w:p>
    <w:p w14:paraId="05706492" w14:textId="77777777" w:rsidR="00BB074A" w:rsidRDefault="00DC3592">
      <w:pPr>
        <w:numPr>
          <w:ilvl w:val="0"/>
          <w:numId w:val="3"/>
        </w:numPr>
        <w:spacing w:after="0" w:line="276" w:lineRule="auto"/>
        <w:rPr>
          <w:rFonts w:ascii="Arial" w:eastAsia="Arial" w:hAnsi="Arial" w:cs="Arial"/>
          <w:color w:val="000000"/>
        </w:rPr>
      </w:pPr>
      <w:r>
        <w:rPr>
          <w:rFonts w:ascii="Arial" w:eastAsia="Arial" w:hAnsi="Arial" w:cs="Arial"/>
          <w:color w:val="000000"/>
        </w:rPr>
        <w:t>Prior to using the FROG Scale, all staff with responsibility for administering the tool and their supervisors will complete FROG Scale training conducted by a certified Healthy Families America FROG Trainer (or the HFA Hop Up for staff previously trained in the Parent Survey).</w:t>
      </w:r>
    </w:p>
    <w:p w14:paraId="43CEEF69" w14:textId="77777777" w:rsidR="00BB074A" w:rsidRDefault="00DC3592">
      <w:pPr>
        <w:numPr>
          <w:ilvl w:val="0"/>
          <w:numId w:val="3"/>
        </w:numPr>
        <w:spacing w:after="120" w:line="276" w:lineRule="auto"/>
        <w:rPr>
          <w:rFonts w:ascii="Arial" w:eastAsia="Arial" w:hAnsi="Arial" w:cs="Arial"/>
          <w:color w:val="000000"/>
        </w:rPr>
      </w:pPr>
      <w:r>
        <w:rPr>
          <w:rFonts w:ascii="Arial" w:eastAsia="Arial" w:hAnsi="Arial" w:cs="Arial"/>
          <w:color w:val="000000"/>
        </w:rPr>
        <w:t>Information collected from the FROG Scale is documented on the Service Plan for initial and ongoing service planning.</w:t>
      </w:r>
    </w:p>
    <w:p w14:paraId="74C355B9" w14:textId="77777777" w:rsidR="00BB074A" w:rsidRDefault="00BB074A">
      <w:pPr>
        <w:spacing w:line="240" w:lineRule="auto"/>
        <w:rPr>
          <w:rFonts w:ascii="Arial" w:eastAsia="Arial" w:hAnsi="Arial" w:cs="Arial"/>
        </w:rPr>
      </w:pPr>
    </w:p>
    <w:p w14:paraId="04BC9E76" w14:textId="77777777" w:rsidR="00BB074A" w:rsidRDefault="00DC3592">
      <w:pPr>
        <w:spacing w:line="240" w:lineRule="auto"/>
        <w:rPr>
          <w:rFonts w:ascii="Arial" w:eastAsia="Arial" w:hAnsi="Arial" w:cs="Arial"/>
        </w:rPr>
      </w:pPr>
      <w:r>
        <w:pict w14:anchorId="43314027">
          <v:rect id="_x0000_i1025" style="width:0;height:1.5pt" o:hralign="center" o:hrstd="t" o:hr="t" fillcolor="#a0a0a0" stroked="f"/>
        </w:pict>
      </w:r>
    </w:p>
    <w:p w14:paraId="5317B8E8" w14:textId="77777777" w:rsidR="00BB074A" w:rsidRDefault="00DC3592">
      <w:pPr>
        <w:spacing w:before="240"/>
        <w:rPr>
          <w:rFonts w:ascii="Arial" w:eastAsia="Arial" w:hAnsi="Arial" w:cs="Arial"/>
          <w:color w:val="000000"/>
        </w:rPr>
      </w:pPr>
      <w:r>
        <w:rPr>
          <w:rFonts w:ascii="Arial" w:eastAsia="Arial" w:hAnsi="Arial" w:cs="Arial"/>
          <w:b/>
        </w:rPr>
        <w:t>The site will adhere to all NYS policy guidelines specified above</w:t>
      </w:r>
      <w:r>
        <w:rPr>
          <w:rFonts w:ascii="Arial" w:eastAsia="Arial" w:hAnsi="Arial" w:cs="Arial"/>
          <w:b/>
          <w:vertAlign w:val="superscript"/>
        </w:rPr>
        <w:footnoteReference w:id="1"/>
      </w:r>
      <w:r>
        <w:rPr>
          <w:rFonts w:ascii="Arial" w:eastAsia="Arial" w:hAnsi="Arial" w:cs="Arial"/>
          <w:b/>
        </w:rPr>
        <w:t>. In addition, please insert site-specific procedures below that include</w:t>
      </w:r>
      <w:r>
        <w:rPr>
          <w:rFonts w:ascii="Arial" w:eastAsia="Arial" w:hAnsi="Arial" w:cs="Arial"/>
          <w:b/>
          <w:color w:val="000000"/>
        </w:rPr>
        <w:t>:</w:t>
      </w:r>
    </w:p>
    <w:p w14:paraId="501D8448" w14:textId="77777777" w:rsidR="00BB074A" w:rsidRDefault="00DC3592">
      <w:pPr>
        <w:numPr>
          <w:ilvl w:val="0"/>
          <w:numId w:val="1"/>
        </w:numPr>
        <w:pBdr>
          <w:top w:val="nil"/>
          <w:left w:val="nil"/>
          <w:bottom w:val="nil"/>
          <w:right w:val="nil"/>
          <w:between w:val="nil"/>
        </w:pBdr>
        <w:spacing w:after="0" w:line="276" w:lineRule="auto"/>
        <w:rPr>
          <w:rFonts w:ascii="Arial" w:eastAsia="Arial" w:hAnsi="Arial" w:cs="Arial"/>
        </w:rPr>
      </w:pPr>
      <w:r>
        <w:rPr>
          <w:rFonts w:ascii="Arial" w:eastAsia="Arial" w:hAnsi="Arial" w:cs="Arial"/>
          <w:color w:val="000000"/>
        </w:rPr>
        <w:t>A description of how, prior to using the FROG, all staff administering the tool and their</w:t>
      </w:r>
      <w:r>
        <w:rPr>
          <w:rFonts w:ascii="Arial" w:eastAsia="Arial" w:hAnsi="Arial" w:cs="Arial"/>
        </w:rPr>
        <w:t xml:space="preserve"> </w:t>
      </w:r>
      <w:r>
        <w:rPr>
          <w:rFonts w:ascii="Arial" w:eastAsia="Arial" w:hAnsi="Arial" w:cs="Arial"/>
          <w:color w:val="000000"/>
        </w:rPr>
        <w:t>supervisors will complete the appropriate required training.</w:t>
      </w:r>
    </w:p>
    <w:p w14:paraId="17689C7E" w14:textId="77777777" w:rsidR="00BB074A" w:rsidRDefault="00DC3592">
      <w:pPr>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time frame for administration of the FROG Scale (see time frames identified in guidelines above). </w:t>
      </w:r>
    </w:p>
    <w:p w14:paraId="23485B8D" w14:textId="77777777" w:rsidR="00BB074A" w:rsidRDefault="00DC3592">
      <w:pPr>
        <w:numPr>
          <w:ilvl w:val="0"/>
          <w:numId w:val="1"/>
        </w:numPr>
        <w:spacing w:after="0" w:line="276" w:lineRule="auto"/>
        <w:rPr>
          <w:rFonts w:ascii="Arial" w:eastAsia="Arial" w:hAnsi="Arial" w:cs="Arial"/>
          <w:color w:val="000000"/>
        </w:rPr>
      </w:pPr>
      <w:r>
        <w:rPr>
          <w:rFonts w:ascii="Arial" w:eastAsia="Arial" w:hAnsi="Arial" w:cs="Arial"/>
          <w:color w:val="000000"/>
        </w:rPr>
        <w:t>A description of who is responsible for administering the FROG Scale.</w:t>
      </w:r>
    </w:p>
    <w:p w14:paraId="29ECF888" w14:textId="77777777" w:rsidR="00BB074A" w:rsidRDefault="00DC3592">
      <w:pPr>
        <w:numPr>
          <w:ilvl w:val="0"/>
          <w:numId w:val="1"/>
        </w:numPr>
        <w:spacing w:after="0" w:line="276" w:lineRule="auto"/>
        <w:rPr>
          <w:rFonts w:ascii="Arial" w:eastAsia="Arial" w:hAnsi="Arial" w:cs="Arial"/>
        </w:rPr>
      </w:pPr>
      <w:r>
        <w:rPr>
          <w:rFonts w:ascii="Arial" w:eastAsia="Arial" w:hAnsi="Arial" w:cs="Arial"/>
          <w:color w:val="000000"/>
        </w:rPr>
        <w:t>What efforts are made to engage both parents and how responses from parents ar</w:t>
      </w:r>
      <w:r>
        <w:rPr>
          <w:rFonts w:ascii="Arial" w:eastAsia="Arial" w:hAnsi="Arial" w:cs="Arial"/>
        </w:rPr>
        <w:t xml:space="preserve">e </w:t>
      </w:r>
      <w:r>
        <w:rPr>
          <w:rFonts w:ascii="Arial" w:eastAsia="Arial" w:hAnsi="Arial" w:cs="Arial"/>
          <w:color w:val="000000"/>
        </w:rPr>
        <w:t>recorded, including when Unknown is selected for a parent present for the FROG.</w:t>
      </w:r>
    </w:p>
    <w:p w14:paraId="030737C0" w14:textId="77777777" w:rsidR="00BB074A" w:rsidRDefault="00DC3592">
      <w:pPr>
        <w:numPr>
          <w:ilvl w:val="0"/>
          <w:numId w:val="1"/>
        </w:numPr>
        <w:spacing w:after="0" w:line="276" w:lineRule="auto"/>
        <w:rPr>
          <w:rFonts w:ascii="Arial" w:eastAsia="Arial" w:hAnsi="Arial" w:cs="Arial"/>
        </w:rPr>
      </w:pPr>
      <w:r>
        <w:rPr>
          <w:rFonts w:ascii="Arial" w:eastAsia="Arial" w:hAnsi="Arial" w:cs="Arial"/>
          <w:color w:val="000000"/>
        </w:rPr>
        <w:t>The time frame for completing the FRO</w:t>
      </w:r>
      <w:r>
        <w:rPr>
          <w:rFonts w:ascii="Arial" w:eastAsia="Arial" w:hAnsi="Arial" w:cs="Arial"/>
        </w:rPr>
        <w:t xml:space="preserve">G </w:t>
      </w:r>
      <w:r>
        <w:rPr>
          <w:rFonts w:ascii="Arial" w:eastAsia="Arial" w:hAnsi="Arial" w:cs="Arial"/>
          <w:color w:val="000000"/>
        </w:rPr>
        <w:t xml:space="preserve">narrative documentation </w:t>
      </w:r>
      <w:r>
        <w:rPr>
          <w:rFonts w:ascii="Arial" w:eastAsia="Arial" w:hAnsi="Arial" w:cs="Arial"/>
        </w:rPr>
        <w:t xml:space="preserve">and </w:t>
      </w:r>
      <w:r>
        <w:rPr>
          <w:rFonts w:ascii="Arial" w:eastAsia="Arial" w:hAnsi="Arial" w:cs="Arial"/>
          <w:color w:val="000000"/>
        </w:rPr>
        <w:t>scoring and Home Visit Log documentation</w:t>
      </w:r>
      <w:r>
        <w:rPr>
          <w:rFonts w:ascii="Arial" w:eastAsia="Arial" w:hAnsi="Arial" w:cs="Arial"/>
        </w:rPr>
        <w:t xml:space="preserve">. </w:t>
      </w:r>
    </w:p>
    <w:p w14:paraId="46F27905" w14:textId="77777777" w:rsidR="00BB074A" w:rsidRDefault="00DC3592">
      <w:pPr>
        <w:numPr>
          <w:ilvl w:val="0"/>
          <w:numId w:val="1"/>
        </w:numPr>
        <w:spacing w:after="0" w:line="276" w:lineRule="auto"/>
        <w:rPr>
          <w:rFonts w:ascii="Arial" w:eastAsia="Arial" w:hAnsi="Arial" w:cs="Arial"/>
        </w:rPr>
      </w:pPr>
      <w:r>
        <w:rPr>
          <w:rFonts w:ascii="Arial" w:eastAsia="Arial" w:hAnsi="Arial" w:cs="Arial"/>
          <w:color w:val="000000"/>
        </w:rPr>
        <w:t>The process and time frame for supervisor review and feedback on the FROG Scale</w:t>
      </w:r>
      <w:r>
        <w:rPr>
          <w:rFonts w:ascii="Arial" w:eastAsia="Arial" w:hAnsi="Arial" w:cs="Arial"/>
        </w:rPr>
        <w:t xml:space="preserve"> </w:t>
      </w:r>
      <w:r>
        <w:rPr>
          <w:rFonts w:ascii="Arial" w:eastAsia="Arial" w:hAnsi="Arial" w:cs="Arial"/>
          <w:color w:val="000000"/>
        </w:rPr>
        <w:t>narrative and time frame for assignment to the appropriate staff.</w:t>
      </w:r>
    </w:p>
    <w:p w14:paraId="5F199E77" w14:textId="77777777" w:rsidR="00BB074A" w:rsidRDefault="00DC3592">
      <w:pPr>
        <w:numPr>
          <w:ilvl w:val="0"/>
          <w:numId w:val="1"/>
        </w:numPr>
        <w:spacing w:after="0" w:line="276" w:lineRule="auto"/>
        <w:rPr>
          <w:rFonts w:ascii="Arial" w:eastAsia="Arial" w:hAnsi="Arial" w:cs="Arial"/>
          <w:color w:val="000000"/>
        </w:rPr>
      </w:pPr>
      <w:r>
        <w:rPr>
          <w:rFonts w:ascii="Arial" w:eastAsia="Arial" w:hAnsi="Arial" w:cs="Arial"/>
          <w:color w:val="000000"/>
        </w:rPr>
        <w:t xml:space="preserve">Describe how information collected from the FROG will be documented in the Service Plan for ongoing service planning. </w:t>
      </w:r>
    </w:p>
    <w:p w14:paraId="74E1306A" w14:textId="77777777" w:rsidR="00BB074A" w:rsidRDefault="00DC3592">
      <w:pPr>
        <w:numPr>
          <w:ilvl w:val="0"/>
          <w:numId w:val="1"/>
        </w:numPr>
        <w:spacing w:after="0" w:line="276" w:lineRule="auto"/>
        <w:rPr>
          <w:rFonts w:ascii="Arial" w:eastAsia="Arial" w:hAnsi="Arial" w:cs="Arial"/>
        </w:rPr>
      </w:pPr>
      <w:r>
        <w:rPr>
          <w:rFonts w:ascii="Arial" w:eastAsia="Arial" w:hAnsi="Arial" w:cs="Arial"/>
          <w:color w:val="000000"/>
        </w:rPr>
        <w:t>How staff are supported over time in the way they engage families in the FROG Scale conversation.</w:t>
      </w:r>
    </w:p>
    <w:p w14:paraId="7E0B5601" w14:textId="77777777" w:rsidR="00BB074A" w:rsidRDefault="00DC3592">
      <w:pPr>
        <w:spacing w:after="0" w:line="276" w:lineRule="auto"/>
        <w:rPr>
          <w:rFonts w:ascii="Arial" w:eastAsia="Arial" w:hAnsi="Arial" w:cs="Arial"/>
          <w:b/>
        </w:rPr>
      </w:pPr>
      <w:r>
        <w:pict w14:anchorId="5376FAB3">
          <v:rect id="_x0000_i1026" style="width:0;height:1.5pt" o:hralign="center" o:hrstd="t" o:hr="t" fillcolor="#a0a0a0" stroked="f"/>
        </w:pict>
      </w:r>
    </w:p>
    <w:p w14:paraId="13EF5C2D" w14:textId="77777777" w:rsidR="00BB074A" w:rsidRDefault="00BB074A">
      <w:pPr>
        <w:spacing w:after="0" w:line="276" w:lineRule="auto"/>
        <w:ind w:left="720"/>
        <w:jc w:val="center"/>
        <w:rPr>
          <w:rFonts w:ascii="Arial" w:eastAsia="Arial" w:hAnsi="Arial" w:cs="Arial"/>
          <w:b/>
        </w:rPr>
      </w:pPr>
    </w:p>
    <w:p w14:paraId="60AFEEE8" w14:textId="77777777" w:rsidR="00BB074A" w:rsidRDefault="00BB074A">
      <w:pPr>
        <w:spacing w:after="0" w:line="276" w:lineRule="auto"/>
        <w:ind w:left="720"/>
        <w:jc w:val="center"/>
        <w:rPr>
          <w:rFonts w:ascii="Arial" w:eastAsia="Arial" w:hAnsi="Arial" w:cs="Arial"/>
          <w:b/>
        </w:rPr>
      </w:pPr>
    </w:p>
    <w:p w14:paraId="586D1BD6" w14:textId="77777777" w:rsidR="00BB074A" w:rsidRDefault="00BB074A">
      <w:pPr>
        <w:spacing w:after="0" w:line="276" w:lineRule="auto"/>
        <w:ind w:left="720"/>
        <w:jc w:val="center"/>
        <w:rPr>
          <w:rFonts w:ascii="Arial" w:eastAsia="Arial" w:hAnsi="Arial" w:cs="Arial"/>
          <w:b/>
        </w:rPr>
      </w:pPr>
    </w:p>
    <w:p w14:paraId="6CD1CD9C" w14:textId="77777777" w:rsidR="00BB074A" w:rsidRDefault="00BB074A">
      <w:pPr>
        <w:spacing w:after="0" w:line="276" w:lineRule="auto"/>
        <w:ind w:left="720"/>
        <w:jc w:val="center"/>
        <w:rPr>
          <w:rFonts w:ascii="Arial" w:eastAsia="Arial" w:hAnsi="Arial" w:cs="Arial"/>
          <w:b/>
        </w:rPr>
      </w:pPr>
    </w:p>
    <w:p w14:paraId="47C9D6F4" w14:textId="77777777" w:rsidR="00BB074A" w:rsidRDefault="00BB074A">
      <w:pPr>
        <w:spacing w:after="0" w:line="276" w:lineRule="auto"/>
        <w:rPr>
          <w:rFonts w:ascii="Arial" w:eastAsia="Arial" w:hAnsi="Arial" w:cs="Arial"/>
          <w:b/>
        </w:rPr>
      </w:pPr>
    </w:p>
    <w:p w14:paraId="25481D18" w14:textId="77777777" w:rsidR="00BB074A" w:rsidRDefault="00BB074A">
      <w:pPr>
        <w:spacing w:after="0" w:line="276" w:lineRule="auto"/>
        <w:rPr>
          <w:rFonts w:ascii="Arial" w:eastAsia="Arial" w:hAnsi="Arial" w:cs="Arial"/>
          <w:b/>
        </w:rPr>
      </w:pPr>
    </w:p>
    <w:p w14:paraId="5A90DC03" w14:textId="77777777" w:rsidR="00BB074A" w:rsidRDefault="00BB074A">
      <w:pPr>
        <w:spacing w:after="0" w:line="276" w:lineRule="auto"/>
        <w:jc w:val="center"/>
        <w:rPr>
          <w:rFonts w:ascii="Arial" w:eastAsia="Arial" w:hAnsi="Arial" w:cs="Arial"/>
          <w:b/>
        </w:rPr>
      </w:pPr>
    </w:p>
    <w:p w14:paraId="02554512" w14:textId="77777777" w:rsidR="00BB074A" w:rsidRDefault="00DC3592">
      <w:pPr>
        <w:spacing w:after="0" w:line="276" w:lineRule="auto"/>
        <w:jc w:val="center"/>
        <w:rPr>
          <w:rFonts w:ascii="Arial" w:eastAsia="Arial" w:hAnsi="Arial" w:cs="Arial"/>
          <w:b/>
        </w:rPr>
      </w:pPr>
      <w:r>
        <w:rPr>
          <w:rFonts w:ascii="Arial" w:eastAsia="Arial" w:hAnsi="Arial" w:cs="Arial"/>
          <w:b/>
        </w:rPr>
        <w:t>Reference Table</w:t>
      </w:r>
    </w:p>
    <w:p w14:paraId="1C477F2F" w14:textId="77777777" w:rsidR="00BB074A" w:rsidRDefault="00DC3592">
      <w:pPr>
        <w:spacing w:after="0" w:line="276" w:lineRule="auto"/>
        <w:jc w:val="center"/>
        <w:rPr>
          <w:rFonts w:ascii="Arial" w:eastAsia="Arial" w:hAnsi="Arial" w:cs="Arial"/>
          <w:b/>
        </w:rPr>
      </w:pPr>
      <w:r>
        <w:rPr>
          <w:rFonts w:ascii="Arial" w:eastAsia="Arial" w:hAnsi="Arial" w:cs="Arial"/>
          <w:b/>
        </w:rPr>
        <w:t>Best Practice Standard 2</w:t>
      </w:r>
    </w:p>
    <w:p w14:paraId="7DE6F807" w14:textId="77777777" w:rsidR="00BB074A" w:rsidRDefault="00DC3592">
      <w:pPr>
        <w:jc w:val="center"/>
        <w:rPr>
          <w:rFonts w:ascii="Arial" w:eastAsia="Arial" w:hAnsi="Arial" w:cs="Arial"/>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Style w:val="a0"/>
        <w:tblW w:w="954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061"/>
        <w:gridCol w:w="4770"/>
      </w:tblGrid>
      <w:tr w:rsidR="00BB074A" w14:paraId="25F928A7" w14:textId="77777777">
        <w:tc>
          <w:tcPr>
            <w:tcW w:w="1710" w:type="dxa"/>
            <w:shd w:val="clear" w:color="auto" w:fill="B7B7B7"/>
            <w:tcMar>
              <w:top w:w="100" w:type="dxa"/>
              <w:left w:w="100" w:type="dxa"/>
              <w:bottom w:w="100" w:type="dxa"/>
              <w:right w:w="100" w:type="dxa"/>
            </w:tcMar>
          </w:tcPr>
          <w:p w14:paraId="20C6201A" w14:textId="77777777" w:rsidR="00BB074A" w:rsidRDefault="00DC3592">
            <w:pPr>
              <w:widowControl w:val="0"/>
              <w:spacing w:line="240" w:lineRule="auto"/>
              <w:rPr>
                <w:rFonts w:ascii="Arial" w:eastAsia="Arial" w:hAnsi="Arial" w:cs="Arial"/>
                <w:b/>
              </w:rPr>
            </w:pPr>
            <w:r>
              <w:rPr>
                <w:rFonts w:ascii="Arial" w:eastAsia="Arial" w:hAnsi="Arial" w:cs="Arial"/>
                <w:b/>
              </w:rPr>
              <w:t>Policy</w:t>
            </w:r>
          </w:p>
        </w:tc>
        <w:tc>
          <w:tcPr>
            <w:tcW w:w="3061" w:type="dxa"/>
            <w:shd w:val="clear" w:color="auto" w:fill="B7B7B7"/>
            <w:tcMar>
              <w:top w:w="100" w:type="dxa"/>
              <w:left w:w="100" w:type="dxa"/>
              <w:bottom w:w="100" w:type="dxa"/>
              <w:right w:w="100" w:type="dxa"/>
            </w:tcMar>
          </w:tcPr>
          <w:p w14:paraId="6BCA4D26" w14:textId="77777777" w:rsidR="00BB074A" w:rsidRDefault="00DC3592">
            <w:pPr>
              <w:widowControl w:val="0"/>
              <w:spacing w:line="240" w:lineRule="auto"/>
              <w:rPr>
                <w:rFonts w:ascii="Arial" w:eastAsia="Arial" w:hAnsi="Arial" w:cs="Arial"/>
                <w:b/>
                <w:color w:val="141337"/>
              </w:rPr>
            </w:pPr>
            <w:r>
              <w:rPr>
                <w:rFonts w:ascii="Arial" w:eastAsia="Arial" w:hAnsi="Arial" w:cs="Arial"/>
                <w:b/>
              </w:rPr>
              <w:t xml:space="preserve">MIS </w:t>
            </w:r>
            <w:r>
              <w:rPr>
                <w:rFonts w:ascii="Arial" w:eastAsia="Arial" w:hAnsi="Arial" w:cs="Arial"/>
                <w:b/>
                <w:color w:val="141337"/>
              </w:rPr>
              <w:t>Reports &amp; Forms</w:t>
            </w:r>
          </w:p>
        </w:tc>
        <w:tc>
          <w:tcPr>
            <w:tcW w:w="4770" w:type="dxa"/>
            <w:shd w:val="clear" w:color="auto" w:fill="B7B7B7"/>
            <w:tcMar>
              <w:top w:w="100" w:type="dxa"/>
              <w:left w:w="100" w:type="dxa"/>
              <w:bottom w:w="100" w:type="dxa"/>
              <w:right w:w="100" w:type="dxa"/>
            </w:tcMar>
          </w:tcPr>
          <w:p w14:paraId="4AFEA47D" w14:textId="77777777" w:rsidR="00BB074A" w:rsidRDefault="00DC3592">
            <w:pPr>
              <w:widowControl w:val="0"/>
              <w:spacing w:line="240" w:lineRule="auto"/>
              <w:rPr>
                <w:rFonts w:ascii="Arial" w:eastAsia="Arial" w:hAnsi="Arial" w:cs="Arial"/>
                <w:b/>
              </w:rPr>
            </w:pPr>
            <w:r>
              <w:rPr>
                <w:rFonts w:ascii="Arial" w:eastAsia="Arial" w:hAnsi="Arial" w:cs="Arial"/>
                <w:b/>
              </w:rPr>
              <w:t>Appendix &amp; Links</w:t>
            </w:r>
          </w:p>
        </w:tc>
      </w:tr>
      <w:tr w:rsidR="00BB074A" w14:paraId="05A00E02" w14:textId="77777777">
        <w:tc>
          <w:tcPr>
            <w:tcW w:w="1710" w:type="dxa"/>
            <w:shd w:val="clear" w:color="auto" w:fill="auto"/>
            <w:tcMar>
              <w:top w:w="100" w:type="dxa"/>
              <w:left w:w="100" w:type="dxa"/>
              <w:bottom w:w="100" w:type="dxa"/>
              <w:right w:w="100" w:type="dxa"/>
            </w:tcMar>
          </w:tcPr>
          <w:p w14:paraId="62994EF4" w14:textId="77777777" w:rsidR="00BB074A" w:rsidRDefault="00DC3592">
            <w:pPr>
              <w:widowControl w:val="0"/>
              <w:spacing w:line="240" w:lineRule="auto"/>
              <w:rPr>
                <w:rFonts w:ascii="Arial" w:eastAsia="Arial" w:hAnsi="Arial" w:cs="Arial"/>
                <w:b/>
              </w:rPr>
            </w:pPr>
            <w:r>
              <w:rPr>
                <w:rFonts w:ascii="Arial" w:eastAsia="Arial" w:hAnsi="Arial" w:cs="Arial"/>
                <w:b/>
              </w:rPr>
              <w:t>2-</w:t>
            </w:r>
            <w:proofErr w:type="gramStart"/>
            <w:r>
              <w:rPr>
                <w:rFonts w:ascii="Arial" w:eastAsia="Arial" w:hAnsi="Arial" w:cs="Arial"/>
                <w:b/>
              </w:rPr>
              <w:t>1.A</w:t>
            </w:r>
            <w:proofErr w:type="gramEnd"/>
            <w:r>
              <w:rPr>
                <w:rFonts w:ascii="Arial" w:eastAsia="Arial" w:hAnsi="Arial" w:cs="Arial"/>
                <w:b/>
              </w:rPr>
              <w:t xml:space="preserve"> </w:t>
            </w:r>
          </w:p>
          <w:p w14:paraId="2E76E100" w14:textId="77777777" w:rsidR="00BB074A" w:rsidRDefault="00DC3592">
            <w:pPr>
              <w:widowControl w:val="0"/>
              <w:spacing w:line="240" w:lineRule="auto"/>
              <w:rPr>
                <w:rFonts w:ascii="Arial" w:eastAsia="Arial" w:hAnsi="Arial" w:cs="Arial"/>
                <w:b/>
              </w:rPr>
            </w:pPr>
            <w:r>
              <w:rPr>
                <w:rFonts w:ascii="Arial" w:eastAsia="Arial" w:hAnsi="Arial" w:cs="Arial"/>
                <w:b/>
              </w:rPr>
              <w:t>Use of the FROG Scale</w:t>
            </w:r>
          </w:p>
        </w:tc>
        <w:tc>
          <w:tcPr>
            <w:tcW w:w="3061" w:type="dxa"/>
            <w:shd w:val="clear" w:color="auto" w:fill="auto"/>
            <w:tcMar>
              <w:top w:w="100" w:type="dxa"/>
              <w:left w:w="100" w:type="dxa"/>
              <w:bottom w:w="100" w:type="dxa"/>
              <w:right w:w="100" w:type="dxa"/>
            </w:tcMar>
          </w:tcPr>
          <w:p w14:paraId="21A2883B" w14:textId="77777777" w:rsidR="00BB074A" w:rsidRDefault="00DC3592">
            <w:pPr>
              <w:numPr>
                <w:ilvl w:val="0"/>
                <w:numId w:val="2"/>
              </w:numPr>
              <w:spacing w:after="0" w:line="240" w:lineRule="auto"/>
              <w:jc w:val="both"/>
              <w:rPr>
                <w:rFonts w:ascii="Arial" w:eastAsia="Arial" w:hAnsi="Arial" w:cs="Arial"/>
                <w:shd w:val="clear" w:color="auto" w:fill="93C47D"/>
              </w:rPr>
            </w:pPr>
            <w:r>
              <w:rPr>
                <w:rFonts w:ascii="Arial" w:eastAsia="Arial" w:hAnsi="Arial" w:cs="Arial"/>
                <w:shd w:val="clear" w:color="auto" w:fill="93C47D"/>
              </w:rPr>
              <w:t>2-</w:t>
            </w:r>
            <w:proofErr w:type="gramStart"/>
            <w:r>
              <w:rPr>
                <w:rFonts w:ascii="Arial" w:eastAsia="Arial" w:hAnsi="Arial" w:cs="Arial"/>
                <w:shd w:val="clear" w:color="auto" w:fill="93C47D"/>
              </w:rPr>
              <w:t>1.B</w:t>
            </w:r>
            <w:proofErr w:type="gramEnd"/>
            <w:r>
              <w:rPr>
                <w:rFonts w:ascii="Arial" w:eastAsia="Arial" w:hAnsi="Arial" w:cs="Arial"/>
                <w:shd w:val="clear" w:color="auto" w:fill="93C47D"/>
              </w:rPr>
              <w:t>/C Report</w:t>
            </w:r>
          </w:p>
        </w:tc>
        <w:tc>
          <w:tcPr>
            <w:tcW w:w="4770" w:type="dxa"/>
            <w:shd w:val="clear" w:color="auto" w:fill="auto"/>
            <w:tcMar>
              <w:top w:w="100" w:type="dxa"/>
              <w:left w:w="100" w:type="dxa"/>
              <w:bottom w:w="100" w:type="dxa"/>
              <w:right w:w="100" w:type="dxa"/>
            </w:tcMar>
          </w:tcPr>
          <w:p w14:paraId="735100FE" w14:textId="77777777" w:rsidR="00BB074A" w:rsidRDefault="00DC3592">
            <w:pPr>
              <w:numPr>
                <w:ilvl w:val="0"/>
                <w:numId w:val="4"/>
              </w:numPr>
              <w:spacing w:after="0" w:line="240" w:lineRule="auto"/>
              <w:jc w:val="both"/>
              <w:rPr>
                <w:rFonts w:ascii="Arial" w:eastAsia="Arial" w:hAnsi="Arial" w:cs="Arial"/>
                <w:b/>
              </w:rPr>
            </w:pPr>
            <w:r>
              <w:rPr>
                <w:rFonts w:ascii="Arial" w:eastAsia="Arial" w:hAnsi="Arial" w:cs="Arial"/>
              </w:rPr>
              <w:t xml:space="preserve">FROG Tool-Kit (located on password protected side of HFNY website)  </w:t>
            </w:r>
          </w:p>
        </w:tc>
      </w:tr>
    </w:tbl>
    <w:p w14:paraId="68460E68" w14:textId="77777777" w:rsidR="00BB074A" w:rsidRDefault="00BB074A">
      <w:pPr>
        <w:rPr>
          <w:rFonts w:ascii="Arial" w:eastAsia="Arial" w:hAnsi="Arial" w:cs="Arial"/>
        </w:rPr>
      </w:pPr>
    </w:p>
    <w:p w14:paraId="62A3A803" w14:textId="77777777" w:rsidR="00BB074A" w:rsidRDefault="00BB074A"/>
    <w:sectPr w:rsidR="00BB074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ABAF" w14:textId="77777777" w:rsidR="00DC3592" w:rsidRDefault="00DC3592">
      <w:pPr>
        <w:spacing w:after="0" w:line="240" w:lineRule="auto"/>
      </w:pPr>
      <w:r>
        <w:separator/>
      </w:r>
    </w:p>
  </w:endnote>
  <w:endnote w:type="continuationSeparator" w:id="0">
    <w:p w14:paraId="4EB5CEA9" w14:textId="77777777" w:rsidR="00DC3592" w:rsidRDefault="00DC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374A3" w14:textId="77777777" w:rsidR="00DC3592" w:rsidRDefault="00DC3592">
      <w:pPr>
        <w:spacing w:after="0" w:line="240" w:lineRule="auto"/>
      </w:pPr>
      <w:r>
        <w:separator/>
      </w:r>
    </w:p>
  </w:footnote>
  <w:footnote w:type="continuationSeparator" w:id="0">
    <w:p w14:paraId="49FF59DA" w14:textId="77777777" w:rsidR="00DC3592" w:rsidRDefault="00DC3592">
      <w:pPr>
        <w:spacing w:after="0" w:line="240" w:lineRule="auto"/>
      </w:pPr>
      <w:r>
        <w:continuationSeparator/>
      </w:r>
    </w:p>
  </w:footnote>
  <w:footnote w:id="1">
    <w:p w14:paraId="2F330033" w14:textId="77777777" w:rsidR="00BB074A" w:rsidRDefault="00DC3592">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i/>
          <w:color w:val="000000"/>
          <w:sz w:val="20"/>
          <w:szCs w:val="20"/>
        </w:rPr>
        <w:t>BPS 2-1.A and 2-2.A were combined in the new standards into a single 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32E2C" w14:textId="77777777" w:rsidR="00BB074A" w:rsidRDefault="00BB07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9B0"/>
    <w:multiLevelType w:val="multilevel"/>
    <w:tmpl w:val="4D647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5E2AD6"/>
    <w:multiLevelType w:val="multilevel"/>
    <w:tmpl w:val="30AA5C8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4010A8"/>
    <w:multiLevelType w:val="multilevel"/>
    <w:tmpl w:val="5C8AB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F176A6"/>
    <w:multiLevelType w:val="multilevel"/>
    <w:tmpl w:val="20E2C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1569985">
    <w:abstractNumId w:val="0"/>
  </w:num>
  <w:num w:numId="2" w16cid:durableId="1034111651">
    <w:abstractNumId w:val="1"/>
  </w:num>
  <w:num w:numId="3" w16cid:durableId="935211389">
    <w:abstractNumId w:val="3"/>
  </w:num>
  <w:num w:numId="4" w16cid:durableId="794913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74A"/>
    <w:rsid w:val="008C6B34"/>
    <w:rsid w:val="00BB074A"/>
    <w:rsid w:val="00DC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6121"/>
  <w15:docId w15:val="{47BC9BFC-B9AC-49F2-A4CE-C93921D1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3C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MSGp0mF1SWTQloAWKWsMpeh3A==">CgMxLjAyCWlkLmdqZGd4czgAaisKFHN1Z2dlc3QuZnBlNjZ6bGh6OWx0EhNSb3NlYW5uYSBDb3VudGVybWFuciExMzZLbkl0MkI3SmlURkVsTjBLRkREWnpxTExzUTd2emg=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768</Words>
  <Characters>4378</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Counterman, Roseanna (OCFS)</dc:creator>
  <cp:revision>1</cp:revision>
  <dcterms:created xsi:type="dcterms:W3CDTF">2024-06-10T14:45:00Z</dcterms:created>
</cp:coreProperties>
</file>