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247CA" w14:textId="77777777" w:rsidR="007F76CA" w:rsidRDefault="007F76CA">
      <w:pPr>
        <w:rPr>
          <w:rFonts w:ascii="Arial" w:eastAsia="Arial" w:hAnsi="Arial" w:cs="Arial"/>
          <w:sz w:val="32"/>
          <w:szCs w:val="32"/>
          <w:u w:val="single"/>
        </w:rPr>
      </w:pPr>
    </w:p>
    <w:p w14:paraId="2BE8F876" w14:textId="77777777" w:rsidR="007F76CA" w:rsidRDefault="0088266B">
      <w:pPr>
        <w:rPr>
          <w:rFonts w:ascii="Arial" w:eastAsia="Arial" w:hAnsi="Arial" w:cs="Arial"/>
          <w:sz w:val="32"/>
          <w:szCs w:val="32"/>
          <w:u w:val="single"/>
        </w:rPr>
      </w:pPr>
      <w:r>
        <w:rPr>
          <w:noProof/>
        </w:rPr>
        <mc:AlternateContent>
          <mc:Choice Requires="wpg">
            <w:drawing>
              <wp:anchor distT="0" distB="0" distL="114300" distR="114300" simplePos="0" relativeHeight="251658240" behindDoc="0" locked="0" layoutInCell="1" hidden="0" allowOverlap="1" wp14:anchorId="167834F8" wp14:editId="1C94D8BA">
                <wp:simplePos x="0" y="0"/>
                <wp:positionH relativeFrom="column">
                  <wp:posOffset>-901699</wp:posOffset>
                </wp:positionH>
                <wp:positionV relativeFrom="paragraph">
                  <wp:posOffset>-901699</wp:posOffset>
                </wp:positionV>
                <wp:extent cx="7860461" cy="1439174"/>
                <wp:effectExtent l="0" t="0" r="0" b="0"/>
                <wp:wrapNone/>
                <wp:docPr id="56" name="Rectangle 56"/>
                <wp:cNvGraphicFramePr/>
                <a:graphic xmlns:a="http://schemas.openxmlformats.org/drawingml/2006/main">
                  <a:graphicData uri="http://schemas.microsoft.com/office/word/2010/wordprocessingShape">
                    <wps:wsp>
                      <wps:cNvSpPr/>
                      <wps:spPr>
                        <a:xfrm>
                          <a:off x="1453870" y="3098513"/>
                          <a:ext cx="7784261" cy="1362974"/>
                        </a:xfrm>
                        <a:prstGeom prst="rect">
                          <a:avLst/>
                        </a:prstGeom>
                        <a:solidFill>
                          <a:srgbClr val="002060"/>
                        </a:solidFill>
                        <a:ln w="25400" cap="flat" cmpd="sng">
                          <a:solidFill>
                            <a:srgbClr val="5D4876"/>
                          </a:solidFill>
                          <a:prstDash val="solid"/>
                          <a:round/>
                          <a:headEnd type="none" w="sm" len="sm"/>
                          <a:tailEnd type="none" w="sm" len="sm"/>
                        </a:ln>
                      </wps:spPr>
                      <wps:txbx>
                        <w:txbxContent>
                          <w:p w14:paraId="23EC72DC" w14:textId="77777777" w:rsidR="007F76CA" w:rsidRDefault="007F76C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-901699</wp:posOffset>
                </wp:positionH>
                <wp:positionV relativeFrom="paragraph">
                  <wp:posOffset>-901699</wp:posOffset>
                </wp:positionV>
                <wp:extent cx="7860461" cy="1439174"/>
                <wp:effectExtent b="0" l="0" r="0" t="0"/>
                <wp:wrapNone/>
                <wp:docPr id="5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7860461" cy="1439174"/>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154B07C1" wp14:editId="7A7522B8">
                <wp:simplePos x="0" y="0"/>
                <wp:positionH relativeFrom="column">
                  <wp:posOffset>-571499</wp:posOffset>
                </wp:positionH>
                <wp:positionV relativeFrom="paragraph">
                  <wp:posOffset>-736599</wp:posOffset>
                </wp:positionV>
                <wp:extent cx="7274560" cy="1072072"/>
                <wp:effectExtent l="0" t="0" r="0" b="0"/>
                <wp:wrapNone/>
                <wp:docPr id="55" name="Rectangle 55"/>
                <wp:cNvGraphicFramePr/>
                <a:graphic xmlns:a="http://schemas.openxmlformats.org/drawingml/2006/main">
                  <a:graphicData uri="http://schemas.microsoft.com/office/word/2010/wordprocessingShape">
                    <wps:wsp>
                      <wps:cNvSpPr/>
                      <wps:spPr>
                        <a:xfrm>
                          <a:off x="1723008" y="3258252"/>
                          <a:ext cx="7245985" cy="1043497"/>
                        </a:xfrm>
                        <a:prstGeom prst="rect">
                          <a:avLst/>
                        </a:prstGeom>
                        <a:noFill/>
                        <a:ln>
                          <a:noFill/>
                        </a:ln>
                      </wps:spPr>
                      <wps:txbx>
                        <w:txbxContent>
                          <w:p w14:paraId="19F24188" w14:textId="77777777" w:rsidR="007F76CA" w:rsidRDefault="0088266B">
                            <w:pPr>
                              <w:spacing w:line="240" w:lineRule="auto"/>
                              <w:textDirection w:val="btLr"/>
                            </w:pPr>
                            <w:r>
                              <w:rPr>
                                <w:rFonts w:ascii="Arial" w:eastAsia="Arial" w:hAnsi="Arial" w:cs="Arial"/>
                                <w:color w:val="FFFFFF"/>
                                <w:sz w:val="56"/>
                              </w:rPr>
                              <w:t xml:space="preserve">Standard 8: Limited Caseload Sizes  </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-571499</wp:posOffset>
                </wp:positionH>
                <wp:positionV relativeFrom="paragraph">
                  <wp:posOffset>-736599</wp:posOffset>
                </wp:positionV>
                <wp:extent cx="7274560" cy="1072072"/>
                <wp:effectExtent b="0" l="0" r="0" t="0"/>
                <wp:wrapNone/>
                <wp:docPr id="5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274560" cy="1072072"/>
                        </a:xfrm>
                        <a:prstGeom prst="rect"/>
                        <a:ln/>
                      </pic:spPr>
                    </pic:pic>
                  </a:graphicData>
                </a:graphic>
              </wp:anchor>
            </w:drawing>
          </mc:Fallback>
        </mc:AlternateContent>
      </w:r>
      <w:r>
        <w:rPr>
          <w:noProof/>
        </w:rPr>
        <mc:AlternateContent>
          <mc:Choice Requires="wpg">
            <w:drawing>
              <wp:anchor distT="0" distB="0" distL="114300" distR="114300" simplePos="0" relativeHeight="251660288" behindDoc="0" locked="0" layoutInCell="1" hidden="0" allowOverlap="1" wp14:anchorId="7AC1E21A" wp14:editId="7B0C09FC">
                <wp:simplePos x="0" y="0"/>
                <wp:positionH relativeFrom="column">
                  <wp:posOffset>-571499</wp:posOffset>
                </wp:positionH>
                <wp:positionV relativeFrom="paragraph">
                  <wp:posOffset>-736599</wp:posOffset>
                </wp:positionV>
                <wp:extent cx="7274560" cy="1072072"/>
                <wp:effectExtent l="0" t="0" r="0" b="0"/>
                <wp:wrapNone/>
                <wp:docPr id="58" name="Rectangle 58"/>
                <wp:cNvGraphicFramePr/>
                <a:graphic xmlns:a="http://schemas.openxmlformats.org/drawingml/2006/main">
                  <a:graphicData uri="http://schemas.microsoft.com/office/word/2010/wordprocessingShape">
                    <wps:wsp>
                      <wps:cNvSpPr/>
                      <wps:spPr>
                        <a:xfrm>
                          <a:off x="1723008" y="3258252"/>
                          <a:ext cx="7245985" cy="1043497"/>
                        </a:xfrm>
                        <a:prstGeom prst="rect">
                          <a:avLst/>
                        </a:prstGeom>
                        <a:noFill/>
                        <a:ln>
                          <a:noFill/>
                        </a:ln>
                      </wps:spPr>
                      <wps:txbx>
                        <w:txbxContent>
                          <w:p w14:paraId="1B1751D7" w14:textId="77777777" w:rsidR="007F76CA" w:rsidRDefault="0088266B">
                            <w:pPr>
                              <w:spacing w:line="240" w:lineRule="auto"/>
                              <w:textDirection w:val="btLr"/>
                            </w:pPr>
                            <w:r>
                              <w:rPr>
                                <w:rFonts w:ascii="Arial" w:eastAsia="Arial" w:hAnsi="Arial" w:cs="Arial"/>
                                <w:color w:val="FFFFFF"/>
                                <w:sz w:val="56"/>
                              </w:rPr>
                              <w:t xml:space="preserve">Standard 8: Limited Caseload Sizes  </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-571499</wp:posOffset>
                </wp:positionH>
                <wp:positionV relativeFrom="paragraph">
                  <wp:posOffset>-736599</wp:posOffset>
                </wp:positionV>
                <wp:extent cx="7274560" cy="1072072"/>
                <wp:effectExtent b="0" l="0" r="0" t="0"/>
                <wp:wrapNone/>
                <wp:docPr id="58"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274560" cy="1072072"/>
                        </a:xfrm>
                        <a:prstGeom prst="rect"/>
                        <a:ln/>
                      </pic:spPr>
                    </pic:pic>
                  </a:graphicData>
                </a:graphic>
              </wp:anchor>
            </w:drawing>
          </mc:Fallback>
        </mc:AlternateContent>
      </w:r>
    </w:p>
    <w:p w14:paraId="239085CF" w14:textId="77777777" w:rsidR="007F76CA" w:rsidRDefault="007F76CA">
      <w:pPr>
        <w:spacing w:before="240" w:line="240" w:lineRule="auto"/>
        <w:rPr>
          <w:rFonts w:ascii="Arial" w:eastAsia="Arial" w:hAnsi="Arial" w:cs="Arial"/>
          <w:sz w:val="32"/>
          <w:szCs w:val="32"/>
          <w:u w:val="single"/>
        </w:rPr>
      </w:pPr>
    </w:p>
    <w:p w14:paraId="7A6A1FDA" w14:textId="77777777" w:rsidR="007F76CA" w:rsidRDefault="007F76CA">
      <w:pPr>
        <w:jc w:val="both"/>
        <w:rPr>
          <w:rFonts w:ascii="Arial" w:eastAsia="Arial" w:hAnsi="Arial" w:cs="Arial"/>
          <w:sz w:val="32"/>
          <w:szCs w:val="32"/>
          <w:u w:val="single"/>
        </w:rPr>
      </w:pPr>
    </w:p>
    <w:p w14:paraId="5454DD3D" w14:textId="77777777" w:rsidR="007F76CA" w:rsidRDefault="0088266B">
      <w:pPr>
        <w:jc w:val="both"/>
        <w:rPr>
          <w:rFonts w:ascii="Arial" w:eastAsia="Arial" w:hAnsi="Arial" w:cs="Arial"/>
          <w:shd w:val="clear" w:color="auto" w:fill="93C47D"/>
        </w:rPr>
      </w:pPr>
      <w:bookmarkStart w:id="0" w:name="bookmark=id.gjdgxs" w:colFirst="0" w:colLast="0"/>
      <w:bookmarkEnd w:id="0"/>
      <w:r>
        <w:rPr>
          <w:rFonts w:ascii="Arial" w:eastAsia="Arial" w:hAnsi="Arial" w:cs="Arial"/>
          <w:b/>
        </w:rPr>
        <w:t xml:space="preserve">CASELOAD SIZE </w:t>
      </w:r>
      <w:r>
        <w:rPr>
          <w:rFonts w:ascii="Arial" w:eastAsia="Arial" w:hAnsi="Arial" w:cs="Arial"/>
          <w:shd w:val="clear" w:color="auto" w:fill="93C47D"/>
        </w:rPr>
        <w:t>(EFFECTIVE 04/15/2025)</w:t>
      </w:r>
    </w:p>
    <w:p w14:paraId="56B84E7E" w14:textId="77777777" w:rsidR="007F76CA" w:rsidRDefault="0088266B">
      <w:pPr>
        <w:jc w:val="both"/>
        <w:rPr>
          <w:rFonts w:ascii="Arial" w:eastAsia="Arial" w:hAnsi="Arial" w:cs="Arial"/>
          <w:i/>
        </w:rPr>
      </w:pPr>
      <w:r>
        <w:rPr>
          <w:rFonts w:ascii="Arial" w:eastAsia="Arial" w:hAnsi="Arial" w:cs="Arial"/>
          <w:b/>
        </w:rPr>
        <w:t>HFA Best Practice Standard 8-1A &amp; 8-2A</w:t>
      </w:r>
    </w:p>
    <w:p w14:paraId="77A80FBC" w14:textId="77777777" w:rsidR="007F76CA" w:rsidRDefault="0088266B">
      <w:pPr>
        <w:jc w:val="both"/>
        <w:rPr>
          <w:rFonts w:ascii="Arial" w:eastAsia="Arial" w:hAnsi="Arial" w:cs="Arial"/>
          <w:b/>
        </w:rPr>
      </w:pPr>
      <w:r>
        <w:rPr>
          <w:rFonts w:ascii="Arial" w:eastAsia="Arial" w:hAnsi="Arial" w:cs="Arial"/>
          <w:b/>
        </w:rPr>
        <w:t xml:space="preserve">POLICY: </w:t>
      </w:r>
      <w:r>
        <w:rPr>
          <w:rFonts w:ascii="Arial" w:eastAsia="Arial" w:hAnsi="Arial" w:cs="Arial"/>
          <w:b/>
          <w:color w:val="000000"/>
        </w:rPr>
        <w:t xml:space="preserve">Caseload size is based on staff tenure and experience, along with family complexity and service intensity. Supervisors are encouraged to monitor caseload size closely, beginning with gradual increases to an FSS caseload when staff are newly hired and trained. </w:t>
      </w:r>
      <w:r>
        <w:rPr>
          <w:rFonts w:ascii="Arial" w:eastAsia="Arial" w:hAnsi="Arial" w:cs="Arial"/>
          <w:b/>
        </w:rPr>
        <w:t>Family assignments and FSSs’ caseloads are managed to ensure staff have sufficient time to support the needs of families during home visits (BPS 8-</w:t>
      </w:r>
      <w:proofErr w:type="gramStart"/>
      <w:r>
        <w:rPr>
          <w:rFonts w:ascii="Arial" w:eastAsia="Arial" w:hAnsi="Arial" w:cs="Arial"/>
          <w:b/>
        </w:rPr>
        <w:t>2.A</w:t>
      </w:r>
      <w:proofErr w:type="gramEnd"/>
      <w:r>
        <w:rPr>
          <w:rFonts w:ascii="Arial" w:eastAsia="Arial" w:hAnsi="Arial" w:cs="Arial"/>
          <w:b/>
        </w:rPr>
        <w:t xml:space="preserve">). </w:t>
      </w:r>
      <w:r>
        <w:rPr>
          <w:rFonts w:ascii="Arial" w:eastAsia="Arial" w:hAnsi="Arial" w:cs="Arial"/>
          <w:b/>
          <w:color w:val="000000"/>
        </w:rPr>
        <w:t>Full-time Family Support Specialists typically have a caseload capacity at any given time ranging f</w:t>
      </w:r>
      <w:r>
        <w:rPr>
          <w:rFonts w:ascii="Arial" w:eastAsia="Arial" w:hAnsi="Arial" w:cs="Arial"/>
          <w:b/>
          <w:color w:val="000000"/>
        </w:rPr>
        <w:t xml:space="preserve">rom 15-20 families. </w:t>
      </w:r>
      <w:r>
        <w:rPr>
          <w:rFonts w:ascii="Gotham Narrow Book" w:eastAsia="Gotham Narrow Book" w:hAnsi="Gotham Narrow Book" w:cs="Gotham Narrow Book"/>
          <w:b/>
          <w:color w:val="000000"/>
        </w:rPr>
        <w:t>When setting caseload size, it is important to consider staff tenure and experience, along with family complexity and service intensity.</w:t>
      </w:r>
      <w:r>
        <w:rPr>
          <w:rFonts w:ascii="Arial" w:eastAsia="Arial" w:hAnsi="Arial" w:cs="Arial"/>
          <w:b/>
          <w:color w:val="000000"/>
        </w:rPr>
        <w:t xml:space="preserve"> </w:t>
      </w:r>
      <w:r>
        <w:rPr>
          <w:rFonts w:ascii="Arial" w:eastAsia="Arial" w:hAnsi="Arial" w:cs="Arial"/>
          <w:b/>
        </w:rPr>
        <w:t>Programs can use their discretion when determining family complexity. Factors that can be considered include, but are not limited to, those listed below in #5</w:t>
      </w:r>
      <w:proofErr w:type="gramStart"/>
      <w:r>
        <w:rPr>
          <w:rFonts w:ascii="Arial" w:eastAsia="Arial" w:hAnsi="Arial" w:cs="Arial"/>
          <w:b/>
        </w:rPr>
        <w:t>c,d</w:t>
      </w:r>
      <w:proofErr w:type="gramEnd"/>
      <w:r>
        <w:rPr>
          <w:rFonts w:ascii="Arial" w:eastAsia="Arial" w:hAnsi="Arial" w:cs="Arial"/>
          <w:b/>
        </w:rPr>
        <w:t>,g,h or other factors the program determines would increase family complexity (</w:t>
      </w:r>
      <w:r>
        <w:rPr>
          <w:rFonts w:ascii="Arial" w:eastAsia="Arial" w:hAnsi="Arial" w:cs="Arial"/>
          <w:b/>
          <w:i/>
        </w:rPr>
        <w:t>please reference Policy 4-2.A for more information regarding case weight changes based on family complexity</w:t>
      </w:r>
      <w:r>
        <w:rPr>
          <w:rFonts w:ascii="Arial" w:eastAsia="Arial" w:hAnsi="Arial" w:cs="Arial"/>
          <w:b/>
        </w:rPr>
        <w:t>). Super</w:t>
      </w:r>
      <w:r>
        <w:rPr>
          <w:rFonts w:ascii="Arial" w:eastAsia="Arial" w:hAnsi="Arial" w:cs="Arial"/>
          <w:b/>
        </w:rPr>
        <w:t xml:space="preserve">visors use discretion regarding the pace each staff person builds a caseload. </w:t>
      </w:r>
      <w:r>
        <w:rPr>
          <w:rFonts w:ascii="Arial" w:eastAsia="Arial" w:hAnsi="Arial" w:cs="Arial"/>
          <w:b/>
          <w:color w:val="000000"/>
          <w:u w:val="single"/>
        </w:rPr>
        <w:t>Regardless of time in their role, no staff will exceed thirty case weight points.</w:t>
      </w:r>
      <w:r>
        <w:rPr>
          <w:rFonts w:ascii="Arial" w:eastAsia="Arial" w:hAnsi="Arial" w:cs="Arial"/>
          <w:b/>
        </w:rPr>
        <w:t xml:space="preserve"> </w:t>
      </w:r>
      <w:r>
        <w:rPr>
          <w:rFonts w:ascii="Arial" w:eastAsia="Arial" w:hAnsi="Arial" w:cs="Arial"/>
          <w:b/>
          <w:color w:val="000000"/>
        </w:rPr>
        <w:t xml:space="preserve">Situations of exceeding 30 case points (or prorated case weight of staff working less than 40 hour/week) </w:t>
      </w:r>
      <w:r>
        <w:rPr>
          <w:rFonts w:ascii="Arial" w:eastAsia="Arial" w:hAnsi="Arial" w:cs="Arial"/>
          <w:b/>
          <w:color w:val="000000"/>
          <w:shd w:val="clear" w:color="auto" w:fill="93C47D"/>
        </w:rPr>
        <w:t>should not exceed 3 months</w:t>
      </w:r>
      <w:r>
        <w:rPr>
          <w:rFonts w:ascii="Arial" w:eastAsia="Arial" w:hAnsi="Arial" w:cs="Arial"/>
          <w:b/>
          <w:color w:val="000000"/>
        </w:rPr>
        <w:t xml:space="preserve"> and reasons must be documented</w:t>
      </w:r>
      <w:r>
        <w:rPr>
          <w:rFonts w:ascii="Arial" w:eastAsia="Arial" w:hAnsi="Arial" w:cs="Arial"/>
          <w:b/>
        </w:rPr>
        <w:t xml:space="preserve"> in supervision notes under “General Topics” in the “caseload” box. See the chart below to determine prorated case weight according to the number of hours worked as well as length of tenure in the FSS role (BPS 8-1. A) as well as the link of the HFA pro-ration tool in the Appendix for FSSs who </w:t>
      </w:r>
      <w:proofErr w:type="gramStart"/>
      <w:r>
        <w:rPr>
          <w:rFonts w:ascii="Arial" w:eastAsia="Arial" w:hAnsi="Arial" w:cs="Arial"/>
          <w:b/>
        </w:rPr>
        <w:t>are less than 1 FTE in their FSS role</w:t>
      </w:r>
      <w:proofErr w:type="gramEnd"/>
      <w:r>
        <w:rPr>
          <w:rFonts w:ascii="Arial" w:eastAsia="Arial" w:hAnsi="Arial" w:cs="Arial"/>
          <w:b/>
        </w:rPr>
        <w:t>. FSSs may carry a</w:t>
      </w:r>
      <w:r>
        <w:rPr>
          <w:rFonts w:ascii="Arial" w:eastAsia="Arial" w:hAnsi="Arial" w:cs="Arial"/>
          <w:b/>
        </w:rPr>
        <w:t xml:space="preserve"> total caseload of more than the average 15-20 families if their case weight is less than 30</w:t>
      </w:r>
      <w:r>
        <w:rPr>
          <w:rFonts w:ascii="Arial" w:eastAsia="Arial" w:hAnsi="Arial" w:cs="Arial"/>
          <w:b/>
          <w:shd w:val="clear" w:color="auto" w:fill="93C47D"/>
        </w:rPr>
        <w:t xml:space="preserve">* </w:t>
      </w:r>
      <w:r>
        <w:rPr>
          <w:rFonts w:ascii="Arial" w:eastAsia="Arial" w:hAnsi="Arial" w:cs="Arial"/>
          <w:b/>
        </w:rPr>
        <w:t>pts (</w:t>
      </w:r>
      <w:proofErr w:type="spellStart"/>
      <w:r>
        <w:rPr>
          <w:rFonts w:ascii="Arial" w:eastAsia="Arial" w:hAnsi="Arial" w:cs="Arial"/>
          <w:b/>
        </w:rPr>
        <w:t>eg.</w:t>
      </w:r>
      <w:proofErr w:type="spellEnd"/>
      <w:r>
        <w:rPr>
          <w:rFonts w:ascii="Arial" w:eastAsia="Arial" w:hAnsi="Arial" w:cs="Arial"/>
          <w:b/>
        </w:rPr>
        <w:t xml:space="preserve"> if an FSS caseload is largely comprised of Level 3 and 4 families). </w:t>
      </w:r>
    </w:p>
    <w:p w14:paraId="0570A8F2" w14:textId="77777777" w:rsidR="007F76CA" w:rsidRDefault="007F76CA">
      <w:pPr>
        <w:jc w:val="both"/>
        <w:rPr>
          <w:rFonts w:ascii="Arial" w:eastAsia="Arial" w:hAnsi="Arial" w:cs="Arial"/>
          <w:b/>
        </w:rPr>
      </w:pPr>
    </w:p>
    <w:tbl>
      <w:tblPr>
        <w:tblStyle w:val="a1"/>
        <w:tblW w:w="5940" w:type="dxa"/>
        <w:jc w:val="center"/>
        <w:tblLayout w:type="fixed"/>
        <w:tblLook w:val="0400" w:firstRow="0" w:lastRow="0" w:firstColumn="0" w:lastColumn="0" w:noHBand="0" w:noVBand="1"/>
      </w:tblPr>
      <w:tblGrid>
        <w:gridCol w:w="2430"/>
        <w:gridCol w:w="3510"/>
      </w:tblGrid>
      <w:tr w:rsidR="007F76CA" w14:paraId="72523C89" w14:textId="77777777">
        <w:trPr>
          <w:trHeight w:val="300"/>
          <w:jc w:val="center"/>
        </w:trPr>
        <w:tc>
          <w:tcPr>
            <w:tcW w:w="2430" w:type="dxa"/>
            <w:tcBorders>
              <w:top w:val="nil"/>
              <w:left w:val="nil"/>
              <w:right w:val="single" w:sz="4" w:space="0" w:color="000000"/>
            </w:tcBorders>
            <w:shd w:val="clear" w:color="auto" w:fill="auto"/>
            <w:vAlign w:val="center"/>
          </w:tcPr>
          <w:p w14:paraId="4E0DF2F4" w14:textId="77777777" w:rsidR="007F76CA" w:rsidRDefault="007F76CA">
            <w:pPr>
              <w:jc w:val="center"/>
              <w:rPr>
                <w:rFonts w:ascii="Arial" w:eastAsia="Arial" w:hAnsi="Arial" w:cs="Arial"/>
                <w:color w:val="000000"/>
              </w:rPr>
            </w:pPr>
          </w:p>
        </w:tc>
        <w:tc>
          <w:tcPr>
            <w:tcW w:w="3510" w:type="dxa"/>
            <w:tcBorders>
              <w:top w:val="single" w:sz="4" w:space="0" w:color="000000"/>
              <w:left w:val="single" w:sz="4" w:space="0" w:color="000000"/>
              <w:bottom w:val="single" w:sz="4" w:space="0" w:color="000000"/>
              <w:right w:val="single" w:sz="4" w:space="0" w:color="000000"/>
            </w:tcBorders>
            <w:shd w:val="clear" w:color="auto" w:fill="08599D"/>
            <w:vAlign w:val="center"/>
          </w:tcPr>
          <w:p w14:paraId="082E4679" w14:textId="77777777" w:rsidR="007F76CA" w:rsidRDefault="0088266B">
            <w:pPr>
              <w:jc w:val="center"/>
              <w:rPr>
                <w:rFonts w:ascii="Arial" w:eastAsia="Arial" w:hAnsi="Arial" w:cs="Arial"/>
                <w:color w:val="FFFFFF"/>
              </w:rPr>
            </w:pPr>
            <w:r>
              <w:rPr>
                <w:rFonts w:ascii="Arial" w:eastAsia="Arial" w:hAnsi="Arial" w:cs="Arial"/>
                <w:color w:val="FFFFFF"/>
              </w:rPr>
              <w:t xml:space="preserve">0.75 x </w:t>
            </w:r>
            <w:proofErr w:type="spellStart"/>
            <w:r>
              <w:rPr>
                <w:rFonts w:ascii="Arial" w:eastAsia="Arial" w:hAnsi="Arial" w:cs="Arial"/>
                <w:color w:val="FFFFFF"/>
              </w:rPr>
              <w:t>hrs</w:t>
            </w:r>
            <w:proofErr w:type="spellEnd"/>
            <w:r>
              <w:rPr>
                <w:rFonts w:ascii="Arial" w:eastAsia="Arial" w:hAnsi="Arial" w:cs="Arial"/>
                <w:color w:val="FFFFFF"/>
              </w:rPr>
              <w:t>/</w:t>
            </w:r>
            <w:proofErr w:type="spellStart"/>
            <w:r>
              <w:rPr>
                <w:rFonts w:ascii="Arial" w:eastAsia="Arial" w:hAnsi="Arial" w:cs="Arial"/>
                <w:color w:val="FFFFFF"/>
              </w:rPr>
              <w:t>wk</w:t>
            </w:r>
            <w:proofErr w:type="spellEnd"/>
          </w:p>
        </w:tc>
      </w:tr>
      <w:tr w:rsidR="007F76CA" w14:paraId="6F8D31DA" w14:textId="77777777">
        <w:trPr>
          <w:trHeight w:val="750"/>
          <w:jc w:val="center"/>
        </w:trPr>
        <w:tc>
          <w:tcPr>
            <w:tcW w:w="2430" w:type="dxa"/>
            <w:tcBorders>
              <w:left w:val="single" w:sz="4" w:space="0" w:color="000000"/>
              <w:bottom w:val="single" w:sz="4" w:space="0" w:color="000000"/>
              <w:right w:val="single" w:sz="4" w:space="0" w:color="000000"/>
            </w:tcBorders>
            <w:shd w:val="clear" w:color="auto" w:fill="08599D"/>
            <w:vAlign w:val="center"/>
          </w:tcPr>
          <w:p w14:paraId="57E956E5" w14:textId="77777777" w:rsidR="007F76CA" w:rsidRDefault="0088266B">
            <w:pPr>
              <w:jc w:val="center"/>
              <w:rPr>
                <w:rFonts w:ascii="Arial" w:eastAsia="Arial" w:hAnsi="Arial" w:cs="Arial"/>
                <w:color w:val="FFFFFF"/>
                <w:shd w:val="clear" w:color="auto" w:fill="93C47D"/>
              </w:rPr>
            </w:pPr>
            <w:r>
              <w:rPr>
                <w:rFonts w:ascii="Arial" w:eastAsia="Arial" w:hAnsi="Arial" w:cs="Arial"/>
                <w:color w:val="FFFFFF"/>
              </w:rPr>
              <w:t>Hours worked in FSS role</w:t>
            </w:r>
            <w:r>
              <w:rPr>
                <w:rFonts w:ascii="Arial" w:eastAsia="Arial" w:hAnsi="Arial" w:cs="Arial"/>
                <w:color w:val="FFFFFF"/>
                <w:shd w:val="clear" w:color="auto" w:fill="93C47D"/>
              </w:rPr>
              <w:t>*</w:t>
            </w:r>
          </w:p>
        </w:tc>
        <w:tc>
          <w:tcPr>
            <w:tcW w:w="3510" w:type="dxa"/>
            <w:tcBorders>
              <w:top w:val="nil"/>
              <w:left w:val="single" w:sz="8" w:space="0" w:color="000000"/>
              <w:bottom w:val="single" w:sz="4" w:space="0" w:color="000000"/>
              <w:right w:val="single" w:sz="4" w:space="0" w:color="000000"/>
            </w:tcBorders>
            <w:shd w:val="clear" w:color="auto" w:fill="08599D"/>
            <w:vAlign w:val="center"/>
          </w:tcPr>
          <w:p w14:paraId="2DB7643D" w14:textId="77777777" w:rsidR="007F76CA" w:rsidRDefault="0088266B">
            <w:pPr>
              <w:jc w:val="center"/>
              <w:rPr>
                <w:rFonts w:ascii="Arial" w:eastAsia="Arial" w:hAnsi="Arial" w:cs="Arial"/>
                <w:b/>
                <w:i/>
                <w:color w:val="FFFFFF"/>
              </w:rPr>
            </w:pPr>
            <w:r>
              <w:rPr>
                <w:rFonts w:ascii="Arial" w:eastAsia="Arial" w:hAnsi="Arial" w:cs="Arial"/>
                <w:color w:val="FFFFFF"/>
              </w:rPr>
              <w:t>Max Weight</w:t>
            </w:r>
          </w:p>
        </w:tc>
      </w:tr>
      <w:tr w:rsidR="007F76CA" w14:paraId="7B204E7B" w14:textId="77777777">
        <w:trPr>
          <w:trHeight w:val="320"/>
          <w:jc w:val="center"/>
        </w:trPr>
        <w:tc>
          <w:tcPr>
            <w:tcW w:w="2430" w:type="dxa"/>
            <w:tcBorders>
              <w:top w:val="single" w:sz="4" w:space="0" w:color="000000"/>
              <w:left w:val="single" w:sz="4" w:space="0" w:color="000000"/>
              <w:bottom w:val="single" w:sz="4" w:space="0" w:color="000000"/>
            </w:tcBorders>
            <w:shd w:val="clear" w:color="auto" w:fill="BDD7EE"/>
            <w:vAlign w:val="bottom"/>
          </w:tcPr>
          <w:p w14:paraId="16BE7328" w14:textId="77777777" w:rsidR="007F76CA" w:rsidRDefault="0088266B">
            <w:pPr>
              <w:jc w:val="center"/>
              <w:rPr>
                <w:rFonts w:ascii="Arial" w:eastAsia="Arial" w:hAnsi="Arial" w:cs="Arial"/>
                <w:color w:val="000000"/>
              </w:rPr>
            </w:pPr>
            <w:r>
              <w:rPr>
                <w:rFonts w:ascii="Arial" w:eastAsia="Arial" w:hAnsi="Arial" w:cs="Arial"/>
                <w:color w:val="000000"/>
              </w:rPr>
              <w:t>40</w:t>
            </w:r>
          </w:p>
        </w:tc>
        <w:tc>
          <w:tcPr>
            <w:tcW w:w="3510" w:type="dxa"/>
            <w:tcBorders>
              <w:top w:val="single" w:sz="4" w:space="0" w:color="000000"/>
              <w:left w:val="nil"/>
              <w:bottom w:val="single" w:sz="4" w:space="0" w:color="000000"/>
              <w:right w:val="single" w:sz="4" w:space="0" w:color="000000"/>
            </w:tcBorders>
            <w:shd w:val="clear" w:color="auto" w:fill="BDD7EE"/>
            <w:vAlign w:val="bottom"/>
          </w:tcPr>
          <w:p w14:paraId="23547BDB" w14:textId="77777777" w:rsidR="007F76CA" w:rsidRDefault="0088266B">
            <w:pPr>
              <w:jc w:val="center"/>
              <w:rPr>
                <w:rFonts w:ascii="Arial" w:eastAsia="Arial" w:hAnsi="Arial" w:cs="Arial"/>
                <w:color w:val="000000"/>
              </w:rPr>
            </w:pPr>
            <w:r>
              <w:rPr>
                <w:rFonts w:ascii="Arial" w:eastAsia="Arial" w:hAnsi="Arial" w:cs="Arial"/>
                <w:color w:val="000000"/>
              </w:rPr>
              <w:t>30</w:t>
            </w:r>
          </w:p>
        </w:tc>
      </w:tr>
      <w:tr w:rsidR="007F76CA" w14:paraId="421DBF39" w14:textId="77777777">
        <w:trPr>
          <w:trHeight w:val="320"/>
          <w:jc w:val="center"/>
        </w:trPr>
        <w:tc>
          <w:tcPr>
            <w:tcW w:w="2430" w:type="dxa"/>
            <w:tcBorders>
              <w:top w:val="single" w:sz="4" w:space="0" w:color="000000"/>
              <w:left w:val="single" w:sz="4" w:space="0" w:color="000000"/>
              <w:bottom w:val="single" w:sz="4" w:space="0" w:color="000000"/>
            </w:tcBorders>
            <w:shd w:val="clear" w:color="auto" w:fill="BDD7EE"/>
            <w:vAlign w:val="bottom"/>
          </w:tcPr>
          <w:p w14:paraId="216FC14B" w14:textId="77777777" w:rsidR="007F76CA" w:rsidRDefault="0088266B">
            <w:pPr>
              <w:jc w:val="center"/>
              <w:rPr>
                <w:rFonts w:ascii="Arial" w:eastAsia="Arial" w:hAnsi="Arial" w:cs="Arial"/>
                <w:color w:val="000000"/>
              </w:rPr>
            </w:pPr>
            <w:r>
              <w:rPr>
                <w:rFonts w:ascii="Arial" w:eastAsia="Arial" w:hAnsi="Arial" w:cs="Arial"/>
                <w:color w:val="000000"/>
              </w:rPr>
              <w:t>37.5</w:t>
            </w:r>
          </w:p>
        </w:tc>
        <w:tc>
          <w:tcPr>
            <w:tcW w:w="3510" w:type="dxa"/>
            <w:tcBorders>
              <w:top w:val="single" w:sz="4" w:space="0" w:color="000000"/>
              <w:left w:val="nil"/>
              <w:bottom w:val="single" w:sz="4" w:space="0" w:color="000000"/>
              <w:right w:val="single" w:sz="4" w:space="0" w:color="000000"/>
            </w:tcBorders>
            <w:shd w:val="clear" w:color="auto" w:fill="BDD7EE"/>
            <w:vAlign w:val="bottom"/>
          </w:tcPr>
          <w:p w14:paraId="5757106B" w14:textId="77777777" w:rsidR="007F76CA" w:rsidRDefault="0088266B">
            <w:pPr>
              <w:jc w:val="center"/>
              <w:rPr>
                <w:rFonts w:ascii="Arial" w:eastAsia="Arial" w:hAnsi="Arial" w:cs="Arial"/>
                <w:color w:val="000000"/>
              </w:rPr>
            </w:pPr>
            <w:r>
              <w:rPr>
                <w:rFonts w:ascii="Arial" w:eastAsia="Arial" w:hAnsi="Arial" w:cs="Arial"/>
                <w:color w:val="000000"/>
              </w:rPr>
              <w:t>28</w:t>
            </w:r>
          </w:p>
        </w:tc>
      </w:tr>
      <w:tr w:rsidR="007F76CA" w14:paraId="4F2A3B04" w14:textId="77777777">
        <w:trPr>
          <w:trHeight w:val="320"/>
          <w:jc w:val="center"/>
        </w:trPr>
        <w:tc>
          <w:tcPr>
            <w:tcW w:w="2430" w:type="dxa"/>
            <w:tcBorders>
              <w:top w:val="single" w:sz="4" w:space="0" w:color="000000"/>
              <w:left w:val="single" w:sz="4" w:space="0" w:color="000000"/>
              <w:bottom w:val="single" w:sz="4" w:space="0" w:color="000000"/>
            </w:tcBorders>
            <w:shd w:val="clear" w:color="auto" w:fill="BDD7EE"/>
            <w:vAlign w:val="bottom"/>
          </w:tcPr>
          <w:p w14:paraId="0A3DCC32" w14:textId="77777777" w:rsidR="007F76CA" w:rsidRDefault="0088266B">
            <w:pPr>
              <w:jc w:val="center"/>
              <w:rPr>
                <w:rFonts w:ascii="Arial" w:eastAsia="Arial" w:hAnsi="Arial" w:cs="Arial"/>
                <w:color w:val="000000"/>
              </w:rPr>
            </w:pPr>
            <w:r>
              <w:rPr>
                <w:rFonts w:ascii="Arial" w:eastAsia="Arial" w:hAnsi="Arial" w:cs="Arial"/>
                <w:color w:val="000000"/>
              </w:rPr>
              <w:t>35</w:t>
            </w:r>
          </w:p>
        </w:tc>
        <w:tc>
          <w:tcPr>
            <w:tcW w:w="3510" w:type="dxa"/>
            <w:tcBorders>
              <w:top w:val="single" w:sz="4" w:space="0" w:color="000000"/>
              <w:left w:val="nil"/>
              <w:bottom w:val="single" w:sz="4" w:space="0" w:color="000000"/>
              <w:right w:val="single" w:sz="4" w:space="0" w:color="000000"/>
            </w:tcBorders>
            <w:shd w:val="clear" w:color="auto" w:fill="BDD7EE"/>
            <w:vAlign w:val="bottom"/>
          </w:tcPr>
          <w:p w14:paraId="7FCF4F82" w14:textId="77777777" w:rsidR="007F76CA" w:rsidRDefault="0088266B">
            <w:pPr>
              <w:jc w:val="center"/>
              <w:rPr>
                <w:rFonts w:ascii="Arial" w:eastAsia="Arial" w:hAnsi="Arial" w:cs="Arial"/>
                <w:color w:val="000000"/>
              </w:rPr>
            </w:pPr>
            <w:r>
              <w:rPr>
                <w:rFonts w:ascii="Arial" w:eastAsia="Arial" w:hAnsi="Arial" w:cs="Arial"/>
                <w:color w:val="000000"/>
              </w:rPr>
              <w:t>26</w:t>
            </w:r>
          </w:p>
        </w:tc>
      </w:tr>
      <w:tr w:rsidR="007F76CA" w14:paraId="5B4B1FB4" w14:textId="77777777">
        <w:trPr>
          <w:trHeight w:val="320"/>
          <w:jc w:val="center"/>
        </w:trPr>
        <w:tc>
          <w:tcPr>
            <w:tcW w:w="2430" w:type="dxa"/>
            <w:tcBorders>
              <w:top w:val="single" w:sz="4" w:space="0" w:color="000000"/>
              <w:left w:val="single" w:sz="4" w:space="0" w:color="000000"/>
              <w:bottom w:val="single" w:sz="4" w:space="0" w:color="000000"/>
            </w:tcBorders>
            <w:shd w:val="clear" w:color="auto" w:fill="BDD7EE"/>
            <w:vAlign w:val="bottom"/>
          </w:tcPr>
          <w:p w14:paraId="2226EDFC" w14:textId="77777777" w:rsidR="007F76CA" w:rsidRDefault="0088266B">
            <w:pPr>
              <w:jc w:val="center"/>
              <w:rPr>
                <w:rFonts w:ascii="Arial" w:eastAsia="Arial" w:hAnsi="Arial" w:cs="Arial"/>
                <w:color w:val="000000"/>
              </w:rPr>
            </w:pPr>
            <w:r>
              <w:rPr>
                <w:rFonts w:ascii="Arial" w:eastAsia="Arial" w:hAnsi="Arial" w:cs="Arial"/>
                <w:color w:val="000000"/>
              </w:rPr>
              <w:t>20</w:t>
            </w:r>
          </w:p>
        </w:tc>
        <w:tc>
          <w:tcPr>
            <w:tcW w:w="3510" w:type="dxa"/>
            <w:tcBorders>
              <w:top w:val="single" w:sz="4" w:space="0" w:color="000000"/>
              <w:left w:val="nil"/>
              <w:bottom w:val="single" w:sz="4" w:space="0" w:color="000000"/>
              <w:right w:val="single" w:sz="4" w:space="0" w:color="000000"/>
            </w:tcBorders>
            <w:shd w:val="clear" w:color="auto" w:fill="BDD7EE"/>
            <w:vAlign w:val="bottom"/>
          </w:tcPr>
          <w:p w14:paraId="4A8494BE" w14:textId="77777777" w:rsidR="007F76CA" w:rsidRDefault="0088266B">
            <w:pPr>
              <w:jc w:val="center"/>
              <w:rPr>
                <w:rFonts w:ascii="Arial" w:eastAsia="Arial" w:hAnsi="Arial" w:cs="Arial"/>
                <w:color w:val="000000"/>
              </w:rPr>
            </w:pPr>
            <w:r>
              <w:rPr>
                <w:rFonts w:ascii="Arial" w:eastAsia="Arial" w:hAnsi="Arial" w:cs="Arial"/>
                <w:color w:val="000000"/>
              </w:rPr>
              <w:t>15</w:t>
            </w:r>
          </w:p>
        </w:tc>
      </w:tr>
    </w:tbl>
    <w:p w14:paraId="6C0C1EB2" w14:textId="77777777" w:rsidR="007F76CA" w:rsidRDefault="0088266B">
      <w:pPr>
        <w:jc w:val="both"/>
        <w:rPr>
          <w:rFonts w:ascii="Arial" w:eastAsia="Arial" w:hAnsi="Arial" w:cs="Arial"/>
          <w:b/>
          <w:u w:val="single"/>
        </w:rPr>
      </w:pPr>
      <w:r>
        <w:rPr>
          <w:rFonts w:ascii="Arial" w:eastAsia="Arial" w:hAnsi="Arial" w:cs="Arial"/>
          <w:u w:val="single"/>
        </w:rPr>
        <w:lastRenderedPageBreak/>
        <w:t>HFNY Policy Guidelines</w:t>
      </w:r>
    </w:p>
    <w:p w14:paraId="2802787E" w14:textId="77777777" w:rsidR="007F76CA" w:rsidRDefault="0088266B">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The supervisor and home visitor monitor caseloads and case weights during supervision. </w:t>
      </w:r>
    </w:p>
    <w:p w14:paraId="01D54DEC" w14:textId="77777777" w:rsidR="007F76CA" w:rsidRDefault="0088266B">
      <w:pPr>
        <w:numPr>
          <w:ilvl w:val="0"/>
          <w:numId w:val="5"/>
        </w:numPr>
        <w:spacing w:after="0" w:line="240" w:lineRule="auto"/>
        <w:jc w:val="both"/>
        <w:rPr>
          <w:rFonts w:ascii="Arial" w:eastAsia="Arial" w:hAnsi="Arial" w:cs="Arial"/>
          <w:b/>
        </w:rPr>
      </w:pPr>
      <w:r>
        <w:rPr>
          <w:rFonts w:ascii="Arial" w:eastAsia="Arial" w:hAnsi="Arial" w:cs="Arial"/>
        </w:rPr>
        <w:t xml:space="preserve">The chart above determines a full-time home visitor’s maximum case weight that can be served according to the number of hours worked a week. Staff FTEs and hours per week must be entered into the MIS on the Worker Form </w:t>
      </w:r>
    </w:p>
    <w:p w14:paraId="6F1B0989" w14:textId="77777777" w:rsidR="007F76CA" w:rsidRDefault="0088266B">
      <w:pPr>
        <w:numPr>
          <w:ilvl w:val="0"/>
          <w:numId w:val="5"/>
        </w:numPr>
        <w:spacing w:after="0" w:line="240" w:lineRule="auto"/>
        <w:jc w:val="both"/>
        <w:rPr>
          <w:rFonts w:ascii="Arial" w:eastAsia="Arial" w:hAnsi="Arial" w:cs="Arial"/>
          <w:b/>
        </w:rPr>
      </w:pPr>
      <w:r>
        <w:rPr>
          <w:rFonts w:ascii="Arial" w:eastAsia="Arial" w:hAnsi="Arial" w:cs="Arial"/>
        </w:rPr>
        <w:t>The site will prorate caseload size based on the home visitor’s full-time equivalency.</w:t>
      </w:r>
    </w:p>
    <w:p w14:paraId="7B49AC74" w14:textId="77777777" w:rsidR="007F76CA" w:rsidRDefault="0088266B">
      <w:pPr>
        <w:numPr>
          <w:ilvl w:val="0"/>
          <w:numId w:val="5"/>
        </w:numPr>
        <w:spacing w:after="0" w:line="240" w:lineRule="auto"/>
        <w:jc w:val="both"/>
        <w:rPr>
          <w:rFonts w:ascii="Arial" w:eastAsia="Arial" w:hAnsi="Arial" w:cs="Arial"/>
          <w:b/>
        </w:rPr>
      </w:pPr>
      <w:r>
        <w:rPr>
          <w:rFonts w:ascii="Arial" w:eastAsia="Arial" w:hAnsi="Arial" w:cs="Arial"/>
        </w:rPr>
        <w:t xml:space="preserve">There may be temporary periods when case weights exceed maximum size (for example, a home visitor leaves the </w:t>
      </w:r>
      <w:proofErr w:type="gramStart"/>
      <w:r>
        <w:rPr>
          <w:rFonts w:ascii="Arial" w:eastAsia="Arial" w:hAnsi="Arial" w:cs="Arial"/>
        </w:rPr>
        <w:t>program</w:t>
      </w:r>
      <w:proofErr w:type="gramEnd"/>
      <w:r>
        <w:rPr>
          <w:rFonts w:ascii="Arial" w:eastAsia="Arial" w:hAnsi="Arial" w:cs="Arial"/>
        </w:rPr>
        <w:t xml:space="preserve"> and the caseload is dispersed among existing home visitors until another home visitor is hired). When this occurs, the reason is clearly documented in supervision notes under “General Topics” in the “caseload” box. Sites ensure that the time does not exceed three months.</w:t>
      </w:r>
    </w:p>
    <w:p w14:paraId="5469CD42" w14:textId="77777777" w:rsidR="007F76CA" w:rsidRDefault="0088266B">
      <w:pPr>
        <w:numPr>
          <w:ilvl w:val="0"/>
          <w:numId w:val="5"/>
        </w:numPr>
        <w:spacing w:after="0" w:line="240" w:lineRule="auto"/>
        <w:jc w:val="both"/>
        <w:rPr>
          <w:rFonts w:ascii="Arial" w:eastAsia="Arial" w:hAnsi="Arial" w:cs="Arial"/>
          <w:b/>
        </w:rPr>
      </w:pPr>
      <w:r>
        <w:rPr>
          <w:rFonts w:ascii="Arial" w:eastAsia="Arial" w:hAnsi="Arial" w:cs="Arial"/>
        </w:rPr>
        <w:t>When making caseload assignments, the supervisor will take into consideration the following:</w:t>
      </w:r>
    </w:p>
    <w:p w14:paraId="79F44533" w14:textId="77777777" w:rsidR="007F76CA" w:rsidRDefault="0088266B">
      <w:pPr>
        <w:numPr>
          <w:ilvl w:val="0"/>
          <w:numId w:val="6"/>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Experience and skill level of the FSS assigned</w:t>
      </w:r>
    </w:p>
    <w:p w14:paraId="2B0FA8C5" w14:textId="77777777" w:rsidR="007F76CA" w:rsidRDefault="0088266B">
      <w:pPr>
        <w:numPr>
          <w:ilvl w:val="0"/>
          <w:numId w:val="6"/>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Length of time in the FSS role </w:t>
      </w:r>
    </w:p>
    <w:p w14:paraId="12CA4F22" w14:textId="77777777" w:rsidR="007F76CA" w:rsidRDefault="0088266B">
      <w:pPr>
        <w:numPr>
          <w:ilvl w:val="0"/>
          <w:numId w:val="6"/>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Nature and difficulty of the problems encountered with families and difficulty of family dynamics</w:t>
      </w:r>
    </w:p>
    <w:p w14:paraId="764A7C5A" w14:textId="77777777" w:rsidR="007F76CA" w:rsidRDefault="0088266B">
      <w:pPr>
        <w:numPr>
          <w:ilvl w:val="0"/>
          <w:numId w:val="6"/>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Work and time required to serve each family (including but not limited </w:t>
      </w:r>
      <w:proofErr w:type="gramStart"/>
      <w:r>
        <w:rPr>
          <w:rFonts w:ascii="Arial" w:eastAsia="Arial" w:hAnsi="Arial" w:cs="Arial"/>
          <w:color w:val="000000"/>
        </w:rPr>
        <w:t>to:</w:t>
      </w:r>
      <w:proofErr w:type="gramEnd"/>
      <w:r>
        <w:rPr>
          <w:rFonts w:ascii="Arial" w:eastAsia="Arial" w:hAnsi="Arial" w:cs="Arial"/>
          <w:color w:val="000000"/>
        </w:rPr>
        <w:t xml:space="preserve"> child welfare involved families, families that require translation, multiple births, etc.)</w:t>
      </w:r>
    </w:p>
    <w:p w14:paraId="229180F5" w14:textId="77777777" w:rsidR="007F76CA" w:rsidRDefault="0088266B">
      <w:pPr>
        <w:numPr>
          <w:ilvl w:val="0"/>
          <w:numId w:val="6"/>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Consideration of potential worker conflict or boundary challenge owing to an existing personal relationship</w:t>
      </w:r>
    </w:p>
    <w:p w14:paraId="430CFF03" w14:textId="77777777" w:rsidR="007F76CA" w:rsidRDefault="0088266B">
      <w:pPr>
        <w:numPr>
          <w:ilvl w:val="0"/>
          <w:numId w:val="6"/>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Current staff capacity</w:t>
      </w:r>
    </w:p>
    <w:p w14:paraId="649FDEEB" w14:textId="77777777" w:rsidR="007F76CA" w:rsidRDefault="0088266B">
      <w:pPr>
        <w:numPr>
          <w:ilvl w:val="0"/>
          <w:numId w:val="6"/>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Extent of other resources available in the community to meet family needs</w:t>
      </w:r>
    </w:p>
    <w:p w14:paraId="6437CC7D" w14:textId="77777777" w:rsidR="007F76CA" w:rsidRDefault="0088266B">
      <w:pPr>
        <w:numPr>
          <w:ilvl w:val="0"/>
          <w:numId w:val="6"/>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Travel and other non-direct service time required to fulfill the home visitor’s responsibilities</w:t>
      </w:r>
    </w:p>
    <w:p w14:paraId="4BACBF8F" w14:textId="77777777" w:rsidR="007F76CA" w:rsidRDefault="0088266B">
      <w:pPr>
        <w:numPr>
          <w:ilvl w:val="0"/>
          <w:numId w:val="6"/>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 assigned duties</w:t>
      </w:r>
    </w:p>
    <w:p w14:paraId="3D3DBD39" w14:textId="77777777" w:rsidR="007F76CA" w:rsidRDefault="007F76CA">
      <w:pPr>
        <w:pBdr>
          <w:top w:val="nil"/>
          <w:left w:val="nil"/>
          <w:bottom w:val="nil"/>
          <w:right w:val="nil"/>
          <w:between w:val="nil"/>
        </w:pBdr>
        <w:spacing w:after="0" w:line="240" w:lineRule="auto"/>
        <w:rPr>
          <w:rFonts w:ascii="Arial" w:eastAsia="Arial" w:hAnsi="Arial" w:cs="Arial"/>
        </w:rPr>
      </w:pPr>
    </w:p>
    <w:p w14:paraId="0490F93F" w14:textId="77777777" w:rsidR="007F76CA" w:rsidRDefault="0088266B">
      <w:pPr>
        <w:jc w:val="both"/>
        <w:rPr>
          <w:rFonts w:ascii="Arial" w:eastAsia="Arial" w:hAnsi="Arial" w:cs="Arial"/>
        </w:rPr>
      </w:pPr>
      <w:r>
        <w:rPr>
          <w:noProof/>
        </w:rPr>
        <mc:AlternateContent>
          <mc:Choice Requires="wpg">
            <w:drawing>
              <wp:anchor distT="4294967275" distB="4294967275" distL="114300" distR="114300" simplePos="0" relativeHeight="251661312" behindDoc="0" locked="0" layoutInCell="1" hidden="0" allowOverlap="1" wp14:anchorId="17E80335" wp14:editId="3ACFC911">
                <wp:simplePos x="0" y="0"/>
                <wp:positionH relativeFrom="column">
                  <wp:posOffset>12701</wp:posOffset>
                </wp:positionH>
                <wp:positionV relativeFrom="paragraph">
                  <wp:posOffset>93976</wp:posOffset>
                </wp:positionV>
                <wp:extent cx="5960745" cy="60325"/>
                <wp:effectExtent l="0" t="0" r="0" b="0"/>
                <wp:wrapNone/>
                <wp:docPr id="57" name="Straight Arrow Connector 57"/>
                <wp:cNvGraphicFramePr/>
                <a:graphic xmlns:a="http://schemas.openxmlformats.org/drawingml/2006/main">
                  <a:graphicData uri="http://schemas.microsoft.com/office/word/2010/wordprocessingShape">
                    <wps:wsp>
                      <wps:cNvCnPr/>
                      <wps:spPr>
                        <a:xfrm>
                          <a:off x="2389440" y="3780000"/>
                          <a:ext cx="5913120"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75" distT="4294967275" distL="114300" distR="114300" hidden="0" layoutInCell="1" locked="0" relativeHeight="0" simplePos="0">
                <wp:simplePos x="0" y="0"/>
                <wp:positionH relativeFrom="column">
                  <wp:posOffset>12701</wp:posOffset>
                </wp:positionH>
                <wp:positionV relativeFrom="paragraph">
                  <wp:posOffset>93976</wp:posOffset>
                </wp:positionV>
                <wp:extent cx="5960745" cy="60325"/>
                <wp:effectExtent b="0" l="0" r="0" t="0"/>
                <wp:wrapNone/>
                <wp:docPr id="57"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60745" cy="60325"/>
                        </a:xfrm>
                        <a:prstGeom prst="rect"/>
                        <a:ln/>
                      </pic:spPr>
                    </pic:pic>
                  </a:graphicData>
                </a:graphic>
              </wp:anchor>
            </w:drawing>
          </mc:Fallback>
        </mc:AlternateContent>
      </w:r>
    </w:p>
    <w:p w14:paraId="48B68894" w14:textId="77777777" w:rsidR="007F76CA" w:rsidRDefault="0088266B">
      <w:pPr>
        <w:spacing w:line="251" w:lineRule="auto"/>
        <w:ind w:left="-10"/>
        <w:rPr>
          <w:rFonts w:ascii="Arial" w:eastAsia="Arial" w:hAnsi="Arial" w:cs="Arial"/>
          <w:b/>
        </w:rPr>
      </w:pPr>
      <w:r>
        <w:rPr>
          <w:rFonts w:ascii="Arial" w:eastAsia="Arial" w:hAnsi="Arial" w:cs="Arial"/>
          <w:b/>
        </w:rPr>
        <w:t xml:space="preserve">The site will adhere to all HFNY Policy Guidelines specified above. In addition, please insert site-specific procedures that: </w:t>
      </w:r>
    </w:p>
    <w:p w14:paraId="1DA2736E" w14:textId="77777777" w:rsidR="007F76CA" w:rsidRDefault="0088266B">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Describe how the caseload and case weight is monitored by the supervisor and FSS during supervision </w:t>
      </w:r>
    </w:p>
    <w:p w14:paraId="7C32F862" w14:textId="77777777" w:rsidR="007F76CA" w:rsidRDefault="0088266B">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Describe who will be responsible for completing the Worker Form in the MIS</w:t>
      </w:r>
    </w:p>
    <w:p w14:paraId="4A6FB4FF" w14:textId="77777777" w:rsidR="007F76CA" w:rsidRDefault="0088266B">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Describe the process the site will use to ensure that work hours and FTE specified in the MIS is used to determine case assignments</w:t>
      </w:r>
    </w:p>
    <w:p w14:paraId="3A7F7BF8" w14:textId="77777777" w:rsidR="007F76CA" w:rsidRDefault="0088266B">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Specify circumstances under which staff case weights might exceed 30pts and how the site will monitor case weights to ensure it doesn’t exceed 30 pts for more than 3 months</w:t>
      </w:r>
    </w:p>
    <w:p w14:paraId="47C3B10F" w14:textId="77777777" w:rsidR="007F76CA" w:rsidRDefault="0088266B">
      <w:pPr>
        <w:numPr>
          <w:ilvl w:val="0"/>
          <w:numId w:val="2"/>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Describe how the supervisor will take into consideration when making caseload assignments the following:</w:t>
      </w:r>
    </w:p>
    <w:p w14:paraId="396C6FBB" w14:textId="77777777" w:rsidR="007F76CA" w:rsidRDefault="0088266B">
      <w:pPr>
        <w:numPr>
          <w:ilvl w:val="1"/>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Experience and skill level of the FSS assigned</w:t>
      </w:r>
    </w:p>
    <w:p w14:paraId="10072643" w14:textId="77777777" w:rsidR="007F76CA" w:rsidRDefault="0088266B">
      <w:pPr>
        <w:numPr>
          <w:ilvl w:val="1"/>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Length of time in the FSS role </w:t>
      </w:r>
    </w:p>
    <w:p w14:paraId="7D539D32" w14:textId="77777777" w:rsidR="007F76CA" w:rsidRDefault="0088266B">
      <w:pPr>
        <w:numPr>
          <w:ilvl w:val="1"/>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Nature and difficulty of the problems encountered with families and difficulty of family dynamics</w:t>
      </w:r>
    </w:p>
    <w:p w14:paraId="0BC28499" w14:textId="77777777" w:rsidR="007F76CA" w:rsidRDefault="0088266B">
      <w:pPr>
        <w:numPr>
          <w:ilvl w:val="1"/>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Work and time required to serve each family (including but not limited </w:t>
      </w:r>
      <w:proofErr w:type="gramStart"/>
      <w:r>
        <w:rPr>
          <w:rFonts w:ascii="Arial" w:eastAsia="Arial" w:hAnsi="Arial" w:cs="Arial"/>
          <w:color w:val="000000"/>
        </w:rPr>
        <w:t>to:</w:t>
      </w:r>
      <w:proofErr w:type="gramEnd"/>
      <w:r>
        <w:rPr>
          <w:rFonts w:ascii="Arial" w:eastAsia="Arial" w:hAnsi="Arial" w:cs="Arial"/>
          <w:color w:val="000000"/>
        </w:rPr>
        <w:t xml:space="preserve"> child welfare involved families, families that require translation, multiple births, etc.)</w:t>
      </w:r>
    </w:p>
    <w:p w14:paraId="406597C1" w14:textId="77777777" w:rsidR="007F76CA" w:rsidRDefault="0088266B">
      <w:pPr>
        <w:numPr>
          <w:ilvl w:val="1"/>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Consideration of potential worker conflict or boundary challenge owing to an existing personal relationship</w:t>
      </w:r>
    </w:p>
    <w:p w14:paraId="147BAD78" w14:textId="77777777" w:rsidR="007F76CA" w:rsidRDefault="0088266B">
      <w:pPr>
        <w:numPr>
          <w:ilvl w:val="1"/>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Current staff capacity</w:t>
      </w:r>
    </w:p>
    <w:p w14:paraId="67BA8CB7" w14:textId="77777777" w:rsidR="007F76CA" w:rsidRDefault="0088266B">
      <w:pPr>
        <w:numPr>
          <w:ilvl w:val="1"/>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Extent of other resources available in the community to meet family needs</w:t>
      </w:r>
    </w:p>
    <w:p w14:paraId="7AB52430" w14:textId="77777777" w:rsidR="007F76CA" w:rsidRDefault="0088266B">
      <w:pPr>
        <w:numPr>
          <w:ilvl w:val="1"/>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lastRenderedPageBreak/>
        <w:t>Travel and other non-direct service time required to fulfill the home visitor’s responsibilities</w:t>
      </w:r>
    </w:p>
    <w:p w14:paraId="123A523B" w14:textId="77777777" w:rsidR="007F76CA" w:rsidRDefault="0088266B">
      <w:pPr>
        <w:numPr>
          <w:ilvl w:val="1"/>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Other assigned duties</w:t>
      </w:r>
    </w:p>
    <w:p w14:paraId="62716099" w14:textId="77777777" w:rsidR="007F76CA" w:rsidRDefault="0088266B">
      <w:pPr>
        <w:spacing w:after="0" w:line="240" w:lineRule="auto"/>
        <w:jc w:val="center"/>
        <w:rPr>
          <w:rFonts w:ascii="Arial" w:eastAsia="Arial" w:hAnsi="Arial" w:cs="Arial"/>
          <w:b/>
          <w:sz w:val="28"/>
          <w:szCs w:val="28"/>
        </w:rPr>
      </w:pPr>
      <w:r>
        <w:rPr>
          <w:noProof/>
        </w:rPr>
        <mc:AlternateContent>
          <mc:Choice Requires="wpg">
            <w:drawing>
              <wp:anchor distT="4294967275" distB="4294967275" distL="114300" distR="114300" simplePos="0" relativeHeight="251662336" behindDoc="0" locked="0" layoutInCell="1" hidden="0" allowOverlap="1" wp14:anchorId="50616F96" wp14:editId="4502A23C">
                <wp:simplePos x="0" y="0"/>
                <wp:positionH relativeFrom="column">
                  <wp:posOffset>1</wp:posOffset>
                </wp:positionH>
                <wp:positionV relativeFrom="paragraph">
                  <wp:posOffset>106676</wp:posOffset>
                </wp:positionV>
                <wp:extent cx="5960745" cy="60325"/>
                <wp:effectExtent l="0" t="0" r="0" b="0"/>
                <wp:wrapNone/>
                <wp:docPr id="54" name="Straight Arrow Connector 54"/>
                <wp:cNvGraphicFramePr/>
                <a:graphic xmlns:a="http://schemas.openxmlformats.org/drawingml/2006/main">
                  <a:graphicData uri="http://schemas.microsoft.com/office/word/2010/wordprocessingShape">
                    <wps:wsp>
                      <wps:cNvCnPr/>
                      <wps:spPr>
                        <a:xfrm>
                          <a:off x="2379915" y="3764125"/>
                          <a:ext cx="5932170" cy="3175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75" distT="4294967275" distL="114300" distR="114300" hidden="0" layoutInCell="1" locked="0" relativeHeight="0" simplePos="0">
                <wp:simplePos x="0" y="0"/>
                <wp:positionH relativeFrom="column">
                  <wp:posOffset>1</wp:posOffset>
                </wp:positionH>
                <wp:positionV relativeFrom="paragraph">
                  <wp:posOffset>106676</wp:posOffset>
                </wp:positionV>
                <wp:extent cx="5960745" cy="60325"/>
                <wp:effectExtent b="0" l="0" r="0" t="0"/>
                <wp:wrapNone/>
                <wp:docPr id="5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960745" cy="60325"/>
                        </a:xfrm>
                        <a:prstGeom prst="rect"/>
                        <a:ln/>
                      </pic:spPr>
                    </pic:pic>
                  </a:graphicData>
                </a:graphic>
              </wp:anchor>
            </w:drawing>
          </mc:Fallback>
        </mc:AlternateContent>
      </w:r>
    </w:p>
    <w:p w14:paraId="3293AC25" w14:textId="77777777" w:rsidR="007F76CA" w:rsidRDefault="007F76CA">
      <w:pPr>
        <w:spacing w:after="0" w:line="240" w:lineRule="auto"/>
        <w:jc w:val="center"/>
        <w:rPr>
          <w:rFonts w:ascii="Arial" w:eastAsia="Arial" w:hAnsi="Arial" w:cs="Arial"/>
          <w:b/>
          <w:sz w:val="28"/>
          <w:szCs w:val="28"/>
        </w:rPr>
      </w:pPr>
    </w:p>
    <w:p w14:paraId="663FC3C2" w14:textId="77777777" w:rsidR="007F76CA" w:rsidRDefault="007F76CA">
      <w:pPr>
        <w:spacing w:after="0" w:line="240" w:lineRule="auto"/>
        <w:jc w:val="center"/>
        <w:rPr>
          <w:rFonts w:ascii="Arial" w:eastAsia="Arial" w:hAnsi="Arial" w:cs="Arial"/>
          <w:b/>
          <w:sz w:val="28"/>
          <w:szCs w:val="28"/>
        </w:rPr>
      </w:pPr>
    </w:p>
    <w:p w14:paraId="3745CBC9" w14:textId="77777777" w:rsidR="007F76CA" w:rsidRDefault="007F76CA">
      <w:pPr>
        <w:spacing w:after="0" w:line="240" w:lineRule="auto"/>
        <w:jc w:val="center"/>
        <w:rPr>
          <w:rFonts w:ascii="Arial" w:eastAsia="Arial" w:hAnsi="Arial" w:cs="Arial"/>
          <w:b/>
          <w:sz w:val="28"/>
          <w:szCs w:val="28"/>
        </w:rPr>
      </w:pPr>
    </w:p>
    <w:p w14:paraId="0BA79D7D" w14:textId="77777777" w:rsidR="007F76CA" w:rsidRDefault="0088266B">
      <w:pPr>
        <w:spacing w:after="0" w:line="240" w:lineRule="auto"/>
        <w:jc w:val="center"/>
        <w:rPr>
          <w:rFonts w:ascii="Arial" w:eastAsia="Arial" w:hAnsi="Arial" w:cs="Arial"/>
          <w:b/>
          <w:sz w:val="28"/>
          <w:szCs w:val="28"/>
        </w:rPr>
      </w:pPr>
      <w:r>
        <w:rPr>
          <w:rFonts w:ascii="Arial" w:eastAsia="Arial" w:hAnsi="Arial" w:cs="Arial"/>
          <w:b/>
          <w:sz w:val="28"/>
          <w:szCs w:val="28"/>
        </w:rPr>
        <w:t>Reference Table</w:t>
      </w:r>
    </w:p>
    <w:p w14:paraId="3851721E" w14:textId="77777777" w:rsidR="007F76CA" w:rsidRDefault="0088266B">
      <w:pPr>
        <w:spacing w:after="0" w:line="240" w:lineRule="auto"/>
        <w:jc w:val="center"/>
        <w:rPr>
          <w:rFonts w:ascii="Arial" w:eastAsia="Arial" w:hAnsi="Arial" w:cs="Arial"/>
          <w:b/>
          <w:sz w:val="28"/>
          <w:szCs w:val="28"/>
        </w:rPr>
      </w:pPr>
      <w:r>
        <w:rPr>
          <w:rFonts w:ascii="Arial" w:eastAsia="Arial" w:hAnsi="Arial" w:cs="Arial"/>
          <w:b/>
          <w:sz w:val="28"/>
          <w:szCs w:val="28"/>
        </w:rPr>
        <w:t>Best Practice Standard 8</w:t>
      </w:r>
    </w:p>
    <w:p w14:paraId="2793BB19" w14:textId="77777777" w:rsidR="007F76CA" w:rsidRDefault="007F76CA">
      <w:pPr>
        <w:spacing w:after="0" w:line="240" w:lineRule="auto"/>
        <w:jc w:val="center"/>
        <w:rPr>
          <w:rFonts w:ascii="Arial" w:eastAsia="Arial" w:hAnsi="Arial" w:cs="Arial"/>
        </w:rPr>
      </w:pPr>
    </w:p>
    <w:p w14:paraId="697D6B85" w14:textId="77777777" w:rsidR="007F76CA" w:rsidRDefault="0088266B">
      <w:pPr>
        <w:spacing w:line="240" w:lineRule="auto"/>
        <w:jc w:val="center"/>
        <w:rPr>
          <w:rFonts w:ascii="Arial" w:eastAsia="Arial" w:hAnsi="Arial" w:cs="Arial"/>
        </w:rPr>
      </w:pPr>
      <w:r>
        <w:rPr>
          <w:rFonts w:ascii="Arial" w:eastAsia="Arial" w:hAnsi="Arial" w:cs="Arial"/>
          <w:i/>
        </w:rPr>
        <w:t>This reference table contains a list of reports in the MIS that can be used to help programs monitor fidelity as well as helpful links and documents related to each policy.</w:t>
      </w:r>
      <w:r>
        <w:rPr>
          <w:rFonts w:ascii="Arial" w:eastAsia="Arial" w:hAnsi="Arial" w:cs="Arial"/>
        </w:rPr>
        <w:br/>
      </w:r>
    </w:p>
    <w:tbl>
      <w:tblPr>
        <w:tblStyle w:val="a2"/>
        <w:tblW w:w="10205"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4340"/>
        <w:gridCol w:w="3960"/>
      </w:tblGrid>
      <w:tr w:rsidR="007F76CA" w14:paraId="04E16186" w14:textId="77777777">
        <w:tc>
          <w:tcPr>
            <w:tcW w:w="1905" w:type="dxa"/>
            <w:shd w:val="clear" w:color="auto" w:fill="B7B7B7"/>
            <w:tcMar>
              <w:top w:w="100" w:type="dxa"/>
              <w:left w:w="100" w:type="dxa"/>
              <w:bottom w:w="100" w:type="dxa"/>
              <w:right w:w="100" w:type="dxa"/>
            </w:tcMar>
          </w:tcPr>
          <w:p w14:paraId="0B92CB6D" w14:textId="77777777" w:rsidR="007F76CA" w:rsidRDefault="0088266B">
            <w:pPr>
              <w:widowControl w:val="0"/>
              <w:rPr>
                <w:rFonts w:ascii="Arial" w:eastAsia="Arial" w:hAnsi="Arial" w:cs="Arial"/>
                <w:b/>
                <w:sz w:val="28"/>
                <w:szCs w:val="28"/>
              </w:rPr>
            </w:pPr>
            <w:r>
              <w:rPr>
                <w:rFonts w:ascii="Arial" w:eastAsia="Arial" w:hAnsi="Arial" w:cs="Arial"/>
                <w:b/>
                <w:sz w:val="28"/>
                <w:szCs w:val="28"/>
              </w:rPr>
              <w:t>Policy</w:t>
            </w:r>
          </w:p>
        </w:tc>
        <w:tc>
          <w:tcPr>
            <w:tcW w:w="4340" w:type="dxa"/>
            <w:shd w:val="clear" w:color="auto" w:fill="B7B7B7"/>
            <w:tcMar>
              <w:top w:w="100" w:type="dxa"/>
              <w:left w:w="100" w:type="dxa"/>
              <w:bottom w:w="100" w:type="dxa"/>
              <w:right w:w="100" w:type="dxa"/>
            </w:tcMar>
          </w:tcPr>
          <w:p w14:paraId="1992BC9D" w14:textId="77777777" w:rsidR="007F76CA" w:rsidRDefault="0088266B">
            <w:pPr>
              <w:widowControl w:val="0"/>
              <w:rPr>
                <w:rFonts w:ascii="Arial" w:eastAsia="Arial" w:hAnsi="Arial" w:cs="Arial"/>
                <w:b/>
                <w:color w:val="141337"/>
                <w:sz w:val="28"/>
                <w:szCs w:val="28"/>
              </w:rPr>
            </w:pPr>
            <w:r>
              <w:rPr>
                <w:rFonts w:ascii="Arial" w:eastAsia="Arial" w:hAnsi="Arial" w:cs="Arial"/>
                <w:b/>
                <w:sz w:val="28"/>
                <w:szCs w:val="28"/>
              </w:rPr>
              <w:t xml:space="preserve">MIS </w:t>
            </w:r>
            <w:r>
              <w:rPr>
                <w:rFonts w:ascii="Arial" w:eastAsia="Arial" w:hAnsi="Arial" w:cs="Arial"/>
                <w:b/>
                <w:color w:val="141337"/>
                <w:sz w:val="28"/>
                <w:szCs w:val="28"/>
              </w:rPr>
              <w:t>Reports &amp; Forms</w:t>
            </w:r>
          </w:p>
        </w:tc>
        <w:tc>
          <w:tcPr>
            <w:tcW w:w="3960" w:type="dxa"/>
            <w:shd w:val="clear" w:color="auto" w:fill="B7B7B7"/>
            <w:tcMar>
              <w:top w:w="100" w:type="dxa"/>
              <w:left w:w="100" w:type="dxa"/>
              <w:bottom w:w="100" w:type="dxa"/>
              <w:right w:w="100" w:type="dxa"/>
            </w:tcMar>
          </w:tcPr>
          <w:p w14:paraId="2D5A865D" w14:textId="77777777" w:rsidR="007F76CA" w:rsidRDefault="0088266B">
            <w:pPr>
              <w:widowControl w:val="0"/>
              <w:rPr>
                <w:rFonts w:ascii="Arial" w:eastAsia="Arial" w:hAnsi="Arial" w:cs="Arial"/>
                <w:b/>
                <w:sz w:val="28"/>
                <w:szCs w:val="28"/>
              </w:rPr>
            </w:pPr>
            <w:r>
              <w:rPr>
                <w:rFonts w:ascii="Arial" w:eastAsia="Arial" w:hAnsi="Arial" w:cs="Arial"/>
                <w:b/>
                <w:sz w:val="28"/>
                <w:szCs w:val="28"/>
              </w:rPr>
              <w:t>Appendix &amp; Links</w:t>
            </w:r>
          </w:p>
        </w:tc>
      </w:tr>
      <w:tr w:rsidR="007F76CA" w14:paraId="14160D2D" w14:textId="77777777">
        <w:tc>
          <w:tcPr>
            <w:tcW w:w="1905" w:type="dxa"/>
            <w:shd w:val="clear" w:color="auto" w:fill="auto"/>
            <w:tcMar>
              <w:top w:w="100" w:type="dxa"/>
              <w:left w:w="100" w:type="dxa"/>
              <w:bottom w:w="100" w:type="dxa"/>
              <w:right w:w="100" w:type="dxa"/>
            </w:tcMar>
          </w:tcPr>
          <w:p w14:paraId="55670CF2" w14:textId="77777777" w:rsidR="007F76CA" w:rsidRDefault="0088266B">
            <w:pPr>
              <w:widowControl w:val="0"/>
              <w:rPr>
                <w:rFonts w:ascii="Arial" w:eastAsia="Arial" w:hAnsi="Arial" w:cs="Arial"/>
                <w:b/>
              </w:rPr>
            </w:pPr>
            <w:r>
              <w:rPr>
                <w:rFonts w:ascii="Arial" w:eastAsia="Arial" w:hAnsi="Arial" w:cs="Arial"/>
                <w:b/>
              </w:rPr>
              <w:t>8-</w:t>
            </w:r>
            <w:proofErr w:type="gramStart"/>
            <w:r>
              <w:rPr>
                <w:rFonts w:ascii="Arial" w:eastAsia="Arial" w:hAnsi="Arial" w:cs="Arial"/>
                <w:b/>
              </w:rPr>
              <w:t>1.A</w:t>
            </w:r>
            <w:proofErr w:type="gramEnd"/>
            <w:r>
              <w:rPr>
                <w:rFonts w:ascii="Arial" w:eastAsia="Arial" w:hAnsi="Arial" w:cs="Arial"/>
                <w:b/>
              </w:rPr>
              <w:t xml:space="preserve"> &amp; 8-2.A</w:t>
            </w:r>
          </w:p>
          <w:p w14:paraId="6D6893C0" w14:textId="77777777" w:rsidR="007F76CA" w:rsidRDefault="0088266B">
            <w:pPr>
              <w:widowControl w:val="0"/>
              <w:rPr>
                <w:rFonts w:ascii="Arial" w:eastAsia="Arial" w:hAnsi="Arial" w:cs="Arial"/>
                <w:b/>
              </w:rPr>
            </w:pPr>
            <w:r>
              <w:rPr>
                <w:rFonts w:ascii="Arial" w:eastAsia="Arial" w:hAnsi="Arial" w:cs="Arial"/>
                <w:b/>
              </w:rPr>
              <w:t>Caseload Size</w:t>
            </w:r>
          </w:p>
        </w:tc>
        <w:tc>
          <w:tcPr>
            <w:tcW w:w="4340" w:type="dxa"/>
            <w:shd w:val="clear" w:color="auto" w:fill="auto"/>
            <w:tcMar>
              <w:top w:w="100" w:type="dxa"/>
              <w:left w:w="100" w:type="dxa"/>
              <w:bottom w:w="100" w:type="dxa"/>
              <w:right w:w="100" w:type="dxa"/>
            </w:tcMar>
          </w:tcPr>
          <w:p w14:paraId="5FF925E8" w14:textId="77777777" w:rsidR="007F76CA" w:rsidRDefault="0088266B">
            <w:pPr>
              <w:numPr>
                <w:ilvl w:val="0"/>
                <w:numId w:val="3"/>
              </w:numPr>
              <w:spacing w:after="0" w:line="240" w:lineRule="auto"/>
              <w:jc w:val="both"/>
              <w:rPr>
                <w:rFonts w:ascii="Arial" w:eastAsia="Arial" w:hAnsi="Arial" w:cs="Arial"/>
              </w:rPr>
            </w:pPr>
            <w:r>
              <w:rPr>
                <w:rFonts w:ascii="Arial" w:eastAsia="Arial" w:hAnsi="Arial" w:cs="Arial"/>
              </w:rPr>
              <w:t>FSS Case List</w:t>
            </w:r>
          </w:p>
          <w:p w14:paraId="74302A8B" w14:textId="77777777" w:rsidR="007F76CA" w:rsidRDefault="0088266B">
            <w:pPr>
              <w:numPr>
                <w:ilvl w:val="0"/>
                <w:numId w:val="3"/>
              </w:numPr>
              <w:spacing w:after="0" w:line="240" w:lineRule="auto"/>
              <w:jc w:val="both"/>
              <w:rPr>
                <w:rFonts w:ascii="Arial" w:eastAsia="Arial" w:hAnsi="Arial" w:cs="Arial"/>
              </w:rPr>
            </w:pPr>
            <w:r>
              <w:rPr>
                <w:rFonts w:ascii="Arial" w:eastAsia="Arial" w:hAnsi="Arial" w:cs="Arial"/>
              </w:rPr>
              <w:t>FSS Home Visit Narrative</w:t>
            </w:r>
          </w:p>
          <w:p w14:paraId="76DCFA99" w14:textId="77777777" w:rsidR="007F76CA" w:rsidRDefault="0088266B">
            <w:pPr>
              <w:numPr>
                <w:ilvl w:val="0"/>
                <w:numId w:val="3"/>
              </w:numPr>
              <w:spacing w:after="0" w:line="240" w:lineRule="auto"/>
              <w:jc w:val="both"/>
              <w:rPr>
                <w:rFonts w:ascii="Arial" w:eastAsia="Arial" w:hAnsi="Arial" w:cs="Arial"/>
              </w:rPr>
            </w:pPr>
            <w:r>
              <w:rPr>
                <w:rFonts w:ascii="Arial" w:eastAsia="Arial" w:hAnsi="Arial" w:cs="Arial"/>
              </w:rPr>
              <w:t>Supervisor’s Case List</w:t>
            </w:r>
          </w:p>
          <w:p w14:paraId="1686B333" w14:textId="77777777" w:rsidR="007F76CA" w:rsidRDefault="0088266B">
            <w:pPr>
              <w:numPr>
                <w:ilvl w:val="0"/>
                <w:numId w:val="3"/>
              </w:numPr>
              <w:spacing w:after="0" w:line="240" w:lineRule="auto"/>
              <w:jc w:val="both"/>
              <w:rPr>
                <w:rFonts w:ascii="Arial" w:eastAsia="Arial" w:hAnsi="Arial" w:cs="Arial"/>
              </w:rPr>
            </w:pPr>
            <w:r>
              <w:rPr>
                <w:rFonts w:ascii="Arial" w:eastAsia="Arial" w:hAnsi="Arial" w:cs="Arial"/>
              </w:rPr>
              <w:t>Home Visiting Completion Rate Analysis</w:t>
            </w:r>
          </w:p>
          <w:p w14:paraId="4895697E" w14:textId="77777777" w:rsidR="007F76CA" w:rsidRDefault="0088266B">
            <w:pPr>
              <w:numPr>
                <w:ilvl w:val="0"/>
                <w:numId w:val="3"/>
              </w:numPr>
              <w:spacing w:after="0" w:line="240" w:lineRule="auto"/>
              <w:jc w:val="both"/>
              <w:rPr>
                <w:rFonts w:ascii="Arial" w:eastAsia="Arial" w:hAnsi="Arial" w:cs="Arial"/>
              </w:rPr>
            </w:pPr>
            <w:r>
              <w:rPr>
                <w:rFonts w:ascii="Arial" w:eastAsia="Arial" w:hAnsi="Arial" w:cs="Arial"/>
              </w:rPr>
              <w:t>Program Caseload Summary</w:t>
            </w:r>
          </w:p>
          <w:p w14:paraId="26FCE8EE" w14:textId="77777777" w:rsidR="007F76CA" w:rsidRDefault="0088266B">
            <w:pPr>
              <w:numPr>
                <w:ilvl w:val="0"/>
                <w:numId w:val="3"/>
              </w:numPr>
              <w:spacing w:after="0" w:line="240" w:lineRule="auto"/>
              <w:jc w:val="both"/>
              <w:rPr>
                <w:rFonts w:ascii="Arial" w:eastAsia="Arial" w:hAnsi="Arial" w:cs="Arial"/>
              </w:rPr>
            </w:pPr>
            <w:r>
              <w:rPr>
                <w:rFonts w:ascii="Arial" w:eastAsia="Arial" w:hAnsi="Arial" w:cs="Arial"/>
              </w:rPr>
              <w:t>8-1B Annual Case weight Report</w:t>
            </w:r>
          </w:p>
        </w:tc>
        <w:tc>
          <w:tcPr>
            <w:tcW w:w="3960" w:type="dxa"/>
            <w:shd w:val="clear" w:color="auto" w:fill="auto"/>
            <w:tcMar>
              <w:top w:w="100" w:type="dxa"/>
              <w:left w:w="100" w:type="dxa"/>
              <w:bottom w:w="100" w:type="dxa"/>
              <w:right w:w="100" w:type="dxa"/>
            </w:tcMar>
          </w:tcPr>
          <w:p w14:paraId="4F80CA5A" w14:textId="77777777" w:rsidR="007F76CA" w:rsidRDefault="0088266B">
            <w:pPr>
              <w:numPr>
                <w:ilvl w:val="0"/>
                <w:numId w:val="1"/>
              </w:numPr>
              <w:spacing w:after="0" w:line="240" w:lineRule="auto"/>
              <w:jc w:val="both"/>
              <w:rPr>
                <w:rFonts w:ascii="Arial" w:eastAsia="Arial" w:hAnsi="Arial" w:cs="Arial"/>
              </w:rPr>
            </w:pPr>
            <w:r>
              <w:rPr>
                <w:rFonts w:ascii="Arial" w:eastAsia="Arial" w:hAnsi="Arial" w:cs="Arial"/>
                <w:shd w:val="clear" w:color="auto" w:fill="93C47D"/>
              </w:rPr>
              <w:t>See HFNY Level System table in policy 4-2A.</w:t>
            </w:r>
          </w:p>
          <w:p w14:paraId="1ADFBB02" w14:textId="77777777" w:rsidR="007F76CA" w:rsidRDefault="0088266B">
            <w:pPr>
              <w:numPr>
                <w:ilvl w:val="0"/>
                <w:numId w:val="4"/>
              </w:numPr>
              <w:spacing w:after="0" w:line="240" w:lineRule="auto"/>
              <w:jc w:val="both"/>
              <w:rPr>
                <w:rFonts w:ascii="Arial" w:eastAsia="Arial" w:hAnsi="Arial" w:cs="Arial"/>
              </w:rPr>
            </w:pPr>
            <w:hyperlink r:id="rId9">
              <w:r>
                <w:rPr>
                  <w:rFonts w:ascii="Arial" w:eastAsia="Arial" w:hAnsi="Arial" w:cs="Arial"/>
                  <w:color w:val="1155CC"/>
                  <w:u w:val="single"/>
                </w:rPr>
                <w:t>Caseload Proration Tool (HFA)</w:t>
              </w:r>
            </w:hyperlink>
          </w:p>
        </w:tc>
      </w:tr>
    </w:tbl>
    <w:p w14:paraId="2D043BD5" w14:textId="77777777" w:rsidR="007F76CA" w:rsidRDefault="007F76CA"/>
    <w:sectPr w:rsidR="007F76C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0650C" w14:textId="77777777" w:rsidR="0088266B" w:rsidRDefault="0088266B">
      <w:pPr>
        <w:spacing w:after="0" w:line="240" w:lineRule="auto"/>
      </w:pPr>
      <w:r>
        <w:separator/>
      </w:r>
    </w:p>
  </w:endnote>
  <w:endnote w:type="continuationSeparator" w:id="0">
    <w:p w14:paraId="10C5AEA2" w14:textId="77777777" w:rsidR="0088266B" w:rsidRDefault="00882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otham Narrow Book">
    <w:altName w:val="Tahom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A8F0C" w14:textId="77777777" w:rsidR="0088266B" w:rsidRDefault="0088266B">
      <w:pPr>
        <w:spacing w:after="0" w:line="240" w:lineRule="auto"/>
      </w:pPr>
      <w:r>
        <w:separator/>
      </w:r>
    </w:p>
  </w:footnote>
  <w:footnote w:type="continuationSeparator" w:id="0">
    <w:p w14:paraId="5338E900" w14:textId="77777777" w:rsidR="0088266B" w:rsidRDefault="00882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3F748" w14:textId="77777777" w:rsidR="007F76CA" w:rsidRDefault="007F76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4F10"/>
    <w:multiLevelType w:val="multilevel"/>
    <w:tmpl w:val="A1907E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6424CF"/>
    <w:multiLevelType w:val="multilevel"/>
    <w:tmpl w:val="A2865DD0"/>
    <w:lvl w:ilvl="0">
      <w:start w:val="1"/>
      <w:numFmt w:val="bullet"/>
      <w:lvlText w:val="●"/>
      <w:lvlJc w:val="left"/>
      <w:pPr>
        <w:ind w:left="360" w:hanging="360"/>
      </w:pPr>
      <w:rPr>
        <w:b/>
      </w:rPr>
    </w:lvl>
    <w:lvl w:ilvl="1">
      <w:start w:val="1"/>
      <w:numFmt w:val="lowerLetter"/>
      <w:lvlText w:val="%2."/>
      <w:lvlJc w:val="left"/>
      <w:pPr>
        <w:ind w:left="810" w:hanging="360"/>
      </w:pPr>
      <w:rPr>
        <w:b/>
      </w:r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2" w15:restartNumberingAfterBreak="0">
    <w:nsid w:val="37211B46"/>
    <w:multiLevelType w:val="multilevel"/>
    <w:tmpl w:val="EF982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7466B9"/>
    <w:multiLevelType w:val="multilevel"/>
    <w:tmpl w:val="248EB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C07B89"/>
    <w:multiLevelType w:val="multilevel"/>
    <w:tmpl w:val="04B6F760"/>
    <w:lvl w:ilvl="0">
      <w:start w:val="1"/>
      <w:numFmt w:val="decimal"/>
      <w:lvlText w:val="%1."/>
      <w:lvlJc w:val="left"/>
      <w:pPr>
        <w:ind w:left="360" w:hanging="360"/>
      </w:pPr>
      <w:rPr>
        <w:b/>
      </w:rPr>
    </w:lvl>
    <w:lvl w:ilvl="1">
      <w:start w:val="1"/>
      <w:numFmt w:val="lowerLetter"/>
      <w:lvlText w:val="%2."/>
      <w:lvlJc w:val="left"/>
      <w:pPr>
        <w:ind w:left="810" w:hanging="360"/>
      </w:pPr>
      <w:rPr>
        <w:b/>
      </w:rPr>
    </w:lvl>
    <w:lvl w:ilvl="2">
      <w:start w:val="1"/>
      <w:numFmt w:val="lowerRoman"/>
      <w:lvlText w:val="%3."/>
      <w:lvlJc w:val="right"/>
      <w:pPr>
        <w:ind w:left="1710" w:hanging="180"/>
      </w:pPr>
    </w:lvl>
    <w:lvl w:ilvl="3">
      <w:start w:val="1"/>
      <w:numFmt w:val="decimal"/>
      <w:lvlText w:val="%4."/>
      <w:lvlJc w:val="left"/>
      <w:pPr>
        <w:ind w:left="2430" w:hanging="360"/>
      </w:pPr>
    </w:lvl>
    <w:lvl w:ilvl="4">
      <w:start w:val="1"/>
      <w:numFmt w:val="lowerLetter"/>
      <w:lvlText w:val="%5."/>
      <w:lvlJc w:val="left"/>
      <w:pPr>
        <w:ind w:left="3150" w:hanging="360"/>
      </w:pPr>
    </w:lvl>
    <w:lvl w:ilvl="5">
      <w:start w:val="1"/>
      <w:numFmt w:val="lowerRoman"/>
      <w:lvlText w:val="%6."/>
      <w:lvlJc w:val="right"/>
      <w:pPr>
        <w:ind w:left="3870" w:hanging="180"/>
      </w:pPr>
    </w:lvl>
    <w:lvl w:ilvl="6">
      <w:start w:val="1"/>
      <w:numFmt w:val="decimal"/>
      <w:lvlText w:val="%7."/>
      <w:lvlJc w:val="left"/>
      <w:pPr>
        <w:ind w:left="4590" w:hanging="360"/>
      </w:pPr>
    </w:lvl>
    <w:lvl w:ilvl="7">
      <w:start w:val="1"/>
      <w:numFmt w:val="lowerLetter"/>
      <w:lvlText w:val="%8."/>
      <w:lvlJc w:val="left"/>
      <w:pPr>
        <w:ind w:left="5310" w:hanging="360"/>
      </w:pPr>
    </w:lvl>
    <w:lvl w:ilvl="8">
      <w:start w:val="1"/>
      <w:numFmt w:val="lowerRoman"/>
      <w:lvlText w:val="%9."/>
      <w:lvlJc w:val="right"/>
      <w:pPr>
        <w:ind w:left="6030" w:hanging="180"/>
      </w:pPr>
    </w:lvl>
  </w:abstractNum>
  <w:abstractNum w:abstractNumId="5" w15:restartNumberingAfterBreak="0">
    <w:nsid w:val="579E1EE6"/>
    <w:multiLevelType w:val="multilevel"/>
    <w:tmpl w:val="058E6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97558238">
    <w:abstractNumId w:val="5"/>
  </w:num>
  <w:num w:numId="2" w16cid:durableId="490946872">
    <w:abstractNumId w:val="4"/>
  </w:num>
  <w:num w:numId="3" w16cid:durableId="2087800165">
    <w:abstractNumId w:val="3"/>
  </w:num>
  <w:num w:numId="4" w16cid:durableId="1824469958">
    <w:abstractNumId w:val="2"/>
  </w:num>
  <w:num w:numId="5" w16cid:durableId="1891189169">
    <w:abstractNumId w:val="1"/>
  </w:num>
  <w:num w:numId="6" w16cid:durableId="5328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6CA"/>
    <w:rsid w:val="007F76CA"/>
    <w:rsid w:val="0088266B"/>
    <w:rsid w:val="00BA1ABC"/>
    <w:rsid w:val="00F24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E0093"/>
  <w15:docId w15:val="{FAB6665E-F59A-47B7-99C4-F9750040E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4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kern w:val="0"/>
      <w:szCs w:val="20"/>
    </w:rPr>
  </w:style>
  <w:style w:type="character" w:styleId="CommentReference">
    <w:name w:val="annotation reference"/>
    <w:basedOn w:val="DefaultParagraphFont"/>
    <w:uiPriority w:val="99"/>
    <w:semiHidden/>
    <w:unhideWhenUsed/>
    <w:rPr>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healthyfamiliesamerica.org/network-resources/calculator-for-caseload-and-supervisor-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1kjH/OJdXkB8R6ZHKU7YO9yUsA==">CgMxLjAyCWlkLmdqZGd4czgAaisKFHN1Z2dlc3Qub2J3azB2YjBsbWt1EhNSb3NlYW5uYSBDb3VudGVybWFuaisKFHN1Z2dlc3QuZWRwZHB5ZnUxbjNiEhNSb3NlYW5uYSBDb3VudGVybWFuaisKFHN1Z2dlc3QuMm13NDVzMnoyOWwxEhNSb3NlYW5uYSBDb3VudGVybWFuciExVk1XLXRtZ1YwVjc2OFlUaGtxS3M1akdBUFNfcmdGZGo=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911</Words>
  <Characters>4731</Characters>
  <Application>Microsoft Office Word</Application>
  <DocSecurity>0</DocSecurity>
  <Lines>225</Lines>
  <Paragraphs>245</Paragraphs>
  <ScaleCrop>false</ScaleCrop>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Counterman, Roseanna (OCFS)</dc:creator>
  <cp:lastModifiedBy>Millington, Suzan H (OCFS)</cp:lastModifiedBy>
  <cp:revision>2</cp:revision>
  <dcterms:created xsi:type="dcterms:W3CDTF">2025-03-18T19:33:00Z</dcterms:created>
  <dcterms:modified xsi:type="dcterms:W3CDTF">2025-03-18T19:33:00Z</dcterms:modified>
</cp:coreProperties>
</file>