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澜图智能项目管理制度</w:t>
      </w:r>
    </w:p>
    <w:p>
      <w:r>
        <w:t>澜图智能项目管理制度(2026版)</w:t>
      </w:r>
    </w:p>
    <w:p>
      <w:pPr>
        <w:pStyle w:val="Heading1"/>
      </w:pPr>
      <w:r>
        <w:t>第一章 立项管理</w:t>
      </w:r>
    </w:p>
    <w:p>
      <w:r>
        <w:t>新项目立项须经以下流程:</w:t>
      </w:r>
    </w:p>
    <w:p>
      <w:r>
        <w:t>1. 发起人在 OA 提交《项目立项书》,包含背景、目标、范围、预算、周期、核心成员。</w:t>
      </w:r>
    </w:p>
    <w:p>
      <w:r>
        <w:t>2. 项目管理办公室(PMO)3 个工作日内初审,评估是否符合公司战略与资源约束。</w:t>
      </w:r>
    </w:p>
    <w:p>
      <w:r>
        <w:t>3. 立项评审会:预算 50 万元以下由部门总监审批;50-200 万元由副总裁审批;200 万元以上由总裁办公会审批。</w:t>
      </w:r>
    </w:p>
    <w:p>
      <w:r>
        <w:t>4. 审批通过后分配项目编号,正式立项并组建项目组。</w:t>
      </w:r>
    </w:p>
    <w:p>
      <w:pPr>
        <w:pStyle w:val="Heading1"/>
      </w:pPr>
      <w:r>
        <w:t>第二章 里程碑与计划</w:t>
      </w:r>
    </w:p>
    <w:p>
      <w:r>
        <w:t>项目须设置明确的里程碑节点,建议至少包含:</w:t>
      </w:r>
    </w:p>
    <w:p>
      <w:r>
        <w:t>- 需求评审完成(立项后 2 周内)</w:t>
      </w:r>
    </w:p>
    <w:p>
      <w:r>
        <w:t>- 技术方案评审完成(需求评审后 2 周内)</w:t>
      </w:r>
    </w:p>
    <w:p>
      <w:r>
        <w:t>- 开发完成(方案评审后,周期视规模定)</w:t>
      </w:r>
    </w:p>
    <w:p>
      <w:r>
        <w:t>- 测试通过(开发完成后 1-2 周)</w:t>
      </w:r>
    </w:p>
    <w:p>
      <w:r>
        <w:t>- 上线发布(测试通过后 1 周内)</w:t>
      </w:r>
    </w:p>
    <w:p>
      <w:r>
        <w:t>- 项目验收(上线后 1 个月内)</w:t>
      </w:r>
    </w:p>
    <w:p>
      <w:r>
        <w:t>里程碑延期超过 3 个工作日须向 PMO 报备并提交追赶计划;延期超过 1 周须升级至项目发起人。</w:t>
      </w:r>
    </w:p>
    <w:p>
      <w:pPr>
        <w:pStyle w:val="Heading1"/>
      </w:pPr>
      <w:r>
        <w:t>第三章 报告制度</w:t>
      </w:r>
    </w:p>
    <w:p>
      <w:r>
        <w:t>1. 周报:每周五 18:00 前,项目经理在 OA 提交周报,包含本周进展、下周计划、风险问题、资源需求。</w:t>
      </w:r>
    </w:p>
    <w:p>
      <w:r>
        <w:t>2. 月报:每月最后一个工作日提交月报,PMO 汇总后报管理层。</w:t>
      </w:r>
    </w:p>
    <w:p>
      <w:r>
        <w:t>3. 重大风险即时上报:影响里程碑或预算 10% 以上的风险,24 小时内升级。</w:t>
      </w:r>
    </w:p>
    <w:p>
      <w:pPr>
        <w:pStyle w:val="Heading1"/>
      </w:pPr>
      <w:r>
        <w:t>第四章 风险与变更管理</w:t>
      </w:r>
    </w:p>
    <w:p>
      <w:r>
        <w:t>项目风险须登记在《风险登记册》,每周回顾。风险发生概率与影响矩阵评估,高概率高影响风险须制定应对预案。</w:t>
      </w:r>
    </w:p>
    <w:p>
      <w:r>
        <w:t>需求变更须经变更控制委员会(CCB)评审,影响范围、工期、预算的变更须重新评估并更新计划。私自接受需求变更视为违规。</w:t>
      </w:r>
    </w:p>
    <w:p>
      <w:pPr>
        <w:pStyle w:val="Heading1"/>
      </w:pPr>
      <w:r>
        <w:t>第五章 验收与结项</w:t>
      </w:r>
    </w:p>
    <w:p>
      <w:r>
        <w:t>1. 项目交付物须满足《需求规格说明书》全部验收标准。</w:t>
      </w:r>
    </w:p>
    <w:p>
      <w:r>
        <w:t>2. 验收由业务方、PMO、质量部三方联合进行,验收报告三方签字生效。</w:t>
      </w:r>
    </w:p>
    <w:p>
      <w:r>
        <w:t>3. 验收通过后 1 个月内完成项目结项,包含财务结算、资产移交、经验总结复盘。</w:t>
      </w:r>
    </w:p>
    <w:p>
      <w:r>
        <w:t>4. 项目复盘须形成文档,沉淀可复用经验与教训,归档至知识库。</w:t>
      </w:r>
    </w:p>
    <w:p>
      <w:pPr>
        <w:pStyle w:val="Heading1"/>
      </w:pPr>
      <w:r>
        <w:t>第六章 文档管理</w:t>
      </w:r>
    </w:p>
    <w:p>
      <w:r>
        <w:t>项目全生命周期文档须归档,包含:立项书、需求文档、技术方案、测试报告、验收报告、复盘文档。文档统一存放于知识库项目空间,权限按项目成员配置。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