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 年第三季度经营分析会纪要</w:t>
      </w:r>
    </w:p>
    <w:p>
      <w:r>
        <w:rPr>
          <w:sz w:val="18"/>
        </w:rPr>
        <w:t>所属部门：董事会办公室</w:t>
      </w:r>
    </w:p>
    <w:p>
      <w:r>
        <w:rPr>
          <w:sz w:val="18"/>
        </w:rPr>
        <w:t>作者：文梓萱</w:t>
      </w:r>
    </w:p>
    <w:p>
      <w:r>
        <w:rPr>
          <w:sz w:val="18"/>
        </w:rPr>
        <w:t>创建时间：2025-10-10 09:00</w:t>
      </w:r>
    </w:p>
    <w:p>
      <w:r>
        <w:rPr>
          <w:sz w:val="18"/>
        </w:rPr>
        <w:t>更新时间：2025-10-10 18:00</w:t>
      </w:r>
    </w:p>
    <w:p>
      <w:r>
        <w:rPr>
          <w:sz w:val="18"/>
        </w:rPr>
        <w:t>版本号：v1.0</w:t>
      </w:r>
    </w:p>
    <w:p>
      <w:r>
        <w:rPr>
          <w:sz w:val="18"/>
        </w:rPr>
        <w:t>文档类型：meeting</w:t>
      </w:r>
    </w:p>
    <w:p>
      <w:r>
        <w:rPr>
          <w:sz w:val="18"/>
        </w:rPr>
        <w:t>文档族：meeting_ops_2025q3</w:t>
      </w:r>
    </w:p>
    <w:p>
      <w:r>
        <w:rPr>
          <w:sz w:val="18"/>
        </w:rPr>
        <w:t>生效日期：2025-10-10</w:t>
      </w:r>
    </w:p>
    <w:p>
      <w:pPr>
        <w:pStyle w:val="Heading1"/>
      </w:pPr>
      <w:r>
        <w:t>一、会议信息</w:t>
      </w:r>
    </w:p>
    <w:p>
      <w:r>
        <w:t>时间：2025 年 10 月 10 日 09:00-12:00；地点：苏州总部 3 楼会议室；主持：顾承澜；参会：沈亦舟、周敏仪、韩立恒、罗嘉树、陈依然、潘文博、邵岚。</w:t>
      </w:r>
    </w:p>
    <w:p>
      <w:pPr>
        <w:pStyle w:val="Heading1"/>
      </w:pPr>
      <w:r>
        <w:t>二、经营回顾</w:t>
      </w:r>
    </w:p>
    <w:p>
      <w:r>
        <w:t>第三季度营业收入 11.52 亿元，同比增长 17.8%；毛利率 31.4%；新签订单 13.6 亿元；海外收入 1.42 亿元，同比增长 35%。</w:t>
      </w:r>
    </w:p>
    <w:p>
      <w:pPr>
        <w:pStyle w:val="Heading1"/>
      </w:pPr>
      <w:r>
        <w:t>三、问题与风险</w:t>
      </w:r>
    </w:p>
    <w:p>
      <w:r>
        <w:t>锂电客户交付集中，苏州基地产能利用率达到 92%；半导体洁净版本交付周期偏长；应收账款周转天数 86 天，需加强回款。</w:t>
      </w:r>
    </w:p>
    <w:p>
      <w:pPr>
        <w:pStyle w:val="Heading1"/>
      </w:pPr>
      <w:r>
        <w:t>四、决议事项</w:t>
      </w:r>
    </w:p>
    <w:p>
      <w:r>
        <w:t>1. 四季度优先保障锂电与半导体订单交付；2. 苏州二期扩产方案于 11 月完成可行性论证；3. 成立回款专项小组，由 CFO 牵头。</w:t>
      </w:r>
    </w:p>
    <w:p>
      <w:pPr>
        <w:pStyle w:val="Heading1"/>
      </w:pPr>
      <w:r>
        <w:t>五、行动项</w:t>
      </w:r>
    </w:p>
    <w:p>
      <w:r>
        <w:t>韩立恒负责产能爬坡，10 月底前提交排产方案；罗嘉树负责海外渠道拓展，11 月底前新增 3 家认证渠道；周敏仪负责逾期账款清理。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 年第三季度经营分析会纪要</dc:title>
  <dc:subject>董事会办公室 · meeting</dc:subject>
  <dc:creator>文梓萱</dc:creator>
  <cp:keywords/>
  <dc:description>版本 v1.0</dc:description>
  <cp:lastModifiedBy/>
  <cp:revision>1</cp:revision>
  <dcterms:created xsi:type="dcterms:W3CDTF">2025-10-10T09:00:00Z</dcterms:created>
  <dcterms:modified xsi:type="dcterms:W3CDTF">2025-10-10T18:00:00Z</dcterms:modified>
  <cp:category>meeting</cp:category>
</cp:coreProperties>
</file>