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Theoretical Analysis and Method Blueprint (ECCV Style)</w:t>
      </w:r>
    </w:p>
    <w:p>
      <w:r>
        <w:t>Version: Draft for manuscript body writing (based on /Users/chenhaotian/Documents/Summary.pdf)</w:t>
      </w:r>
    </w:p>
    <w:p>
      <w:r>
        <w:t>Purpose: Extract your theoretical logic, strengthen novelty and reviewer persuasiveness, and provide a directly reusable Analysis+Method draft with equations.</w:t>
      </w:r>
    </w:p>
    <w:p>
      <w:pPr>
        <w:pStyle w:val="Heading1"/>
      </w:pPr>
      <w:r>
        <w:t>1. Extracted Theoretical Analysis (Faithful Reconstruction from Summary)</w:t>
      </w:r>
    </w:p>
    <w:p>
      <w:pPr>
        <w:pStyle w:val="Heading2"/>
      </w:pPr>
      <w:r>
        <w:t>1.1 Core phenomenon and motivation</w:t>
      </w:r>
    </w:p>
    <w:p>
      <w:r>
        <w:t>Your notes repeatedly identify one dominant failure mode in long-video inference: attention mass collapses to a small subset of tokens (peaked attention), reducing long-range coverage and harming downstream reasoning. You attribute this collapse to anisotropic second-order statistics of Q/K in the temporal mRoPE subspace, rather than to a purely semantic or optimization artifact.</w:t>
      </w:r>
    </w:p>
    <w:p>
      <w:pPr>
        <w:pStyle w:val="Heading2"/>
      </w:pPr>
      <w:r>
        <w:t>1.2 Main theoretical claim extracted from your notes</w:t>
      </w:r>
    </w:p>
    <w:p>
      <w:r>
        <w:t>You propose that RoPE/mRoPE isotropization is a global matrix property, not merely a band-wise or per-frequency effect. Specifically, position-aggregated second moments should be analyzed as a 2D rotational block matrix. Global isotropy requires two conditions simultaneously: (i) intra-block isotropy (each 2D block close to a scaled identity), and (ii) inter-block decoupling (off-diagonal block energy decays under position aggregation).</w:t>
      </w:r>
    </w:p>
    <w:p>
      <w:pPr>
        <w:pStyle w:val="Heading2"/>
      </w:pPr>
      <w:r>
        <w:t>1.3 Phase-difference cancellation mechanism (your key novelty source)</w:t>
      </w:r>
    </w:p>
    <w:p>
      <w:r>
        <w:t>Your notes emphasize that inter-subspace decoupling is controlled by discrete cancellation of phase differences between frequencies. If phase-difference coverage is insufficient over valid positions, near-frequency pairs keep residual coupling, causing spectral spikes in second-order moments and eventually attention sharpening.</w:t>
      </w:r>
    </w:p>
    <w:p>
      <w:pPr>
        <w:pStyle w:val="Heading2"/>
      </w:pPr>
      <w:r>
        <w:t>1.4 Temporal emphasis in mRoPE</w:t>
      </w:r>
    </w:p>
    <w:p>
      <w:r>
        <w:t>You explicitly state that for multimodal long-video settings, temporal encoding dimensions are the primary extrapolation bottleneck. Therefore, intervention should be mRoPE-aware and temporal-only, avoiding unnecessary disturbance to spatial/text channels.</w:t>
      </w:r>
    </w:p>
    <w:p>
      <w:pPr>
        <w:pStyle w:val="Heading2"/>
      </w:pPr>
      <w:r>
        <w:t>1.5 Method signal in your notes</w:t>
      </w:r>
    </w:p>
    <w:p>
      <w:r>
        <w:t>Your method notes define a training-free pipeline: estimate per-head degeneration via PCA/effective-rank, derive layer/head gates (Gl × Gh), then apply gated Gaussian interpolation to Q/K temporal channels. Intended effect: lift small eigenvalues, reduce spectral sharpness/condition number, smooth normalized eigenvalue distribution, and mitigate softmax spikes.</w:t>
      </w:r>
    </w:p>
    <w:p>
      <w:pPr>
        <w:pStyle w:val="Heading1"/>
      </w:pPr>
      <w:r>
        <w:t>2. How to Make the Innovation Clear and Convincing (Reviewer-Oriented)</w:t>
      </w:r>
    </w:p>
    <w:p>
      <w:pPr>
        <w:pStyle w:val="Heading2"/>
      </w:pPr>
      <w:r>
        <w:t>2.1 Innovation statement that should appear in the first two paragraphs</w:t>
      </w:r>
    </w:p>
    <w:p>
      <w:pPr>
        <w:pStyle w:val="ListBullet"/>
      </w:pPr>
      <w:r>
        <w:t>From local to global: prior analyses mostly characterize within-band behavior; your analysis targets global second-order isotropy of the full block matrix.</w:t>
      </w:r>
    </w:p>
    <w:p>
      <w:pPr>
        <w:pStyle w:val="ListBullet"/>
      </w:pPr>
      <w:r>
        <w:t>From diagonal-only to coupled conditions: you show that controlling diagonal blocks alone is insufficient without off-diagonal suppression.</w:t>
      </w:r>
    </w:p>
    <w:p>
      <w:pPr>
        <w:pStyle w:val="ListBullet"/>
      </w:pPr>
      <w:r>
        <w:t>From heuristic scaling to mechanism-driven intervention: your module uses spectral degeneration estimates to allocate intervention strength adaptively per layer and per head.</w:t>
      </w:r>
    </w:p>
    <w:p>
      <w:pPr>
        <w:pStyle w:val="ListBullet"/>
      </w:pPr>
      <w:r>
        <w:t>From generic RoPE tweaks to temporal mRoPE targeting: you localize intervention to the temporal channel where long-context pressure concentrates in video understanding.</w:t>
      </w:r>
    </w:p>
    <w:p>
      <w:pPr>
        <w:pStyle w:val="Heading2"/>
      </w:pPr>
      <w:r>
        <w:t>2.2 Persuasion chain that top-conference papers usually follow</w:t>
      </w:r>
    </w:p>
    <w:p>
      <w:pPr>
        <w:pStyle w:val="ListBullet"/>
      </w:pPr>
      <w:r>
        <w:t>Empirical symptom: show stable peaked-attention phenomenon across layers/heads/datasets (not cherry-picked).</w:t>
      </w:r>
    </w:p>
    <w:p>
      <w:pPr>
        <w:pStyle w:val="ListBullet"/>
      </w:pPr>
      <w:r>
        <w:t>Mechanistic diagnosis: prove anisotropy and residual cross-frequency coupling are sufficient contributors to this symptom.</w:t>
      </w:r>
    </w:p>
    <w:p>
      <w:pPr>
        <w:pStyle w:val="ListBullet"/>
      </w:pPr>
      <w:r>
        <w:t>Intervention principle: derive what must be changed in the spectrum (flattening / effective-rank increase).</w:t>
      </w:r>
    </w:p>
    <w:p>
      <w:pPr>
        <w:pStyle w:val="ListBullet"/>
      </w:pPr>
      <w:r>
        <w:t>Minimal implementation: present a training-free plug-and-play module with bounded overhead.</w:t>
      </w:r>
    </w:p>
    <w:p>
      <w:pPr>
        <w:pStyle w:val="ListBullet"/>
      </w:pPr>
      <w:r>
        <w:t>Generalization claim: show consistent improvement across multiple baselines and tasks.</w:t>
      </w:r>
    </w:p>
    <w:p>
      <w:pPr>
        <w:pStyle w:val="Heading2"/>
      </w:pPr>
      <w:r>
        <w:t>2.3 Common reviewer concerns and direct counters</w:t>
      </w:r>
    </w:p>
    <w:p>
      <w:pPr>
        <w:pStyle w:val="ListBullet"/>
      </w:pPr>
      <w:r>
        <w:t>Concern A: "This is just another RoPE scaling trick." Counter: emphasize the theorem-level decomposition into intra-block isotropy + inter-block decoupling and the phase-cancellation condition.</w:t>
      </w:r>
    </w:p>
    <w:p>
      <w:pPr>
        <w:pStyle w:val="ListBullet"/>
      </w:pPr>
      <w:r>
        <w:t>Concern B: "Single-head visualization may be anecdotal." Counter: provide full layer×head distributions and confidence intervals.</w:t>
      </w:r>
    </w:p>
    <w:p>
      <w:pPr>
        <w:pStyle w:val="ListBullet"/>
      </w:pPr>
      <w:r>
        <w:t>Concern C: "Noise injection may hurt semantics." Counter: temporal-only writeback, video-token-only update, and gate proportional to measured degeneration.</w:t>
      </w:r>
    </w:p>
    <w:p>
      <w:pPr>
        <w:pStyle w:val="ListBullet"/>
      </w:pPr>
      <w:r>
        <w:t>Concern D: "No training means weak adaptation." Counter: show prefill-only insertion with strong gains over multiple training-free baselines.</w:t>
      </w:r>
    </w:p>
    <w:p>
      <w:pPr>
        <w:pStyle w:val="Heading1"/>
      </w:pPr>
      <w:r>
        <w:t>3. ECCV-Style Draft: Theoretical Analysis (Directly Reusable Body Text)</w:t>
      </w:r>
    </w:p>
    <w:p>
      <w:r>
        <w:t>The following section is written in paper-ready style and can be adapted into your manuscript directly.</w:t>
      </w:r>
    </w:p>
    <w:p>
      <w:pPr>
        <w:pStyle w:val="Heading2"/>
      </w:pPr>
      <w:r>
        <w:t>3.1 Setup and Notation</w:t>
      </w:r>
    </w:p>
    <w:p>
      <w:r>
        <w:t>Consider layer l and head h. Let q_{l,h,p}, k_{l,h,p} in R^d denote query/key vectors at position p. Under mRoPE, we isolate temporal channels and group them into m two-dimensional rotary blocks (d_t = 2m). For temporal analysis, define z_{l,h,p} by concatenating 2D block features after rotary transform.</w:t>
      </w:r>
    </w:p>
    <w:p>
      <w:r>
        <w:t>Equation (1):  M_{l,h} = (1 / |P|) * sum_{p in P} E[ z_{l,h,p} z_{l,h,p}^T ]  in R^{2m x 2m}.</w:t>
      </w:r>
    </w:p>
    <w:p>
      <w:r>
        <w:t>We view M_{l,h} as an m×m block matrix with 2×2 blocks M_{l,h}^{(i,j)}. Diagonal blocks describe intra-subspace anisotropy; off-diagonal blocks measure inter-subspace coupling.</w:t>
      </w:r>
    </w:p>
    <w:p>
      <w:pPr>
        <w:pStyle w:val="Heading2"/>
      </w:pPr>
      <w:r>
        <w:t>3.2 Global Isotropy Requires Two Coupled Conditions</w:t>
      </w:r>
    </w:p>
    <w:p>
      <w:r>
        <w:t>Equation (2):  Delta_iso(M) = || M - alpha I ||_F, where alpha = tr(M)/(2m).</w:t>
      </w:r>
    </w:p>
    <w:p>
      <w:r>
        <w:t>A small Delta_iso indicates globally isotropic second-order geometry. A block decomposition gives the following control form:</w:t>
      </w:r>
    </w:p>
    <w:p>
      <w:r>
        <w:t>Equation (3):  Delta_iso(M)^2 &lt;= C1 * sum_i || M^{(i,i)} - alpha_i I_2 ||_F^2 + C2 * sum_{i!=j} || M^{(i,j)} ||_F^2.</w:t>
      </w:r>
    </w:p>
    <w:p>
      <w:r>
        <w:t>Thus diagonal smoothing alone is insufficient: without suppressing off-diagonal coupling, one cannot guarantee global isotropy. This is the key departure from band-wise-only diagnostics.</w:t>
      </w:r>
    </w:p>
    <w:p>
      <w:pPr>
        <w:pStyle w:val="Heading2"/>
      </w:pPr>
      <w:r>
        <w:t>3.3 Phase-Difference Cancellation Governs Inter-Block Decoupling</w:t>
      </w:r>
    </w:p>
    <w:p>
      <w:r>
        <w:t>For frequency pair (omega_i, omega_j), off-diagonal coupling magnitude is modulated by the discrete phase-difference sum:</w:t>
      </w:r>
    </w:p>
    <w:p>
      <w:r>
        <w:t>Equation (4):  C_{ij} = (1/N) * sum_{p=0}^{N-1} exp( i * (omega_i - omega_j) * p ).</w:t>
      </w:r>
    </w:p>
    <w:p>
      <w:r>
        <w:t>Equation (5):  |C_{ij}| = | sin(N * Delta_ij / 2) / ( N * sin(Delta_ij / 2) ) |,  Delta_ij = omega_i - omega_j.</w:t>
      </w:r>
    </w:p>
    <w:p>
      <w:r>
        <w:t>When Delta_ij is small or effective position support is short, |C_{ij}| remains large, leaving residual cross-frequency coupling. Hence near-frequency pairs are structurally prone to incomplete decoupling in long-video extrapolation regimes.</w:t>
      </w:r>
    </w:p>
    <w:p>
      <w:pPr>
        <w:pStyle w:val="Heading2"/>
      </w:pPr>
      <w:r>
        <w:t>3.4 Connection to Peaked Attention</w:t>
      </w:r>
    </w:p>
    <w:p>
      <w:r>
        <w:t>Equation (6):  s_{pq} = ( q_{l,h,p}^T k_{l,h,q} ) / sqrt(d_h).</w:t>
      </w:r>
    </w:p>
    <w:p>
      <w:r>
        <w:t>If Q/K covariance is highly anisotropic, large principal directions dominate score extremes, making softmax mass concentrate on a few keys. Therefore, reducing spectral sharpness (and increasing effective-rank) directly targets the mechanism behind peaked attention rather than only its symptoms.</w:t>
      </w:r>
    </w:p>
    <w:p>
      <w:pPr>
        <w:pStyle w:val="Heading2"/>
      </w:pPr>
      <w:r>
        <w:t>3.5 Main Theorem (paper form, proof in appendix)</w:t>
      </w:r>
    </w:p>
    <w:p>
      <w:r>
        <w:t>Theorem 1 (informal). Assume (i) bounded intra-block deviation: ||M^{(i,i)} - alpha_i I_2||_F &lt;= epsilon_d, and (ii) bounded phase-coupling: |C_{ij}| &lt;= epsilon_o for all i != j. Then Delta_iso(M) &lt;= O( sqrt(m)*epsilon_d + m*epsilon_o ). Consequently, attention-score concentration is reduced through improved spectral flatness of Q/K temporal covariance.</w:t>
      </w:r>
    </w:p>
    <w:p>
      <w:r>
        <w:t>This theorem provides a direct bridge from rotary phase geometry to second-order isotropy and then to attention behavior.</w:t>
      </w:r>
    </w:p>
    <w:p>
      <w:pPr>
        <w:pStyle w:val="Heading1"/>
      </w:pPr>
      <w:r>
        <w:t>4. ECCV-Style Draft: Method (Directly Reusable Body Text)</w:t>
      </w:r>
    </w:p>
    <w:p>
      <w:pPr>
        <w:pStyle w:val="Heading2"/>
      </w:pPr>
      <w:r>
        <w:t>4.1 Overview</w:t>
      </w:r>
    </w:p>
    <w:p>
      <w:r>
        <w:t>We propose SPECTRA, a training-free plug-and-play inference module for mRoPE-based long-video VLMs. SPECTRA intervenes only on temporal channels of Q/K and only for video tokens at prefill, preserving architecture and training pipeline.</w:t>
      </w:r>
    </w:p>
    <w:p>
      <w:pPr>
        <w:pStyle w:val="Heading2"/>
      </w:pPr>
      <w:r>
        <w:t>4.2 Spectral Degeneration Signal via Effective Rank</w:t>
      </w:r>
    </w:p>
    <w:p>
      <w:r>
        <w:t>For each layer-head pair, collect temporal slice X_{l,h} in R^{N_v x d_t}. Let lambda_{l,h,r} denote top-r eigenvalues of covariance. Define normalized spectrum p_r = lambda_r / sum_u lambda_u and effective rank:</w:t>
      </w:r>
    </w:p>
    <w:p>
      <w:r>
        <w:t>Equation (7):  r_eff(l,h) = exp( - sum_r p_r log p_r ).</w:t>
      </w:r>
    </w:p>
    <w:p>
      <w:r>
        <w:t>Low r_eff indicates severe spectral collapse and stronger risk of peaked attention.</w:t>
      </w:r>
    </w:p>
    <w:p>
      <w:pPr>
        <w:pStyle w:val="Heading2"/>
      </w:pPr>
      <w:r>
        <w:t>4.3 Layer-Head Dual Gating</w:t>
      </w:r>
    </w:p>
    <w:p>
      <w:r>
        <w:t>We map spectral degeneration to intervention strength with a scalar layer gate and a head gate:</w:t>
      </w:r>
    </w:p>
    <w:p>
      <w:r>
        <w:t>Equation (8):  G_l = clamp( 1 - min_h r_eff(l,h) / ( mean_h r_eff(l,h) + eps ), 0, 1 ).</w:t>
      </w:r>
    </w:p>
    <w:p>
      <w:r>
        <w:t>Equation (9):  G_h = clamp( ( med_h r_eff(l,h) - r_eff(l,h) ) / ( med_h r_eff(l,h) - min_h r_eff(l,h) + eps ), 0, 1 )^{1/2}.</w:t>
      </w:r>
    </w:p>
    <w:p>
      <w:r>
        <w:t>Equation (10): alpha_{l,h} = alpha_0 * G_l * G_h.</w:t>
      </w:r>
    </w:p>
    <w:p>
      <w:r>
        <w:t>This design concentrates perturbation on collapsed heads in degenerated layers.</w:t>
      </w:r>
    </w:p>
    <w:p>
      <w:pPr>
        <w:pStyle w:val="Heading2"/>
      </w:pPr>
      <w:r>
        <w:t>4.4 Temporal-Only Gated Gaussian Interpolation</w:t>
      </w:r>
    </w:p>
    <w:p>
      <w:r>
        <w:t>Given temporal feature x_{l,h,p} (Q or K), we sample eta_{l,h,p} from N(0, sigma_{l,h}^2 I) estimated from video tokens and apply:</w:t>
      </w:r>
    </w:p>
    <w:p>
      <w:r>
        <w:t>Equation (11):  x'_{l,h,p} = x_{l,h,p} + alpha_{l,h} * ( eta_{l,h,p} - x_{l,h,p} ).</w:t>
      </w:r>
    </w:p>
    <w:p>
      <w:r>
        <w:t>Only temporal channels are written back; spatial/text channels remain unchanged.</w:t>
      </w:r>
    </w:p>
    <w:p>
      <w:r>
        <w:t>Equation (12):  Sigma'_{l,h} = (1-alpha_{l,h})^2 * Sigma_{l,h} + alpha_{l,h}^2 * sigma_{l,h}^2 I.</w:t>
      </w:r>
    </w:p>
    <w:p>
      <w:r>
        <w:t>Hence small eigenvalues are lifted and condition number decreases, producing a smoother spectrum and broader attention coverage.</w:t>
      </w:r>
    </w:p>
    <w:p>
      <w:pPr>
        <w:pStyle w:val="Heading2"/>
      </w:pPr>
      <w:r>
        <w:t>4.5 Complexity and Practicality</w:t>
      </w:r>
    </w:p>
    <w:p>
      <w:r>
        <w:t>Truncated spectral estimation costs O(H * N_v * d_t * r) per layer at prefill and is independent of generation length during decoding. No retraining, no extra supervision, and no architecture modification are required.</w:t>
      </w:r>
    </w:p>
    <w:p>
      <w:pPr>
        <w:pStyle w:val="Heading2"/>
      </w:pPr>
      <w:r>
        <w:t>4.6 Pseudocode (main text compact version)</w:t>
      </w:r>
    </w:p>
    <w:p>
      <w:r>
        <w:t xml:space="preserve">Algorithm 1 (SPECTRA Inference): </w:t>
        <w:br/>
        <w:t>Input: Q,K, token mask, mRoPE temporal indices.</w:t>
        <w:br/>
        <w:t>1) Extract temporal channels (video tokens only).</w:t>
        <w:br/>
        <w:t>2) Compute per-head r_eff by truncated PCA/SVD.</w:t>
        <w:br/>
        <w:t>3) Compute G_l and G_h, then alpha_{l,h}.</w:t>
        <w:br/>
        <w:t>4) Sample Gaussian target eta and interpolate temporal Q/K.</w:t>
        <w:br/>
        <w:t>5) Write back temporal channels and run attention as usual.</w:t>
      </w:r>
    </w:p>
    <w:p>
      <w:pPr>
        <w:pStyle w:val="Heading1"/>
      </w:pPr>
      <w:r>
        <w:t>5. Granularity Plan: What to Keep in Main Text vs Appendix</w:t>
      </w:r>
    </w:p>
    <w:p>
      <w:pPr>
        <w:pStyle w:val="Heading2"/>
      </w:pPr>
      <w:r>
        <w:t>5.1 Main text (must be concise and high-impact)</w:t>
      </w:r>
    </w:p>
    <w:p>
      <w:pPr>
        <w:pStyle w:val="ListBullet"/>
      </w:pPr>
      <w:r>
        <w:t>One motivating figure: peaked-attention behavior + coverage metric (e.g., span@p).</w:t>
      </w:r>
    </w:p>
    <w:p>
      <w:pPr>
        <w:pStyle w:val="ListBullet"/>
      </w:pPr>
      <w:r>
        <w:t>Core decomposition formula (global isotropy = diagonal smoothness + off-diagonal decoupling).</w:t>
      </w:r>
    </w:p>
    <w:p>
      <w:pPr>
        <w:pStyle w:val="ListBullet"/>
      </w:pPr>
      <w:r>
        <w:t>One theorem statement with clear assumptions and one-paragraph proof sketch.</w:t>
      </w:r>
    </w:p>
    <w:p>
      <w:pPr>
        <w:pStyle w:val="ListBullet"/>
      </w:pPr>
      <w:r>
        <w:t>Method equations (effective-rank, dual gates, interpolation), plus compact algorithm.</w:t>
      </w:r>
    </w:p>
    <w:p>
      <w:pPr>
        <w:pStyle w:val="ListBullet"/>
      </w:pPr>
      <w:r>
        <w:t>Complexity sentence and one ablation table showing each module contribution.</w:t>
      </w:r>
    </w:p>
    <w:p>
      <w:pPr>
        <w:pStyle w:val="Heading2"/>
      </w:pPr>
      <w:r>
        <w:t>5.2 Appendix (for rigor and reproducibility)</w:t>
      </w:r>
    </w:p>
    <w:p>
      <w:pPr>
        <w:pStyle w:val="ListBullet"/>
      </w:pPr>
      <w:r>
        <w:t>Full proofs for decomposition bound and phase-cancellation lemma.</w:t>
      </w:r>
    </w:p>
    <w:p>
      <w:pPr>
        <w:pStyle w:val="ListBullet"/>
      </w:pPr>
      <w:r>
        <w:t>Alternative gate formulations and robustness to hyperparameters.</w:t>
      </w:r>
    </w:p>
    <w:p>
      <w:pPr>
        <w:pStyle w:val="ListBullet"/>
      </w:pPr>
      <w:r>
        <w:t>More layer×head heatmaps and cross-dataset correlation plots.</w:t>
      </w:r>
    </w:p>
    <w:p>
      <w:pPr>
        <w:pStyle w:val="ListBullet"/>
      </w:pPr>
      <w:r>
        <w:t>Extended qualitative cases and failure modes.</w:t>
      </w:r>
    </w:p>
    <w:p>
      <w:pPr>
        <w:pStyle w:val="ListBullet"/>
      </w:pPr>
      <w:r>
        <w:t>Implementation details: mask construction, prefill-only scheduling, numerical stability constants.</w:t>
      </w:r>
    </w:p>
    <w:p>
      <w:pPr>
        <w:pStyle w:val="Heading2"/>
      </w:pPr>
      <w:r>
        <w:t>5.3 Recommended page-budget allocation (14-page ECCV body)</w:t>
      </w:r>
    </w:p>
    <w:p>
      <w:pPr>
        <w:pStyle w:val="ListBullet"/>
      </w:pPr>
      <w:r>
        <w:t>Introduction + Related Work: 2.0 pages</w:t>
      </w:r>
    </w:p>
    <w:p>
      <w:pPr>
        <w:pStyle w:val="ListBullet"/>
      </w:pPr>
      <w:r>
        <w:t>Theoretical Analysis: 2.5 pages</w:t>
      </w:r>
    </w:p>
    <w:p>
      <w:pPr>
        <w:pStyle w:val="ListBullet"/>
      </w:pPr>
      <w:r>
        <w:t>Method: 2.0 pages</w:t>
      </w:r>
    </w:p>
    <w:p>
      <w:pPr>
        <w:pStyle w:val="ListBullet"/>
      </w:pPr>
      <w:r>
        <w:t>Experiments (main tables + key plots): 5.5 pages</w:t>
      </w:r>
    </w:p>
    <w:p>
      <w:pPr>
        <w:pStyle w:val="ListBullet"/>
      </w:pPr>
      <w:r>
        <w:t>Limitations + Conclusion: 1.0 page</w:t>
      </w:r>
    </w:p>
    <w:p>
      <w:pPr>
        <w:pStyle w:val="ListBullet"/>
      </w:pPr>
      <w:r>
        <w:t>Buffer for formatting/transition: 1.0 page</w:t>
      </w:r>
    </w:p>
    <w:p>
      <w:pPr>
        <w:pStyle w:val="Heading1"/>
      </w:pPr>
      <w:r>
        <w:t>6. Style-Reference Pool (20 related papers for structure imitation)</w:t>
      </w:r>
    </w:p>
    <w:p>
      <w:r>
        <w:t>Priority is given to ECCV/CVPR/ICCV papers in video temporal grounding and long-video understanding, plus a few directly relevant preprints on RoPE behavior.</w:t>
      </w:r>
    </w:p>
    <w:p>
      <w:pPr>
        <w:pStyle w:val="ListNumber"/>
      </w:pPr>
      <w:r>
        <w:t>1) Ye et al., Re-thinking Temporal Search for Long-Form Video Understanding, CVPR 2025.</w:t>
      </w:r>
    </w:p>
    <w:p>
      <w:pPr>
        <w:pStyle w:val="ListNumber"/>
      </w:pPr>
      <w:r>
        <w:t>2) Wu et al., Number It: Temporal Grounding Videos like Flipping Manga, CVPR 2025.</w:t>
      </w:r>
    </w:p>
    <w:p>
      <w:pPr>
        <w:pStyle w:val="ListNumber"/>
      </w:pPr>
      <w:r>
        <w:t>3) Lin et al., UniVTG: Towards Unified Video-Language Temporal Grounding, ICCV 2023.</w:t>
      </w:r>
    </w:p>
    <w:p>
      <w:pPr>
        <w:pStyle w:val="ListNumber"/>
      </w:pPr>
      <w:r>
        <w:t>4) Wasim et al., VideoGrounding-DINO: Open-Vocabulary Video Temporal Grounding, CVPR 2024.</w:t>
      </w:r>
    </w:p>
    <w:p>
      <w:pPr>
        <w:pStyle w:val="ListNumber"/>
      </w:pPr>
      <w:r>
        <w:t>5) Gu et al., Context-Guided Spatio-Temporal Video Grounding, CVPR 2024.</w:t>
      </w:r>
    </w:p>
    <w:p>
      <w:pPr>
        <w:pStyle w:val="ListNumber"/>
      </w:pPr>
      <w:r>
        <w:t>6) Liu et al., R2-Tuning: Efficient Adaptation in Open-Vocabulary Video Grounding, ECCV 2024.</w:t>
      </w:r>
    </w:p>
    <w:p>
      <w:pPr>
        <w:pStyle w:val="ListNumber"/>
      </w:pPr>
      <w:r>
        <w:t>7) Zheng et al., Training-free Video Temporal Grounding using Large-scale Pre-trained Models, ECCV 2024.</w:t>
      </w:r>
    </w:p>
    <w:p>
      <w:pPr>
        <w:pStyle w:val="ListNumber"/>
      </w:pPr>
      <w:r>
        <w:t>8) Hannan et al., RGNet: Prompting Vision-Language Models for Open-world Temporal Grounding, ECCV 2024.</w:t>
      </w:r>
    </w:p>
    <w:p>
      <w:pPr>
        <w:pStyle w:val="ListNumber"/>
      </w:pPr>
      <w:r>
        <w:t>9) Lee and Byun, BAM-DETR: Boundary-Aware Multi-modal Detection Transformer, ECCV 2024.</w:t>
      </w:r>
    </w:p>
    <w:p>
      <w:pPr>
        <w:pStyle w:val="ListNumber"/>
      </w:pPr>
      <w:r>
        <w:t>10) Fang et al., Rethinking Weakly-supervised VTG from a Game Perspective, ECCV 2024.</w:t>
      </w:r>
    </w:p>
    <w:p>
      <w:pPr>
        <w:pStyle w:val="ListNumber"/>
      </w:pPr>
      <w:r>
        <w:t>11) Bao et al., E3M: Efficient Error-Exploration Modeling for Temporal Grounding, ECCV 2024.</w:t>
      </w:r>
    </w:p>
    <w:p>
      <w:pPr>
        <w:pStyle w:val="ListNumber"/>
      </w:pPr>
      <w:r>
        <w:t>12) Garg et al., STPro: Spatio-Temporal Prompting for Video Grounding, CVPR 2025.</w:t>
      </w:r>
    </w:p>
    <w:p>
      <w:pPr>
        <w:pStyle w:val="ListNumber"/>
      </w:pPr>
      <w:r>
        <w:t>13) Yang et al., TubeDETR: Spatio-temporal Video Grounding with Transformers, CVPR 2022.</w:t>
      </w:r>
    </w:p>
    <w:p>
      <w:pPr>
        <w:pStyle w:val="ListNumber"/>
      </w:pPr>
      <w:r>
        <w:t>14) Wu and Krahenbuhl, Towards Long-Form Video Understanding, CVPR 2021.</w:t>
      </w:r>
    </w:p>
    <w:p>
      <w:pPr>
        <w:pStyle w:val="ListNumber"/>
      </w:pPr>
      <w:r>
        <w:t>15) Lin et al., Collaborative Static and Dynamic Image-Video Joint Modeling for Video Grounding, CVPR 2023.</w:t>
      </w:r>
    </w:p>
    <w:p>
      <w:pPr>
        <w:pStyle w:val="ListNumber"/>
      </w:pPr>
      <w:r>
        <w:t>16) Bao et al., Vid-Group: Group-Aware Temporal Grounding, ICCV 2025.</w:t>
      </w:r>
    </w:p>
    <w:p>
      <w:pPr>
        <w:pStyle w:val="ListNumber"/>
      </w:pPr>
      <w:r>
        <w:t>17) Zhang et al., VTimeCoT: Progressive Thinking for Long Video Understanding, ICCV 2025.</w:t>
      </w:r>
    </w:p>
    <w:p>
      <w:pPr>
        <w:pStyle w:val="ListNumber"/>
      </w:pPr>
      <w:r>
        <w:t>18) Shu et al., Video-XL: Extra-Long Vision-Language Context Modeling, CVPR 2025.</w:t>
      </w:r>
    </w:p>
    <w:p>
      <w:pPr>
        <w:pStyle w:val="ListNumber"/>
      </w:pPr>
      <w:r>
        <w:t>19) DoPE, Understanding and Mitigating Spectral Peaks in RoPE (arXiv:2511.09146).</w:t>
      </w:r>
    </w:p>
    <w:p>
      <w:pPr>
        <w:pStyle w:val="ListNumber"/>
      </w:pPr>
      <w:r>
        <w:t>20) Round and Round We Go: Revisiting RoPE Frequency Roles (arXiv:2410.06205).</w:t>
      </w:r>
    </w:p>
    <w:p>
      <w:pPr>
        <w:pStyle w:val="Heading1"/>
      </w:pPr>
      <w:r>
        <w:t>7. Immediate Writing Actions (for your next paper draft)</w:t>
      </w:r>
    </w:p>
    <w:p>
      <w:pPr>
        <w:pStyle w:val="ListBullet"/>
      </w:pPr>
      <w:r>
        <w:t>Use Section 3 and Section 4 text as the first English draft for your paper body.</w:t>
      </w:r>
    </w:p>
    <w:p>
      <w:pPr>
        <w:pStyle w:val="ListBullet"/>
      </w:pPr>
      <w:r>
        <w:t>Move full proofs of Equation (3)/(5) and theorem constants to appendix to preserve readability.</w:t>
      </w:r>
    </w:p>
    <w:p>
      <w:pPr>
        <w:pStyle w:val="ListBullet"/>
      </w:pPr>
      <w:r>
        <w:t>Keep one central mechanism figure in main text: "peaked attention -&gt; spectral collapse -&gt; SPECTRA -&gt; coverage recovery".</w:t>
      </w:r>
    </w:p>
    <w:p>
      <w:pPr>
        <w:pStyle w:val="ListBullet"/>
      </w:pPr>
      <w:r>
        <w:t>In experiments, report consistency and trend first; numeric detail can be table-centric, not abstract-centric.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