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TC" w:hAnsi="Noto Sans CJK TC" w:eastAsia="Noto Sans CJK TC"/>
          <w:b/>
          <w:color w:val="1F354E"/>
          <w:sz w:val="44"/>
        </w:rPr>
        <w:t>安久銀行員工工作與福利規章辦法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52616B"/>
          <w:sz w:val="26"/>
        </w:rPr>
        <w:t>模擬版｜HR AI 智能助理 PoC 測試用</w:t>
      </w:r>
    </w:p>
    <w:p>
      <w:pPr>
        <w:spacing w:before="240"/>
        <w:jc w:val="center"/>
      </w:pPr>
      <w:r>
        <w:rPr>
          <w:rFonts w:ascii="Noto Sans CJK TC" w:hAnsi="Noto Sans CJK TC" w:eastAsia="Noto Sans CJK TC"/>
          <w:b w:val="0"/>
          <w:color w:val="6B7280"/>
          <w:sz w:val="21"/>
        </w:rPr>
        <w:t>依據《勞動基準法》外規底線與銀行業員工手冊情境設計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1F354E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文件編號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 w:val="0"/>
                <w:sz w:val="20"/>
              </w:rPr>
              <w:t>AJB-HR-POLICY-001</w:t>
            </w:r>
          </w:p>
        </w:tc>
      </w:tr>
      <w:tr>
        <w:tc>
          <w:tcPr>
            <w:tcW w:type="dxa" w:w="1984"/>
            <w:shd w:fill="1F354E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 w:val="0"/>
                <w:sz w:val="20"/>
              </w:rPr>
              <w:t>PoC-v1.0</w:t>
            </w:r>
          </w:p>
        </w:tc>
      </w:tr>
      <w:tr>
        <w:tc>
          <w:tcPr>
            <w:tcW w:type="dxa" w:w="1984"/>
            <w:shd w:fill="1F354E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適用對象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 w:val="0"/>
                <w:sz w:val="20"/>
              </w:rPr>
              <w:t>安久銀行正式員工、約聘員工及其他經本行指定適用之人員</w:t>
            </w:r>
          </w:p>
        </w:tc>
      </w:tr>
      <w:tr>
        <w:tc>
          <w:tcPr>
            <w:tcW w:type="dxa" w:w="1984"/>
            <w:shd w:fill="1F354E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文件性質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 w:val="0"/>
                <w:sz w:val="20"/>
              </w:rPr>
              <w:t>模擬員工內部規章，供 HR AI 智能助理 PoC 測試使用</w:t>
            </w:r>
          </w:p>
        </w:tc>
      </w:tr>
      <w:tr>
        <w:tc>
          <w:tcPr>
            <w:tcW w:type="dxa" w:w="1984"/>
            <w:shd w:fill="1F354E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生效日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</w:r>
            <w:r>
              <w:rPr>
                <w:rFonts w:ascii="Noto Sans CJK TC" w:hAnsi="Noto Sans CJK TC" w:eastAsia="Noto Sans CJK TC"/>
                <w:b w:val="0"/>
                <w:sz w:val="20"/>
              </w:rPr>
              <w:t>依系統建置測試版本設定</w:t>
            </w:r>
          </w:p>
        </w:tc>
      </w:tr>
    </w:tbl>
    <w:p>
      <w:pPr>
        <w:pStyle w:val="SmallNote"/>
        <w:spacing w:line="276" w:lineRule="auto" w:after="120"/>
      </w:pPr>
      <w:r>
        <w:rPr>
          <w:rFonts w:ascii="Noto Sans CJK TC" w:hAnsi="Noto Sans CJK TC" w:eastAsia="Noto Sans CJK TC"/>
          <w:sz w:val="21"/>
        </w:rPr>
        <w:t>注意：本文件為模擬規章，用於 HR AI 智能助理 PoC 與技術面試展示，不代表任何真實銀行正式制度。正式上線時應以企業核定之工作規則、薪酬辦法、假勤辦法、福利辦法及 HR 最新公告為準。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第一章　總則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 條｜目的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 條｜適用範圍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 條｜法規優先與內規優於法規原則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4 條｜員工查詢與 HR 審核原則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第二章　工作時間與出勤制度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5 條｜正常工作時間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6 條｜彈性上下班制度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7 條｜出勤紀錄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8 條｜休息時間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9 條｜例假日與休息日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第三章　請假制度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10 條｜請假申請原則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11 條｜特別休假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12 條｜特別休假未休日數處理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13 條｜病假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14 條｜事假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15 條｜家庭照顧假與緊急照顧彈性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16 條｜公假、婚假、喪假與其他假別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17 條｜請假爭議處理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第四章　加班與延長工時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18 條｜加班申請原則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19 條｜延長工時限制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20 條｜加班費計算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21 條｜加班審核責任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22 條｜資訊科技與營運支援加班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第五章　補休制度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23 條｜補休申請原則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24 條｜補休時數計算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25 條｜補休期限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26 條｜契約終止或期限屆滿未補休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27 條｜補休與業務安排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第六章　福利制度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28 條｜福利制度原則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29 條｜健康檢查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30 條｜員工旅遊與休閒補助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31 條｜教育訓練與證照補助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32 條｜員工關懷與急難協助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33 條｜生日、節慶與團隊福利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第七章　薪資、紀錄與爭議處理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34 條｜薪資給付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35 條｜薪資扣款與異常處理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36 條｜資料留存與稽核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第八章　高風險問題與人工處理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37 條｜高風險問題定義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38 條｜HR AI 智能助理回答邊界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39 條｜申訴與諮詢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第九章　附則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40 條｜本辦法之修訂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41 條｜版本控管</w:t>
      </w:r>
    </w:p>
    <w:p>
      <w:pPr>
        <w:spacing w:after="20"/>
        <w:ind w:left="283"/>
      </w:pPr>
      <w:r>
        <w:rPr>
          <w:rFonts w:ascii="Noto Sans CJK TC" w:hAnsi="Noto Sans CJK TC" w:eastAsia="Noto Sans CJK TC"/>
          <w:b w:val="0"/>
          <w:color w:val="4B5563"/>
          <w:sz w:val="19"/>
        </w:rPr>
        <w:t>第 42 條｜PoC 模擬聲明</w:t>
      </w:r>
    </w:p>
    <w:p>
      <w:r>
        <w:br w:type="page"/>
      </w:r>
    </w:p>
    <w:p>
      <w:pPr>
        <w:pStyle w:val="Heading1"/>
      </w:pPr>
      <w:r>
        <w:t>第一章　總則</w:t>
      </w:r>
    </w:p>
    <w:p>
      <w:pPr>
        <w:pStyle w:val="Heading2"/>
      </w:pPr>
      <w:r>
        <w:t>第 1 條｜目的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為建立本行員工工作時間、請假、加班、補休及福利制度之管理標準，保障員工權益，維持營運秩序，並確保本行內部規章不低於《勞動基準法》及相關法令所定最低標準，特訂定本辦法。</w:t>
      </w:r>
    </w:p>
    <w:p>
      <w:pPr>
        <w:pStyle w:val="Heading2"/>
      </w:pPr>
      <w:r>
        <w:t>第 2 條｜適用範圍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本辦法適用於本行受僱員工，包括總行、分行、數位金融、資訊科技、風險管理、客服營運、作業中心及其他本行所屬單位人員。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若特定職務因輪班、值班、專案支援、海外派駐或特殊業務需要，另有專案規範者，應依本辦法及該專案規範併行辦理。</w:t>
      </w:r>
    </w:p>
    <w:p>
      <w:pPr>
        <w:pStyle w:val="Heading2"/>
      </w:pPr>
      <w:r>
        <w:t>第 3 條｜法規優先與內規優於法規原則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本辦法如有未盡事項，應依《勞動基準法》及其他相關法令辦理。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本辦法如提供優於法令最低標準之工作條件或福利措施，員工得依本辦法適用較有利之規定。但本辦法不得解釋為降低員工依法享有之權益。</w:t>
      </w:r>
    </w:p>
    <w:p>
      <w:pPr>
        <w:pStyle w:val="Heading2"/>
      </w:pPr>
      <w:r>
        <w:t>第 4 條｜員工查詢與 HR 審核原則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員工對本辦法內容有疑義時，得透過 HR 服務窗口、內部知識平台或 HR AI 智能助理查詢。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涉及個人薪資、假勤爭議、主管核准、申訴、懲處、資遣、個資或法律責任判斷者，HR AI 智能助理僅提供一般性規章說明，不作個案最終認定，應轉由 HR 或法遵單位處理。</w:t>
      </w:r>
    </w:p>
    <w:p>
      <w:pPr>
        <w:pStyle w:val="Heading1"/>
      </w:pPr>
      <w:r>
        <w:t>第二章　工作時間與出勤制度</w:t>
      </w:r>
    </w:p>
    <w:p>
      <w:pPr>
        <w:pStyle w:val="Heading2"/>
      </w:pPr>
      <w:r>
        <w:t>第 5 條｜正常工作時間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本行一般員工之正常工作時間為每日 8 小時，每週 40 小時。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原則上，總行與一般行政單位之正常工作時間為週一至週五，每日 9:00 至 18:00，中午休息 1 小時。各單位得依業務特性訂定彈性上下班時間，惟每日及每週正常工作時數仍不得低於或逾越法令規範。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30 條正常工作時間規範。</w:t>
      </w:r>
    </w:p>
    <w:p>
      <w:pPr>
        <w:pStyle w:val="Heading2"/>
      </w:pPr>
      <w:r>
        <w:t>第 6 條｜彈性上下班制度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為兼顧員工通勤、家庭照顧及業務彈性需求，本行得於不影響營運與客戶服務之前提下，實施彈性上下班制度。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一般員工得於 8:00 至 10:00 間彈性上班，並依實際上班時間完成每日應工作時數。實際適用範圍由各單位主管及 HR 依職務需求公告。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分行櫃檯、客服、作業中心及輪班單位，因營業時間或服務時段需求，得另依排班規範辦理。</w:t>
      </w:r>
    </w:p>
    <w:p>
      <w:pPr>
        <w:pStyle w:val="Heading2"/>
      </w:pPr>
      <w:r>
        <w:t>第 7 條｜出勤紀錄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員工應依本行規定使用差勤系統、門禁系統、打卡系統或其他指定方式記錄出勤。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員工應確保出勤紀錄真實完整，不得代刷、代登、偽造或不實申報。違反者，得依本行員工獎懲辦法處理。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本行應依相關法令保存員工出勤紀錄，作為工時、加班、補休及薪資計算之依據。</w:t>
      </w:r>
    </w:p>
    <w:p>
      <w:pPr>
        <w:pStyle w:val="Heading2"/>
      </w:pPr>
      <w:r>
        <w:t>第 8 條｜休息時間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員工繼續工作達 4 小時者，原則上應安排至少 30 分鐘休息時間。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因客服、交易、資訊維運、資安監控或其他連續性工作需要，得由單位主管安排輪替休息，惟仍應保障員工合理休息權益。</w:t>
      </w:r>
    </w:p>
    <w:p>
      <w:pPr>
        <w:pStyle w:val="Heading2"/>
      </w:pPr>
      <w:r>
        <w:t>第 9 條｜例假日與休息日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員工每 7 日中應有 2 日休息，其中 1 日為例假日，1 日為休息日。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本行原則上以週六為休息日、週日為例假日。但因分行營業、資訊系統維運、客服輪班、重大專案或特殊業務需求，得依排班制度另行安排，並應符合相關法令及內部核准程序。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36 條例假與休息日規範。</w:t>
      </w:r>
    </w:p>
    <w:p>
      <w:pPr>
        <w:pStyle w:val="Heading1"/>
      </w:pPr>
      <w:r>
        <w:t>第三章　請假制度</w:t>
      </w:r>
    </w:p>
    <w:p>
      <w:pPr>
        <w:pStyle w:val="Heading2"/>
      </w:pPr>
      <w:r>
        <w:t>第 10 條｜請假申請原則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員工請假應透過本行差勤系統提出申請，並依假別提供必要資料或證明文件。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除突發疾病、緊急事故或不可抗力因素外，員工應事前完成請假申請並經主管核准。未依規定辦理者，得依本行出勤管理規範處理。</w:t>
      </w:r>
    </w:p>
    <w:p>
      <w:pPr>
        <w:pStyle w:val="Heading2"/>
      </w:pPr>
      <w:r>
        <w:t>第 11 條｜特別休假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員工於本行連續服務滿一定期間者，得依下列標準享有特別休假：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一、滿 6 個月未滿 1 年者：5 日。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二、滿 1 年未滿 2 年者：8 日。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三、滿 2 年未滿 3 年者：11 日。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四、滿 3 年未滿 5 年者：15 日。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五、滿 5 年未滿 10 年者：16 日。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六、滿 10 年以上者，自第 10 年起每年加給 1 日，最高以 30 日為限。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本行特別休假日數原則上優於《勞動基準法》最低標準，作為本行員工福利與留才制度之一環。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特別休假由員工排定，惟遇有重大營運需求、客戶服務需求、資訊系統上線、稽核檢查或其他急迫事由時，得由員工與主管協商調整。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38 條特別休假規範，本行提供優於法規之特休天數。</w:t>
      </w:r>
    </w:p>
    <w:p>
      <w:pPr>
        <w:pStyle w:val="Heading2"/>
      </w:pPr>
      <w:r>
        <w:t>第 12 條｜特別休假未休日數處理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員工特別休假應於年度內安排使用。因業務需要或個人因素未能於年度內休畢者，得依本行公告規則遞延至次一年度使用。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年度終結或契約終止時仍未休畢之特別休假，應依本行薪資結算規定及相關法令辦理折算或給付。</w:t>
      </w:r>
    </w:p>
    <w:p>
      <w:pPr>
        <w:pStyle w:val="Heading2"/>
      </w:pPr>
      <w:r>
        <w:t>第 13 條｜病假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員工因普通傷病需休養或就醫者，得申請病假。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病假 1 日以內者，得免附診斷證明。但連續病假達 2 日以上，或當年度累計病假達 HR 公告標準者，應檢附醫療院所證明或其他足資證明文件。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病假期間薪資給付依本行薪酬與假勤規範辦理，且不得低於相關法令最低標準。</w:t>
      </w:r>
    </w:p>
    <w:p>
      <w:pPr>
        <w:pStyle w:val="Heading2"/>
      </w:pPr>
      <w:r>
        <w:t>第 14 條｜事假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員工因個人事務需親自處理者，得申請事假。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事假應事前提出申請並經主管核准。若因突發事故無法事前申請者，應於可通知時即時通知主管，並於事後補辦申請程序。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事假期間薪資給付與全勤、績效或其他津貼之影響，依本行薪酬制度及 HR 公告辦理。</w:t>
      </w:r>
    </w:p>
    <w:p>
      <w:pPr>
        <w:pStyle w:val="Heading2"/>
      </w:pPr>
      <w:r>
        <w:t>第 15 條｜家庭照顧假與緊急照顧彈性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員工因家庭成員疾病、重大事故、緊急照顧或不可預期家庭需求，得依相關法令及本行規定申請家庭照顧假。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為支持員工家庭照顧需求，本行得依單位營運狀況提供彈性上班、遠距辦公、臨時調班或其他協助措施。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本條所稱彈性措施應由員工提出申請，經主管與 HR 評估後辦理。</w:t>
      </w:r>
    </w:p>
    <w:p>
      <w:pPr>
        <w:pStyle w:val="Heading2"/>
      </w:pPr>
      <w:r>
        <w:t>第 16 條｜公假、婚假、喪假與其他假別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員工因依法令規定或本行核准之公務需求，得申請公假。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婚假、喪假、產假、陪產檢及陪產假、生理假、育嬰留職停薪及其他法定假別，依相關法令及本行公告辦理。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如本行內部規範提供優於法令之給假日數或薪資條件，得依本行較有利規定適用。</w:t>
      </w:r>
    </w:p>
    <w:p>
      <w:pPr>
        <w:pStyle w:val="Heading2"/>
      </w:pPr>
      <w:r>
        <w:t>第 17 條｜請假爭議處理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員工對假別認定、請假核准、薪資計算或證明文件要求有疑義時，應先洽直屬主管或 HR 服務窗口確認。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涉及個案爭議、主管不核准、長期病假、職災、申訴或法律責任判斷者，HR AI 智能助理不得直接作最終判定，應轉由 HR 或法遵單位處理。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43 條請假相關規範。</w:t>
      </w:r>
    </w:p>
    <w:p>
      <w:pPr>
        <w:pStyle w:val="Heading1"/>
      </w:pPr>
      <w:r>
        <w:t>第四章　加班與延長工時</w:t>
      </w:r>
    </w:p>
    <w:p>
      <w:pPr>
        <w:pStyle w:val="Heading2"/>
      </w:pPr>
      <w:r>
        <w:t>第 18 條｜加班申請原則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員工因業務需要需於正常工作時間外提供勞務者，應於加班前透過差勤系統提出加班申請，並經主管核准後始得加班。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未經事前核准但因緊急事故、客戶服務、資訊系統異常、資安事件、重大交易、法遵時效或主管指派而實際延長工作時間者，應於事後 2 個工作日內補申請，並由主管及 HR 依出勤紀錄與工作事實審核。</w:t>
      </w:r>
    </w:p>
    <w:p>
      <w:pPr>
        <w:pStyle w:val="Heading2"/>
      </w:pPr>
      <w:r>
        <w:t>第 19 條｜延長工時限制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本行安排員工延長工作時間，應符合相關法令對每日、每月及每三個月延長工時之限制。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員工因健康或其他正當理由不能接受延長工作時間者，得向主管及 HR 說明，主管不得以不當方式強制員工加班。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32 條延長工時及第 42 條不得強制延長工時之精神。</w:t>
      </w:r>
    </w:p>
    <w:p>
      <w:pPr>
        <w:pStyle w:val="Heading2"/>
      </w:pPr>
      <w:r>
        <w:t>第 20 條｜加班費計算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經核准之平日加班，其加班費依相關法令及本行薪資計算規則辦理。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平日延長工作時間在 2 小時以內者，按平日每小時工資額加給三分之一以上；再延長工作時間在 2 小時以內者，按平日每小時工資額加給三分之二以上。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休息日、例假日、國定假日或其他特殊日加班者，應依相關法令及本行薪酬規範計算。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24 條加班費規範。</w:t>
      </w:r>
    </w:p>
    <w:p>
      <w:pPr>
        <w:pStyle w:val="Heading2"/>
      </w:pPr>
      <w:r>
        <w:t>第 21 條｜加班審核責任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主管應依業務必要性、員工實際工作內容、出勤紀錄及工作成果審核加班申請，不得要求員工形式上不申報加班而實際提供勞務。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若員工反映有未申報加班、加班費疑義或工時紀錄不符之情形，HR 應啟動查核程序，並依查核結果辦理補登、補休或薪資結算。</w:t>
      </w:r>
    </w:p>
    <w:p>
      <w:pPr>
        <w:pStyle w:val="Heading2"/>
      </w:pPr>
      <w:r>
        <w:t>第 22 條｜資訊科技與營運支援加班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因資訊系統維運、資安事件、核心帳務系統切換、監理申報、重大專案上線或緊急營運支援而需加班者，得依專案加班申請流程辦理。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專案加班仍應遵守延長工時上限、補休期限、加班費計算及員工健康保護原則。</w:t>
      </w:r>
    </w:p>
    <w:p>
      <w:pPr>
        <w:pStyle w:val="Heading1"/>
      </w:pPr>
      <w:r>
        <w:t>第五章　補休制度</w:t>
      </w:r>
    </w:p>
    <w:p>
      <w:pPr>
        <w:pStyle w:val="Heading2"/>
      </w:pPr>
      <w:r>
        <w:t>第 23 條｜補休申請原則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員工經核准延長工作時間或於休息日工作後，得依個人意願選擇領取加班費或申請補休。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補休之選擇應由員工自主決定，並經本行同意後辦理。本行不得以補休制度規避依法應給付之加班費。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32-1 條補休規範。</w:t>
      </w:r>
    </w:p>
    <w:p>
      <w:pPr>
        <w:pStyle w:val="Heading2"/>
      </w:pPr>
      <w:r>
        <w:t>第 24 條｜補休時數計算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補休時數應依員工實際延長工作時間或休息日工作時數計算。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補休以小時為最小單位，得依本行差勤系統規則折算至半小時或其他 HR 公告之最小請假單位。</w:t>
      </w:r>
    </w:p>
    <w:p>
      <w:pPr>
        <w:pStyle w:val="Heading2"/>
      </w:pPr>
      <w:r>
        <w:t>第 25 條｜補休期限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員工補休應於加班事實發生日起 6 個月內完成安排。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若因業務需求、專案排程或主管要求導致員工無法於期限內補休，應由主管與 HR 協助安排補休或依相關法令及本行薪酬制度辦理工資給付。</w:t>
      </w:r>
    </w:p>
    <w:p>
      <w:pPr>
        <w:pStyle w:val="Heading2"/>
      </w:pPr>
      <w:r>
        <w:t>第 26 條｜契約終止或期限屆滿未補休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員工離職、資遣、退休、契約終止或補休期限屆滿時，尚有未休畢之補休時數者，應依延長工作時間或休息日工作當日之工資計算標準發給工資。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本行不得以補休未使用為由，取消員工依法得請求之工資權益。</w:t>
      </w:r>
    </w:p>
    <w:p>
      <w:pPr>
        <w:pStyle w:val="Heading2"/>
      </w:pPr>
      <w:r>
        <w:t>第 27 條｜補休與業務安排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主管應合理安排人力，協助員工於期限內完成補休。若單位長期無法安排補休，HR 得要求該單位提出改善計畫。</w:t>
      </w:r>
    </w:p>
    <w:p>
      <w:pPr>
        <w:pStyle w:val="Heading1"/>
      </w:pPr>
      <w:r>
        <w:t>第六章　福利制度</w:t>
      </w:r>
    </w:p>
    <w:p>
      <w:pPr>
        <w:pStyle w:val="Heading2"/>
      </w:pPr>
      <w:r>
        <w:t>第 28 條｜福利制度原則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為提升員工福祉、組織承諾與工作生活平衡，本行得依年度預算、營運狀況及人力資源政策，提供員工福利措施。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福利制度屬本行內部政策，實際金額、資格、申請方式及年度調整，應以 HR 最新公告及核定辦法為準。</w:t>
      </w:r>
    </w:p>
    <w:p>
      <w:pPr>
        <w:pStyle w:val="Heading2"/>
      </w:pPr>
      <w:r>
        <w:t>第 29 條｜健康檢查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本行提供正式員工定期健康檢查補助。一般員工每 2 年得享有 1 次健康檢查補助；特定高壓、輪班、資訊維運、客服及主管職務，得依 HR 公告提高檢查頻率或補助額度。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員工健康檢查資料涉及個人健康資訊，應依個人資料保護及相關法令辦理，不得由非權責人員查閱。</w:t>
      </w:r>
    </w:p>
    <w:p>
      <w:pPr>
        <w:pStyle w:val="Heading2"/>
      </w:pPr>
      <w:r>
        <w:t>第 30 條｜員工旅遊與休閒補助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本行得依年度預算提供員工旅遊、團隊活動或休閒補助。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補助資格、補助金額、使用期間及申請方式，依當年度 HR 公告辦理。若年度預算、營運狀況或政策調整，HR 得修正或暫停相關補助。</w:t>
      </w:r>
    </w:p>
    <w:p>
      <w:pPr>
        <w:pStyle w:val="Heading2"/>
      </w:pPr>
      <w:r>
        <w:t>第 31 條｜教育訓練與證照補助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為鼓勵員工持續學習與專業發展，本行得提供教育訓練、金融證照、資訊科技證照、語言能力、資料分析、AI 應用、法遵風控等課程或考試補助。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補助項目、補助比例、申請資格、服務年限約定及退費條件，依教育訓練管理辦法及 HR 公告辦理。</w:t>
      </w:r>
    </w:p>
    <w:p>
      <w:pPr>
        <w:pStyle w:val="Heading2"/>
      </w:pPr>
      <w:r>
        <w:t>第 32 條｜員工關懷與急難協助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員工或其家庭遭遇重大傷病、災害、事故或其他急難事件時，得向 HR 或員工關懷窗口提出協助申請。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本行得依個案情況提供慰問金、彈性工時、遠距辦公、假勤協助、心理諮詢或其他必要支持。</w:t>
      </w:r>
    </w:p>
    <w:p>
      <w:pPr>
        <w:pStyle w:val="Heading2"/>
      </w:pPr>
      <w:r>
        <w:t>第 33 條｜生日、節慶與團隊福利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本行得依年度預算提供生日禮、節慶禮金、團隊活動經費或其他員工關懷措施。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前項福利屬本行恩惠性與激勵性措施，實際內容依 HR 最新公告辦理。</w:t>
      </w:r>
    </w:p>
    <w:p>
      <w:pPr>
        <w:pStyle w:val="Heading1"/>
      </w:pPr>
      <w:r>
        <w:t>第七章　薪資、紀錄與爭議處理</w:t>
      </w:r>
    </w:p>
    <w:p>
      <w:pPr>
        <w:pStyle w:val="Heading2"/>
      </w:pPr>
      <w:r>
        <w:t>第 34 條｜薪資給付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本行薪資應依約定日期給付，並提供員工薪資明細。薪資給付方式、薪資項目及各項扣繳應依相關法令及本行薪酬制度辦理。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員工對薪資、加班費、補休折算、津貼、全勤或扣款有疑義時，得向 HR 薪酬窗口提出查詢。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本條對應外規關係：參照《勞動基準法》第 22 條及第 23 條工資給付與工資清冊規範。</w:t>
      </w:r>
    </w:p>
    <w:p>
      <w:pPr>
        <w:pStyle w:val="Heading2"/>
      </w:pPr>
      <w:r>
        <w:t>第 35 條｜薪資扣款與異常處理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本行不得任意預扣員工工資作為違約金或賠償費用。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依法令規定、勞雇約定或經員工確認之扣款項目，應於薪資明細中清楚揭示。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涉及薪資扣款爭議者，HR AI 智能助理僅能提供一般規範說明，不直接判定個案責任，應轉由 HR 薪酬或法遵單位處理。</w:t>
      </w:r>
    </w:p>
    <w:p>
      <w:pPr>
        <w:pStyle w:val="Heading2"/>
      </w:pPr>
      <w:r>
        <w:t>第 36 條｜資料留存與稽核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本行應保存員工出勤紀錄、請假紀錄、加班申請、補休紀錄、薪資清冊及相關 HR 審核紀錄，以供薪資計算、爭議處理、內部稽核及主管機關查核使用。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涉及員工個資與敏感資料者，應依個人資料保護法及本行資訊安全政策辦理。</w:t>
      </w:r>
    </w:p>
    <w:p>
      <w:pPr>
        <w:pStyle w:val="Heading1"/>
      </w:pPr>
      <w:r>
        <w:t>第八章　高風險問題與人工處理</w:t>
      </w:r>
    </w:p>
    <w:p>
      <w:pPr>
        <w:pStyle w:val="Heading2"/>
      </w:pPr>
      <w:r>
        <w:t>第 37 條｜高風險問題定義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下列事項屬高風險 HR 問題，應由 HR、法遵、員工關係或其他權責單位處理：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一、主管強迫離職、疑似違法解僱或資遣爭議。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二、薪資扣款、加班費短少、未申報加班等爭議。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三、申訴、懲處、職場霸凌、性騷擾或歧視。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四、職業災害、重大傷病或醫療隱私。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五、涉及員工個資、薪資明細、績效考核或法律責任判斷之事項。</w:t>
      </w:r>
    </w:p>
    <w:p>
      <w:pPr>
        <w:pStyle w:val="Heading2"/>
      </w:pPr>
      <w:r>
        <w:t>第 38 條｜HR AI 智能助理回答邊界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HR AI 智能助理得回答標準規則型問題，例如特休天數、加班費原則、補休期限、請假流程、福利申請方式等。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對於情境型問題，HR AI 智能助理應提供一般原則與風險聲明。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對於高風險問題，HR AI 智能助理不得直接作合法性、責任歸屬或最終處分判斷，應引導員工洽 HR 或正式申訴管道。</w:t>
      </w:r>
    </w:p>
    <w:p>
      <w:pPr>
        <w:pStyle w:val="Heading2"/>
      </w:pPr>
      <w:r>
        <w:t>第 39 條｜申訴與諮詢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員工如認為自身權益受損，得透過 HR 服務窗口、員工關係窗口、法遵諮詢管道或本行正式申訴程序提出。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本行應依保密、客觀、公正及不報復原則處理員工申訴。</w:t>
      </w:r>
    </w:p>
    <w:p>
      <w:pPr>
        <w:pStyle w:val="Heading1"/>
      </w:pPr>
      <w:r>
        <w:t>第九章　附則</w:t>
      </w:r>
    </w:p>
    <w:p>
      <w:pPr>
        <w:pStyle w:val="Heading2"/>
      </w:pPr>
      <w:r>
        <w:t>第 40 條｜本辦法之修訂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本辦法由人力資源單位擬訂，經權責主管核定後公告實施。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本行得因法令修正、營運需求、監理要求、組織調整或福利政策變更，修訂本辦法。</w:t>
      </w:r>
    </w:p>
    <w:p>
      <w:pPr>
        <w:pStyle w:val="Heading2"/>
      </w:pPr>
      <w:r>
        <w:t>第 41 條｜版本控管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本辦法應建立版本控管紀錄，記載版本號、生效日、修訂原因、修訂條文及核定單位。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若本辦法內容與最新法令牴觸，應以法令規定為準，並由 HR 於合理期間內完成修訂。</w:t>
      </w:r>
    </w:p>
    <w:p>
      <w:pPr>
        <w:pStyle w:val="Heading2"/>
      </w:pPr>
      <w:r>
        <w:t>第 42 條｜PoC 模擬聲明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本文件為 HR AI 智能助理 PoC 測試所用之模擬銀行員工內部規章，非真實銀行正式制度文件。</w:t>
      </w:r>
    </w:p>
    <w:p>
      <w:pPr>
        <w:spacing w:line="276" w:lineRule="auto" w:after="120"/>
      </w:pPr>
      <w:r>
        <w:rPr>
          <w:rFonts w:ascii="Noto Sans CJK TC" w:hAnsi="Noto Sans CJK TC" w:eastAsia="Noto Sans CJK TC"/>
          <w:sz w:val="21"/>
        </w:rPr>
        <w:t>正式上線時，應以銀行實際核定之員工手冊、工作規則、薪酬辦法、假勤辦法、福利辦法及 HR 最新公告為準。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6B7280"/>
        <w:sz w:val="17"/>
      </w:rPr>
      <w:t>安久銀行員工工作與福利規章辦法（模擬版）｜HR AI 智能助理 PoC 測試用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35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rPr>
      <w:rFonts w:ascii="Noto Sans CJK TC" w:hAnsi="Noto Sans CJK TC" w:eastAsia="Noto Sans CJK TC"/>
      <w:b w:val="0"/>
      <w:color w:val="4B5563"/>
      <w:sz w:val="19"/>
    </w:rPr>
  </w:style>
  <w:style w:type="paragraph" w:customStyle="1" w:styleId="SmallNote">
    <w:name w:val="SmallNote"/>
    <w:basedOn w:val="Normal"/>
    <w:rPr>
      <w:rFonts w:ascii="Noto Sans CJK TC" w:hAnsi="Noto Sans CJK TC" w:eastAsia="Noto Sans CJK TC"/>
      <w:b w:val="0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