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F3098F" w14:textId="3CA6867B" w:rsidR="008C0B5A" w:rsidRDefault="00EE3DDB">
      <w:r>
        <w:t xml:space="preserve">Description of data for ITHIM case study cities: Santiago in Chile, Buenos Aires in Argentina, </w:t>
      </w:r>
      <w:proofErr w:type="gramStart"/>
      <w:r>
        <w:t>Mexico city</w:t>
      </w:r>
      <w:proofErr w:type="gramEnd"/>
      <w:r>
        <w:t xml:space="preserve"> </w:t>
      </w:r>
    </w:p>
    <w:tbl>
      <w:tblPr>
        <w:tblStyle w:val="TableGrid"/>
        <w:tblW w:w="0" w:type="auto"/>
        <w:tblLook w:val="04A0" w:firstRow="1" w:lastRow="0" w:firstColumn="1" w:lastColumn="0" w:noHBand="0" w:noVBand="1"/>
      </w:tblPr>
      <w:tblGrid>
        <w:gridCol w:w="988"/>
        <w:gridCol w:w="2074"/>
        <w:gridCol w:w="1557"/>
        <w:gridCol w:w="1897"/>
        <w:gridCol w:w="2500"/>
      </w:tblGrid>
      <w:tr w:rsidR="00EE3DDB" w:rsidRPr="009B7800" w14:paraId="001C2FBB" w14:textId="77777777" w:rsidTr="007941BE">
        <w:tc>
          <w:tcPr>
            <w:tcW w:w="988" w:type="dxa"/>
          </w:tcPr>
          <w:p w14:paraId="6CE28FA0" w14:textId="77777777" w:rsidR="00EE3DDB" w:rsidRPr="009B7800" w:rsidRDefault="00EE3DDB">
            <w:pPr>
              <w:rPr>
                <w:sz w:val="18"/>
                <w:szCs w:val="18"/>
              </w:rPr>
            </w:pPr>
          </w:p>
        </w:tc>
        <w:tc>
          <w:tcPr>
            <w:tcW w:w="2074" w:type="dxa"/>
          </w:tcPr>
          <w:p w14:paraId="4AACDDBE" w14:textId="14397E28" w:rsidR="00EE3DDB" w:rsidRPr="009B7800" w:rsidRDefault="00EE3DDB">
            <w:pPr>
              <w:rPr>
                <w:b/>
                <w:bCs/>
                <w:sz w:val="18"/>
                <w:szCs w:val="18"/>
              </w:rPr>
            </w:pPr>
            <w:r w:rsidRPr="009B7800">
              <w:rPr>
                <w:b/>
                <w:bCs/>
                <w:sz w:val="18"/>
                <w:szCs w:val="18"/>
              </w:rPr>
              <w:t>Traffic Injuries</w:t>
            </w:r>
          </w:p>
        </w:tc>
        <w:tc>
          <w:tcPr>
            <w:tcW w:w="1557" w:type="dxa"/>
          </w:tcPr>
          <w:p w14:paraId="64C39C29" w14:textId="725CCA9E" w:rsidR="00EE3DDB" w:rsidRPr="009B7800" w:rsidRDefault="0005317C">
            <w:pPr>
              <w:rPr>
                <w:b/>
                <w:bCs/>
                <w:sz w:val="18"/>
                <w:szCs w:val="18"/>
              </w:rPr>
            </w:pPr>
            <w:r w:rsidRPr="009B7800">
              <w:rPr>
                <w:b/>
                <w:bCs/>
                <w:sz w:val="18"/>
                <w:szCs w:val="18"/>
              </w:rPr>
              <w:t>PM2.5 concentrations</w:t>
            </w:r>
          </w:p>
        </w:tc>
        <w:tc>
          <w:tcPr>
            <w:tcW w:w="1897" w:type="dxa"/>
          </w:tcPr>
          <w:p w14:paraId="3F4ABE71" w14:textId="692D77AA" w:rsidR="00EE3DDB" w:rsidRPr="009B7800" w:rsidRDefault="0005317C">
            <w:pPr>
              <w:rPr>
                <w:b/>
                <w:bCs/>
                <w:sz w:val="18"/>
                <w:szCs w:val="18"/>
              </w:rPr>
            </w:pPr>
            <w:r w:rsidRPr="009B7800">
              <w:rPr>
                <w:b/>
                <w:bCs/>
                <w:sz w:val="18"/>
                <w:szCs w:val="18"/>
              </w:rPr>
              <w:t xml:space="preserve">Transport contribution </w:t>
            </w:r>
            <w:r w:rsidR="00A203E7">
              <w:rPr>
                <w:b/>
                <w:bCs/>
                <w:sz w:val="18"/>
                <w:szCs w:val="18"/>
              </w:rPr>
              <w:t>to</w:t>
            </w:r>
            <w:r w:rsidRPr="009B7800">
              <w:rPr>
                <w:b/>
                <w:bCs/>
                <w:sz w:val="18"/>
                <w:szCs w:val="18"/>
              </w:rPr>
              <w:t xml:space="preserve"> PM2.5 </w:t>
            </w:r>
          </w:p>
        </w:tc>
        <w:tc>
          <w:tcPr>
            <w:tcW w:w="2500" w:type="dxa"/>
          </w:tcPr>
          <w:p w14:paraId="3178BDF5" w14:textId="1B35034E" w:rsidR="00EE3DDB" w:rsidRPr="009B7800" w:rsidRDefault="0005317C">
            <w:pPr>
              <w:rPr>
                <w:b/>
                <w:bCs/>
                <w:sz w:val="18"/>
                <w:szCs w:val="18"/>
              </w:rPr>
            </w:pPr>
            <w:r w:rsidRPr="009B7800">
              <w:rPr>
                <w:b/>
                <w:bCs/>
                <w:sz w:val="18"/>
                <w:szCs w:val="18"/>
              </w:rPr>
              <w:t>Transport emissions inventory</w:t>
            </w:r>
          </w:p>
        </w:tc>
      </w:tr>
      <w:tr w:rsidR="00EE3DDB" w:rsidRPr="009B7800" w14:paraId="4A604A41" w14:textId="77777777" w:rsidTr="007941BE">
        <w:tc>
          <w:tcPr>
            <w:tcW w:w="988" w:type="dxa"/>
          </w:tcPr>
          <w:p w14:paraId="545FD699" w14:textId="4344620F" w:rsidR="00EE3DDB" w:rsidRPr="009B7800" w:rsidRDefault="00EE3DDB">
            <w:pPr>
              <w:rPr>
                <w:sz w:val="18"/>
                <w:szCs w:val="18"/>
              </w:rPr>
            </w:pPr>
            <w:r w:rsidRPr="009B7800">
              <w:rPr>
                <w:sz w:val="18"/>
                <w:szCs w:val="18"/>
              </w:rPr>
              <w:t>Santiago</w:t>
            </w:r>
          </w:p>
        </w:tc>
        <w:tc>
          <w:tcPr>
            <w:tcW w:w="2074" w:type="dxa"/>
          </w:tcPr>
          <w:p w14:paraId="4B06B983" w14:textId="77777777" w:rsidR="00EE3DDB" w:rsidRDefault="00BF6A4F">
            <w:pPr>
              <w:rPr>
                <w:sz w:val="18"/>
                <w:szCs w:val="18"/>
              </w:rPr>
            </w:pPr>
            <w:r w:rsidRPr="009B7800">
              <w:rPr>
                <w:sz w:val="18"/>
                <w:szCs w:val="18"/>
              </w:rPr>
              <w:t>Matrix available for the ‘region’. We do not even have total road deaths counts of the ‘city’.</w:t>
            </w:r>
            <w:r w:rsidR="0005317C" w:rsidRPr="009B7800">
              <w:rPr>
                <w:sz w:val="18"/>
                <w:szCs w:val="18"/>
              </w:rPr>
              <w:t xml:space="preserve"> Have searched literature but there is nothing. Provided by Luis and Kavi. Need to ask which year is the data.</w:t>
            </w:r>
          </w:p>
          <w:p w14:paraId="7BB8983A" w14:textId="44E9C51B" w:rsidR="00356A45" w:rsidRPr="009B7800" w:rsidRDefault="00356A45">
            <w:pPr>
              <w:rPr>
                <w:sz w:val="18"/>
                <w:szCs w:val="18"/>
              </w:rPr>
            </w:pPr>
            <w:r w:rsidRPr="00356A45">
              <w:rPr>
                <w:b/>
                <w:bCs/>
                <w:sz w:val="18"/>
                <w:szCs w:val="18"/>
              </w:rPr>
              <w:t>Update:</w:t>
            </w:r>
            <w:r>
              <w:rPr>
                <w:sz w:val="18"/>
                <w:szCs w:val="18"/>
              </w:rPr>
              <w:t xml:space="preserve"> Matrix of 4-year period sent by Luis. It remains to be confirmed if this refers to the 5million population of Santiago</w:t>
            </w:r>
          </w:p>
        </w:tc>
        <w:tc>
          <w:tcPr>
            <w:tcW w:w="1557" w:type="dxa"/>
          </w:tcPr>
          <w:p w14:paraId="75855DC1" w14:textId="0E3433E3" w:rsidR="00EE3DDB" w:rsidRPr="009B7800" w:rsidRDefault="0005317C">
            <w:pPr>
              <w:rPr>
                <w:sz w:val="18"/>
                <w:szCs w:val="18"/>
              </w:rPr>
            </w:pPr>
            <w:r w:rsidRPr="009B7800">
              <w:rPr>
                <w:sz w:val="18"/>
                <w:szCs w:val="18"/>
              </w:rPr>
              <w:t xml:space="preserve">29 </w:t>
            </w:r>
            <w:r w:rsidR="009B7800">
              <w:rPr>
                <w:rFonts w:cstheme="minorHAnsi"/>
                <w:sz w:val="18"/>
                <w:szCs w:val="18"/>
              </w:rPr>
              <w:t>µ</w:t>
            </w:r>
            <w:r w:rsidRPr="009B7800">
              <w:rPr>
                <w:sz w:val="18"/>
                <w:szCs w:val="18"/>
              </w:rPr>
              <w:t>g/m3 (201</w:t>
            </w:r>
            <w:r w:rsidR="00112A0A" w:rsidRPr="009B7800">
              <w:rPr>
                <w:sz w:val="18"/>
                <w:szCs w:val="18"/>
              </w:rPr>
              <w:t>4</w:t>
            </w:r>
            <w:r w:rsidRPr="009B7800">
              <w:rPr>
                <w:sz w:val="18"/>
                <w:szCs w:val="18"/>
              </w:rPr>
              <w:t>)</w:t>
            </w:r>
          </w:p>
          <w:p w14:paraId="73B4DFD4" w14:textId="22F5B624" w:rsidR="0005317C" w:rsidRPr="009B7800" w:rsidRDefault="0005317C">
            <w:pPr>
              <w:rPr>
                <w:sz w:val="18"/>
                <w:szCs w:val="18"/>
              </w:rPr>
            </w:pPr>
            <w:r w:rsidRPr="009B7800">
              <w:rPr>
                <w:sz w:val="18"/>
                <w:szCs w:val="18"/>
              </w:rPr>
              <w:t xml:space="preserve">Source: </w:t>
            </w:r>
            <w:hyperlink r:id="rId4" w:history="1">
              <w:r w:rsidRPr="009B7800">
                <w:rPr>
                  <w:rStyle w:val="Hyperlink"/>
                  <w:sz w:val="18"/>
                  <w:szCs w:val="18"/>
                </w:rPr>
                <w:t>WHO</w:t>
              </w:r>
            </w:hyperlink>
          </w:p>
        </w:tc>
        <w:tc>
          <w:tcPr>
            <w:tcW w:w="1897" w:type="dxa"/>
          </w:tcPr>
          <w:p w14:paraId="226D7195" w14:textId="77777777" w:rsidR="0005317C" w:rsidRPr="009B7800" w:rsidRDefault="0005317C">
            <w:pPr>
              <w:rPr>
                <w:sz w:val="18"/>
                <w:szCs w:val="18"/>
              </w:rPr>
            </w:pPr>
            <w:r w:rsidRPr="009B7800">
              <w:rPr>
                <w:sz w:val="18"/>
                <w:szCs w:val="18"/>
              </w:rPr>
              <w:t>31% in 2004 down from 45% in 2001</w:t>
            </w:r>
          </w:p>
          <w:p w14:paraId="7CFBC478" w14:textId="76CF13BA" w:rsidR="0005317C" w:rsidRPr="009B7800" w:rsidRDefault="0005317C">
            <w:pPr>
              <w:rPr>
                <w:sz w:val="18"/>
                <w:szCs w:val="18"/>
              </w:rPr>
            </w:pPr>
          </w:p>
        </w:tc>
        <w:tc>
          <w:tcPr>
            <w:tcW w:w="2500" w:type="dxa"/>
          </w:tcPr>
          <w:p w14:paraId="4B1E38D4" w14:textId="77777777" w:rsidR="0005317C" w:rsidRDefault="007941BE">
            <w:pPr>
              <w:rPr>
                <w:sz w:val="18"/>
                <w:szCs w:val="18"/>
              </w:rPr>
            </w:pPr>
            <w:r w:rsidRPr="009B7800">
              <w:rPr>
                <w:sz w:val="18"/>
                <w:szCs w:val="18"/>
              </w:rPr>
              <w:t xml:space="preserve">EDGAR estimates of transport emission shares across the modes do not seem correct. It reports 4% of transport emissions from passenger cars. This is </w:t>
            </w:r>
            <w:proofErr w:type="gramStart"/>
            <w:r w:rsidRPr="009B7800">
              <w:rPr>
                <w:sz w:val="18"/>
                <w:szCs w:val="18"/>
              </w:rPr>
              <w:t>similar to</w:t>
            </w:r>
            <w:proofErr w:type="gramEnd"/>
            <w:r w:rsidRPr="009B7800">
              <w:rPr>
                <w:sz w:val="18"/>
                <w:szCs w:val="18"/>
              </w:rPr>
              <w:t xml:space="preserve"> Brazilian cities where we know </w:t>
            </w:r>
            <w:r w:rsidR="0057797C" w:rsidRPr="009B7800">
              <w:rPr>
                <w:sz w:val="18"/>
                <w:szCs w:val="18"/>
              </w:rPr>
              <w:t>ethanol is</w:t>
            </w:r>
            <w:r w:rsidRPr="009B7800">
              <w:rPr>
                <w:sz w:val="18"/>
                <w:szCs w:val="18"/>
              </w:rPr>
              <w:t xml:space="preserve"> used. But I checked Chile doesn’t have that.</w:t>
            </w:r>
            <w:r w:rsidR="00976717" w:rsidRPr="009B7800">
              <w:rPr>
                <w:sz w:val="18"/>
                <w:szCs w:val="18"/>
              </w:rPr>
              <w:t xml:space="preserve"> I would use a non-ethanol city such as Bogota to estimate.</w:t>
            </w:r>
          </w:p>
          <w:p w14:paraId="2DA733DA" w14:textId="77777777" w:rsidR="003346F3" w:rsidRDefault="003346F3">
            <w:pPr>
              <w:rPr>
                <w:sz w:val="18"/>
                <w:szCs w:val="18"/>
              </w:rPr>
            </w:pPr>
            <w:r>
              <w:rPr>
                <w:sz w:val="18"/>
                <w:szCs w:val="18"/>
              </w:rPr>
              <w:t>Corrected emission shares:</w:t>
            </w:r>
          </w:p>
          <w:p w14:paraId="61AD248E" w14:textId="7F1DFB01" w:rsidR="003346F3" w:rsidRPr="009B7800" w:rsidRDefault="003346F3">
            <w:pPr>
              <w:rPr>
                <w:sz w:val="18"/>
                <w:szCs w:val="18"/>
              </w:rPr>
            </w:pPr>
            <w:r>
              <w:rPr>
                <w:sz w:val="18"/>
                <w:szCs w:val="18"/>
              </w:rPr>
              <w:t>Buses (0.0728), heavy duty vehicles (0.0263), light duty vehicles (0.187), motorcycles (0.00565), passenger cars (0.708)</w:t>
            </w:r>
          </w:p>
        </w:tc>
      </w:tr>
      <w:tr w:rsidR="00EE3DDB" w:rsidRPr="009B7800" w14:paraId="65D00737" w14:textId="77777777" w:rsidTr="007941BE">
        <w:tc>
          <w:tcPr>
            <w:tcW w:w="988" w:type="dxa"/>
          </w:tcPr>
          <w:p w14:paraId="6B0D8451" w14:textId="2A8B88DF" w:rsidR="00EE3DDB" w:rsidRPr="009B7800" w:rsidRDefault="00976717">
            <w:pPr>
              <w:rPr>
                <w:sz w:val="18"/>
                <w:szCs w:val="18"/>
              </w:rPr>
            </w:pPr>
            <w:r w:rsidRPr="009B7800">
              <w:rPr>
                <w:sz w:val="18"/>
                <w:szCs w:val="18"/>
              </w:rPr>
              <w:t>Mexico City</w:t>
            </w:r>
          </w:p>
        </w:tc>
        <w:tc>
          <w:tcPr>
            <w:tcW w:w="2074" w:type="dxa"/>
          </w:tcPr>
          <w:p w14:paraId="0099F610" w14:textId="7FA201C3" w:rsidR="00EE3DDB" w:rsidRPr="009B7800" w:rsidRDefault="00112A0A">
            <w:pPr>
              <w:rPr>
                <w:sz w:val="18"/>
                <w:szCs w:val="18"/>
              </w:rPr>
            </w:pPr>
            <w:r w:rsidRPr="009B7800">
              <w:rPr>
                <w:sz w:val="18"/>
                <w:szCs w:val="18"/>
              </w:rPr>
              <w:t>Total number of deaths is available (Andrea) but the matrix has a large proportion of unspecified road user categories. We need to use prediction model.</w:t>
            </w:r>
          </w:p>
        </w:tc>
        <w:tc>
          <w:tcPr>
            <w:tcW w:w="1557" w:type="dxa"/>
          </w:tcPr>
          <w:p w14:paraId="491EA10C" w14:textId="2A54F9F0" w:rsidR="00112A0A" w:rsidRPr="009B7800" w:rsidRDefault="00112A0A" w:rsidP="00112A0A">
            <w:pPr>
              <w:rPr>
                <w:sz w:val="18"/>
                <w:szCs w:val="18"/>
              </w:rPr>
            </w:pPr>
            <w:r w:rsidRPr="009B7800">
              <w:rPr>
                <w:sz w:val="18"/>
                <w:szCs w:val="18"/>
              </w:rPr>
              <w:t xml:space="preserve">20 </w:t>
            </w:r>
            <w:r w:rsidR="009B7800">
              <w:rPr>
                <w:rFonts w:cstheme="minorHAnsi"/>
                <w:sz w:val="18"/>
                <w:szCs w:val="18"/>
              </w:rPr>
              <w:t>µ</w:t>
            </w:r>
            <w:r w:rsidRPr="009B7800">
              <w:rPr>
                <w:sz w:val="18"/>
                <w:szCs w:val="18"/>
              </w:rPr>
              <w:t>g/m3 (2014)</w:t>
            </w:r>
          </w:p>
          <w:p w14:paraId="2D81872D" w14:textId="37152692" w:rsidR="00EE3DDB" w:rsidRPr="009B7800" w:rsidRDefault="00112A0A" w:rsidP="00112A0A">
            <w:pPr>
              <w:rPr>
                <w:sz w:val="18"/>
                <w:szCs w:val="18"/>
              </w:rPr>
            </w:pPr>
            <w:r w:rsidRPr="009B7800">
              <w:rPr>
                <w:sz w:val="18"/>
                <w:szCs w:val="18"/>
              </w:rPr>
              <w:t xml:space="preserve">Source: </w:t>
            </w:r>
            <w:hyperlink r:id="rId5" w:history="1">
              <w:r w:rsidRPr="009B7800">
                <w:rPr>
                  <w:rStyle w:val="Hyperlink"/>
                  <w:sz w:val="18"/>
                  <w:szCs w:val="18"/>
                </w:rPr>
                <w:t>WHO</w:t>
              </w:r>
            </w:hyperlink>
          </w:p>
        </w:tc>
        <w:tc>
          <w:tcPr>
            <w:tcW w:w="1897" w:type="dxa"/>
          </w:tcPr>
          <w:p w14:paraId="600833B1" w14:textId="77777777" w:rsidR="00EE3DDB" w:rsidRPr="009B7800" w:rsidRDefault="009B7800">
            <w:pPr>
              <w:rPr>
                <w:sz w:val="18"/>
                <w:szCs w:val="18"/>
              </w:rPr>
            </w:pPr>
            <w:r w:rsidRPr="009B7800">
              <w:rPr>
                <w:sz w:val="18"/>
                <w:szCs w:val="18"/>
              </w:rPr>
              <w:t xml:space="preserve">42% in 2006 </w:t>
            </w:r>
          </w:p>
          <w:p w14:paraId="5D2B8823" w14:textId="35B406FD" w:rsidR="009B7800" w:rsidRPr="009B7800" w:rsidRDefault="009B7800">
            <w:pPr>
              <w:rPr>
                <w:sz w:val="18"/>
                <w:szCs w:val="18"/>
              </w:rPr>
            </w:pPr>
            <w:r w:rsidRPr="009B7800">
              <w:rPr>
                <w:sz w:val="18"/>
                <w:szCs w:val="18"/>
              </w:rPr>
              <w:t>Source: WHO source apportionment database</w:t>
            </w:r>
          </w:p>
        </w:tc>
        <w:tc>
          <w:tcPr>
            <w:tcW w:w="2500" w:type="dxa"/>
          </w:tcPr>
          <w:p w14:paraId="7DAA27E2" w14:textId="77777777" w:rsidR="00EE3DDB" w:rsidRDefault="0057797C">
            <w:pPr>
              <w:rPr>
                <w:sz w:val="18"/>
                <w:szCs w:val="18"/>
              </w:rPr>
            </w:pPr>
            <w:r>
              <w:rPr>
                <w:sz w:val="18"/>
                <w:szCs w:val="18"/>
              </w:rPr>
              <w:t>Buses (0.439), heavy duty vehicles (0.257), light duty vehicles (0.176), motorcycles (0.038), passenger cars (0.09)</w:t>
            </w:r>
          </w:p>
          <w:p w14:paraId="1BB1B3B0" w14:textId="77777777" w:rsidR="00373F46" w:rsidRDefault="00373F46">
            <w:pPr>
              <w:rPr>
                <w:sz w:val="18"/>
                <w:szCs w:val="18"/>
              </w:rPr>
            </w:pPr>
            <w:r w:rsidRPr="00373F46">
              <w:rPr>
                <w:sz w:val="18"/>
                <w:szCs w:val="18"/>
                <w:highlight w:val="yellow"/>
              </w:rPr>
              <w:t>Corrected version:</w:t>
            </w:r>
          </w:p>
          <w:p w14:paraId="43D56EC6" w14:textId="4BCD52CC" w:rsidR="00373F46" w:rsidRDefault="00373F46" w:rsidP="00373F46">
            <w:pPr>
              <w:rPr>
                <w:sz w:val="18"/>
                <w:szCs w:val="18"/>
              </w:rPr>
            </w:pPr>
            <w:r>
              <w:rPr>
                <w:sz w:val="18"/>
                <w:szCs w:val="18"/>
              </w:rPr>
              <w:t>Buses (0.0596), heavy duty vehicles (0.0454), light duty vehicles (0.0312), motorcycles (0.00282), passenger cars (0.861)</w:t>
            </w:r>
          </w:p>
          <w:p w14:paraId="6A12944C" w14:textId="16E2F3DA" w:rsidR="00373F46" w:rsidRPr="009B7800" w:rsidRDefault="00373F46">
            <w:pPr>
              <w:rPr>
                <w:sz w:val="18"/>
                <w:szCs w:val="18"/>
              </w:rPr>
            </w:pPr>
          </w:p>
        </w:tc>
      </w:tr>
      <w:tr w:rsidR="000303FC" w:rsidRPr="009B7800" w14:paraId="0EE608C7" w14:textId="77777777" w:rsidTr="007941BE">
        <w:tc>
          <w:tcPr>
            <w:tcW w:w="988" w:type="dxa"/>
          </w:tcPr>
          <w:p w14:paraId="78B1C07D" w14:textId="34A77259" w:rsidR="000303FC" w:rsidRPr="009B7800" w:rsidRDefault="000303FC" w:rsidP="000303FC">
            <w:pPr>
              <w:rPr>
                <w:sz w:val="18"/>
                <w:szCs w:val="18"/>
              </w:rPr>
            </w:pPr>
            <w:r w:rsidRPr="009B7800">
              <w:rPr>
                <w:sz w:val="18"/>
                <w:szCs w:val="18"/>
              </w:rPr>
              <w:t>Buenos Aires</w:t>
            </w:r>
          </w:p>
        </w:tc>
        <w:tc>
          <w:tcPr>
            <w:tcW w:w="2074" w:type="dxa"/>
          </w:tcPr>
          <w:p w14:paraId="563270BF" w14:textId="1B02B951" w:rsidR="000303FC" w:rsidRPr="009B7800" w:rsidRDefault="000303FC" w:rsidP="000303FC">
            <w:pPr>
              <w:rPr>
                <w:sz w:val="18"/>
                <w:szCs w:val="18"/>
              </w:rPr>
            </w:pPr>
            <w:r>
              <w:rPr>
                <w:sz w:val="18"/>
                <w:szCs w:val="18"/>
              </w:rPr>
              <w:t>Same as Santiago, matrix available for region (city is 83% of region’s population), but many unspecified categories. We do not have counts of deaths for the city.</w:t>
            </w:r>
          </w:p>
        </w:tc>
        <w:tc>
          <w:tcPr>
            <w:tcW w:w="1557" w:type="dxa"/>
          </w:tcPr>
          <w:p w14:paraId="1409D877" w14:textId="2832478B" w:rsidR="00D91BC1" w:rsidRPr="009B7800" w:rsidRDefault="00D91BC1" w:rsidP="00D91BC1">
            <w:pPr>
              <w:rPr>
                <w:sz w:val="18"/>
                <w:szCs w:val="18"/>
              </w:rPr>
            </w:pPr>
            <w:r>
              <w:rPr>
                <w:sz w:val="18"/>
                <w:szCs w:val="18"/>
              </w:rPr>
              <w:t>14</w:t>
            </w:r>
            <w:r w:rsidRPr="009B7800">
              <w:rPr>
                <w:sz w:val="18"/>
                <w:szCs w:val="18"/>
              </w:rPr>
              <w:t xml:space="preserve"> </w:t>
            </w:r>
            <w:r>
              <w:rPr>
                <w:rFonts w:cstheme="minorHAnsi"/>
                <w:sz w:val="18"/>
                <w:szCs w:val="18"/>
              </w:rPr>
              <w:t>µ</w:t>
            </w:r>
            <w:r w:rsidRPr="009B7800">
              <w:rPr>
                <w:sz w:val="18"/>
                <w:szCs w:val="18"/>
              </w:rPr>
              <w:t>g/m3 (2014)</w:t>
            </w:r>
          </w:p>
          <w:p w14:paraId="681C3A9B" w14:textId="58C1FCA9" w:rsidR="000303FC" w:rsidRPr="009B7800" w:rsidRDefault="00D91BC1" w:rsidP="00D91BC1">
            <w:pPr>
              <w:rPr>
                <w:sz w:val="18"/>
                <w:szCs w:val="18"/>
              </w:rPr>
            </w:pPr>
            <w:r w:rsidRPr="009B7800">
              <w:rPr>
                <w:sz w:val="18"/>
                <w:szCs w:val="18"/>
              </w:rPr>
              <w:t xml:space="preserve">Source: </w:t>
            </w:r>
            <w:hyperlink r:id="rId6" w:history="1">
              <w:r w:rsidRPr="009B7800">
                <w:rPr>
                  <w:rStyle w:val="Hyperlink"/>
                  <w:sz w:val="18"/>
                  <w:szCs w:val="18"/>
                </w:rPr>
                <w:t>WHO</w:t>
              </w:r>
            </w:hyperlink>
          </w:p>
        </w:tc>
        <w:tc>
          <w:tcPr>
            <w:tcW w:w="1897" w:type="dxa"/>
          </w:tcPr>
          <w:p w14:paraId="1E0149BE" w14:textId="35DD54A7" w:rsidR="000303FC" w:rsidRPr="009B7800" w:rsidRDefault="00E226E5" w:rsidP="000303FC">
            <w:pPr>
              <w:rPr>
                <w:sz w:val="18"/>
                <w:szCs w:val="18"/>
              </w:rPr>
            </w:pPr>
            <w:r>
              <w:rPr>
                <w:sz w:val="18"/>
                <w:szCs w:val="18"/>
              </w:rPr>
              <w:t>No data available for Buenos Aires. We could use Cordoba city’s estimate – 32% in 2010.</w:t>
            </w:r>
            <w:r w:rsidR="00D91BC1" w:rsidRPr="009B7800">
              <w:rPr>
                <w:sz w:val="18"/>
                <w:szCs w:val="18"/>
              </w:rPr>
              <w:t xml:space="preserve"> Source: WHO source apportionment database</w:t>
            </w:r>
            <w:r w:rsidR="000114E6">
              <w:rPr>
                <w:sz w:val="18"/>
                <w:szCs w:val="18"/>
              </w:rPr>
              <w:t>. Lookup Montevideo.</w:t>
            </w:r>
          </w:p>
        </w:tc>
        <w:tc>
          <w:tcPr>
            <w:tcW w:w="2500" w:type="dxa"/>
          </w:tcPr>
          <w:p w14:paraId="3276B40C" w14:textId="0C3CE039" w:rsidR="000303FC" w:rsidRPr="009B7800" w:rsidRDefault="000303FC" w:rsidP="000303FC">
            <w:pPr>
              <w:rPr>
                <w:sz w:val="18"/>
                <w:szCs w:val="18"/>
              </w:rPr>
            </w:pPr>
            <w:r>
              <w:rPr>
                <w:sz w:val="18"/>
                <w:szCs w:val="18"/>
              </w:rPr>
              <w:t>Buses (0.096), heavy duty vehicles (0.126), light duty vehicles (0.163), motorcycles (0.016), passenger cars (0.6)</w:t>
            </w:r>
          </w:p>
        </w:tc>
      </w:tr>
    </w:tbl>
    <w:p w14:paraId="36112BE0" w14:textId="65E94596" w:rsidR="00EE3DDB" w:rsidRDefault="00EE3DDB"/>
    <w:p w14:paraId="7B5FEA50" w14:textId="6F18625C" w:rsidR="00083695" w:rsidRDefault="00976717">
      <w:r>
        <w:t>Injury model: Developing an injury model to predict normalised who-hi</w:t>
      </w:r>
      <w:bookmarkStart w:id="0" w:name="_GoBack"/>
      <w:bookmarkEnd w:id="0"/>
      <w:r>
        <w:t>t-whom</w:t>
      </w:r>
      <w:r w:rsidR="00112A0A">
        <w:t xml:space="preserve"> (WHW)</w:t>
      </w:r>
      <w:r>
        <w:t xml:space="preserve"> matrices</w:t>
      </w:r>
      <w:r w:rsidR="00112A0A">
        <w:t xml:space="preserve"> using travel data. We use Sao Paulo and Belo Horizonte in Brazil and Bogota city to ‘train’ the model. For these cities we have trips data (distance travelled by different on-road modes) and WHW matrices. </w:t>
      </w:r>
    </w:p>
    <w:p w14:paraId="158266A0" w14:textId="2E3B02F5" w:rsidR="00083695" w:rsidRDefault="00083695">
      <w:r>
        <w:t>Transport emission estimates for Mexico City using Bogota</w:t>
      </w:r>
      <w:r w:rsidR="000303FC">
        <w:t xml:space="preserve"> or Buenos Aires</w:t>
      </w:r>
      <w:r>
        <w:t xml:space="preserve">: Using travel surveys of the two </w:t>
      </w:r>
      <w:proofErr w:type="gramStart"/>
      <w:r>
        <w:t xml:space="preserve">cities </w:t>
      </w:r>
      <w:r w:rsidR="000303FC">
        <w:t xml:space="preserve"> (</w:t>
      </w:r>
      <w:proofErr w:type="gramEnd"/>
      <w:r w:rsidR="000303FC">
        <w:t xml:space="preserve">Mexico city and one of the other two) </w:t>
      </w:r>
      <w:r>
        <w:t xml:space="preserve">calculate the distance travelled (in relative terms also works) by ‘road-based’ motorised modes. Then proportionally estimate the mode-specific emissions for </w:t>
      </w:r>
      <w:proofErr w:type="gramStart"/>
      <w:r>
        <w:t>Mexico city</w:t>
      </w:r>
      <w:proofErr w:type="gramEnd"/>
      <w:r>
        <w:t>.</w:t>
      </w:r>
    </w:p>
    <w:p w14:paraId="28ED3C75" w14:textId="56CB5A2F" w:rsidR="00907E58" w:rsidRDefault="001D306E">
      <w:r>
        <w:t xml:space="preserve">Emissions from EDGAR also include LDV and HDV—we </w:t>
      </w:r>
      <w:proofErr w:type="gramStart"/>
      <w:r>
        <w:t>have to</w:t>
      </w:r>
      <w:proofErr w:type="gramEnd"/>
      <w:r>
        <w:t xml:space="preserve"> assume these are goods vehicles, and therefore, will not be included in the travel survey. </w:t>
      </w:r>
      <w:r w:rsidR="00E2725B">
        <w:t xml:space="preserve">This means, we can estimate the emissions for passenger motorised modes, but for goods vehicles we </w:t>
      </w:r>
      <w:proofErr w:type="gramStart"/>
      <w:r w:rsidR="00E2725B">
        <w:t>have to</w:t>
      </w:r>
      <w:proofErr w:type="gramEnd"/>
      <w:r w:rsidR="00E2725B">
        <w:t xml:space="preserve"> estimate using population of the cities.</w:t>
      </w:r>
    </w:p>
    <w:tbl>
      <w:tblPr>
        <w:tblStyle w:val="TableGrid"/>
        <w:tblW w:w="0" w:type="auto"/>
        <w:tblLook w:val="04A0" w:firstRow="1" w:lastRow="0" w:firstColumn="1" w:lastColumn="0" w:noHBand="0" w:noVBand="1"/>
      </w:tblPr>
      <w:tblGrid>
        <w:gridCol w:w="1319"/>
        <w:gridCol w:w="1331"/>
        <w:gridCol w:w="1356"/>
        <w:gridCol w:w="1399"/>
        <w:gridCol w:w="1410"/>
        <w:gridCol w:w="1089"/>
        <w:gridCol w:w="1112"/>
      </w:tblGrid>
      <w:tr w:rsidR="00D5110C" w14:paraId="51478A76" w14:textId="2FC0576D" w:rsidTr="00D5110C">
        <w:tc>
          <w:tcPr>
            <w:tcW w:w="1114" w:type="dxa"/>
          </w:tcPr>
          <w:p w14:paraId="2DA1D48E" w14:textId="77777777" w:rsidR="00D5110C" w:rsidRDefault="00D5110C"/>
        </w:tc>
        <w:tc>
          <w:tcPr>
            <w:tcW w:w="1388" w:type="dxa"/>
          </w:tcPr>
          <w:p w14:paraId="34640B6D" w14:textId="03DD7C2B" w:rsidR="00D5110C" w:rsidRDefault="00D5110C">
            <w:r>
              <w:t>Bogota</w:t>
            </w:r>
          </w:p>
        </w:tc>
        <w:tc>
          <w:tcPr>
            <w:tcW w:w="1388" w:type="dxa"/>
          </w:tcPr>
          <w:p w14:paraId="7D172524" w14:textId="6CBBC83B" w:rsidR="00D5110C" w:rsidRDefault="00D5110C">
            <w:r>
              <w:t>Bogota</w:t>
            </w:r>
          </w:p>
        </w:tc>
        <w:tc>
          <w:tcPr>
            <w:tcW w:w="1448" w:type="dxa"/>
          </w:tcPr>
          <w:p w14:paraId="7BF8E064" w14:textId="6F990979" w:rsidR="00D5110C" w:rsidRDefault="00D5110C">
            <w:r>
              <w:t>Santiago</w:t>
            </w:r>
          </w:p>
        </w:tc>
        <w:tc>
          <w:tcPr>
            <w:tcW w:w="1448" w:type="dxa"/>
          </w:tcPr>
          <w:p w14:paraId="15C56886" w14:textId="189D76EC" w:rsidR="00D5110C" w:rsidRDefault="00D5110C">
            <w:r>
              <w:t>Santiago</w:t>
            </w:r>
          </w:p>
        </w:tc>
        <w:tc>
          <w:tcPr>
            <w:tcW w:w="1115" w:type="dxa"/>
          </w:tcPr>
          <w:p w14:paraId="00E6B888" w14:textId="637F5E0E" w:rsidR="00D5110C" w:rsidRDefault="00D5110C">
            <w:r>
              <w:t>Mexico City</w:t>
            </w:r>
          </w:p>
        </w:tc>
        <w:tc>
          <w:tcPr>
            <w:tcW w:w="1115" w:type="dxa"/>
          </w:tcPr>
          <w:p w14:paraId="2E41FB45" w14:textId="228E0A9F" w:rsidR="00D5110C" w:rsidRDefault="00D5110C">
            <w:r>
              <w:t>Mexico City</w:t>
            </w:r>
          </w:p>
        </w:tc>
      </w:tr>
      <w:tr w:rsidR="00D5110C" w14:paraId="7B8F9069" w14:textId="345152F2" w:rsidTr="00D5110C">
        <w:tc>
          <w:tcPr>
            <w:tcW w:w="1114" w:type="dxa"/>
          </w:tcPr>
          <w:p w14:paraId="4097AA08" w14:textId="77777777" w:rsidR="00D5110C" w:rsidRDefault="00D5110C" w:rsidP="00D5110C"/>
        </w:tc>
        <w:tc>
          <w:tcPr>
            <w:tcW w:w="1388" w:type="dxa"/>
          </w:tcPr>
          <w:p w14:paraId="1562D498" w14:textId="7D57AB9F" w:rsidR="00D5110C" w:rsidRDefault="00D5110C" w:rsidP="00D5110C">
            <w:r>
              <w:t>Mode share</w:t>
            </w:r>
          </w:p>
        </w:tc>
        <w:tc>
          <w:tcPr>
            <w:tcW w:w="1388" w:type="dxa"/>
          </w:tcPr>
          <w:p w14:paraId="719D11FF" w14:textId="77777777" w:rsidR="00D5110C" w:rsidRDefault="00D5110C" w:rsidP="00D5110C">
            <w:r>
              <w:t>Emissions</w:t>
            </w:r>
          </w:p>
          <w:p w14:paraId="0B827CFA" w14:textId="0407513F" w:rsidR="001D306E" w:rsidRDefault="001D306E" w:rsidP="00D5110C">
            <w:r>
              <w:t>EDGAR</w:t>
            </w:r>
          </w:p>
        </w:tc>
        <w:tc>
          <w:tcPr>
            <w:tcW w:w="1448" w:type="dxa"/>
          </w:tcPr>
          <w:p w14:paraId="28012750" w14:textId="762E9318" w:rsidR="00D5110C" w:rsidRDefault="00D5110C" w:rsidP="00D5110C">
            <w:r>
              <w:t>Mode share</w:t>
            </w:r>
          </w:p>
        </w:tc>
        <w:tc>
          <w:tcPr>
            <w:tcW w:w="1448" w:type="dxa"/>
          </w:tcPr>
          <w:p w14:paraId="390CA559" w14:textId="77777777" w:rsidR="00D5110C" w:rsidRDefault="00D5110C" w:rsidP="00D5110C">
            <w:r>
              <w:t>Emissions</w:t>
            </w:r>
          </w:p>
          <w:p w14:paraId="4F4DED25" w14:textId="3F6AC5B3" w:rsidR="001D306E" w:rsidRDefault="001D306E" w:rsidP="00D5110C">
            <w:r>
              <w:t>EDGAR</w:t>
            </w:r>
          </w:p>
        </w:tc>
        <w:tc>
          <w:tcPr>
            <w:tcW w:w="1115" w:type="dxa"/>
          </w:tcPr>
          <w:p w14:paraId="2EE7DAD4" w14:textId="6E433164" w:rsidR="00D5110C" w:rsidRDefault="00D5110C" w:rsidP="00D5110C">
            <w:r>
              <w:t>Mode share</w:t>
            </w:r>
          </w:p>
        </w:tc>
        <w:tc>
          <w:tcPr>
            <w:tcW w:w="1115" w:type="dxa"/>
          </w:tcPr>
          <w:p w14:paraId="71FB66A2" w14:textId="77777777" w:rsidR="00D5110C" w:rsidRDefault="00D5110C" w:rsidP="00D5110C">
            <w:r>
              <w:t>Emissions</w:t>
            </w:r>
          </w:p>
          <w:p w14:paraId="0FC2CF19" w14:textId="54F442E9" w:rsidR="001D306E" w:rsidRDefault="001D306E" w:rsidP="00D5110C">
            <w:r>
              <w:t>EDGAR</w:t>
            </w:r>
          </w:p>
        </w:tc>
      </w:tr>
      <w:tr w:rsidR="00D5110C" w14:paraId="28796287" w14:textId="3F8FA645" w:rsidTr="00D5110C">
        <w:tc>
          <w:tcPr>
            <w:tcW w:w="1114" w:type="dxa"/>
          </w:tcPr>
          <w:p w14:paraId="4DA40288" w14:textId="49DA76F2" w:rsidR="00D5110C" w:rsidRDefault="00D5110C">
            <w:r>
              <w:t>Car</w:t>
            </w:r>
          </w:p>
        </w:tc>
        <w:tc>
          <w:tcPr>
            <w:tcW w:w="1388" w:type="dxa"/>
          </w:tcPr>
          <w:p w14:paraId="2801F4F3" w14:textId="77777777" w:rsidR="00D5110C" w:rsidRDefault="00D5110C"/>
        </w:tc>
        <w:tc>
          <w:tcPr>
            <w:tcW w:w="1388" w:type="dxa"/>
          </w:tcPr>
          <w:p w14:paraId="6E1EC413" w14:textId="77777777" w:rsidR="00D5110C" w:rsidRDefault="00D5110C"/>
        </w:tc>
        <w:tc>
          <w:tcPr>
            <w:tcW w:w="1448" w:type="dxa"/>
          </w:tcPr>
          <w:p w14:paraId="2D54F6C7" w14:textId="0C960B24" w:rsidR="00D5110C" w:rsidRDefault="001D306E">
            <w:r>
              <w:t>43.82</w:t>
            </w:r>
          </w:p>
        </w:tc>
        <w:tc>
          <w:tcPr>
            <w:tcW w:w="1448" w:type="dxa"/>
          </w:tcPr>
          <w:p w14:paraId="2F8BFD19" w14:textId="77777777" w:rsidR="00D5110C" w:rsidRDefault="00D5110C"/>
        </w:tc>
        <w:tc>
          <w:tcPr>
            <w:tcW w:w="1115" w:type="dxa"/>
          </w:tcPr>
          <w:p w14:paraId="04EA7F65" w14:textId="77777777" w:rsidR="00D5110C" w:rsidRDefault="00D5110C"/>
        </w:tc>
        <w:tc>
          <w:tcPr>
            <w:tcW w:w="1115" w:type="dxa"/>
          </w:tcPr>
          <w:p w14:paraId="33260B13" w14:textId="77777777" w:rsidR="00D5110C" w:rsidRDefault="00D5110C"/>
        </w:tc>
      </w:tr>
      <w:tr w:rsidR="00D5110C" w14:paraId="75E5F792" w14:textId="5583B962" w:rsidTr="00D5110C">
        <w:tc>
          <w:tcPr>
            <w:tcW w:w="1114" w:type="dxa"/>
          </w:tcPr>
          <w:p w14:paraId="53C5A298" w14:textId="36FF9D3A" w:rsidR="00D5110C" w:rsidRDefault="00D5110C">
            <w:r>
              <w:t>Motorcycles</w:t>
            </w:r>
          </w:p>
        </w:tc>
        <w:tc>
          <w:tcPr>
            <w:tcW w:w="1388" w:type="dxa"/>
          </w:tcPr>
          <w:p w14:paraId="5FFB7AFB" w14:textId="77777777" w:rsidR="00D5110C" w:rsidRDefault="00D5110C"/>
        </w:tc>
        <w:tc>
          <w:tcPr>
            <w:tcW w:w="1388" w:type="dxa"/>
          </w:tcPr>
          <w:p w14:paraId="4DA9E040" w14:textId="77777777" w:rsidR="00D5110C" w:rsidRDefault="00D5110C"/>
        </w:tc>
        <w:tc>
          <w:tcPr>
            <w:tcW w:w="1448" w:type="dxa"/>
          </w:tcPr>
          <w:p w14:paraId="090CD4C4" w14:textId="762FE8AF" w:rsidR="00D5110C" w:rsidRDefault="001D306E">
            <w:r>
              <w:t>0.05*</w:t>
            </w:r>
          </w:p>
        </w:tc>
        <w:tc>
          <w:tcPr>
            <w:tcW w:w="1448" w:type="dxa"/>
          </w:tcPr>
          <w:p w14:paraId="4C4B0AB1" w14:textId="77777777" w:rsidR="00D5110C" w:rsidRDefault="00D5110C"/>
        </w:tc>
        <w:tc>
          <w:tcPr>
            <w:tcW w:w="1115" w:type="dxa"/>
          </w:tcPr>
          <w:p w14:paraId="396BCA81" w14:textId="77777777" w:rsidR="00D5110C" w:rsidRDefault="00D5110C"/>
        </w:tc>
        <w:tc>
          <w:tcPr>
            <w:tcW w:w="1115" w:type="dxa"/>
          </w:tcPr>
          <w:p w14:paraId="774491E6" w14:textId="77777777" w:rsidR="00D5110C" w:rsidRDefault="00D5110C"/>
        </w:tc>
      </w:tr>
      <w:tr w:rsidR="00D5110C" w14:paraId="19F05F3A" w14:textId="1C9E18FF" w:rsidTr="00D5110C">
        <w:tc>
          <w:tcPr>
            <w:tcW w:w="1114" w:type="dxa"/>
          </w:tcPr>
          <w:p w14:paraId="1257A2FD" w14:textId="539E95A5" w:rsidR="00D5110C" w:rsidRDefault="00D5110C">
            <w:r>
              <w:t>Bus</w:t>
            </w:r>
          </w:p>
        </w:tc>
        <w:tc>
          <w:tcPr>
            <w:tcW w:w="1388" w:type="dxa"/>
          </w:tcPr>
          <w:p w14:paraId="47147CA1" w14:textId="77777777" w:rsidR="00D5110C" w:rsidRDefault="00D5110C"/>
        </w:tc>
        <w:tc>
          <w:tcPr>
            <w:tcW w:w="1388" w:type="dxa"/>
          </w:tcPr>
          <w:p w14:paraId="77FE1995" w14:textId="77777777" w:rsidR="00D5110C" w:rsidRDefault="00D5110C"/>
        </w:tc>
        <w:tc>
          <w:tcPr>
            <w:tcW w:w="1448" w:type="dxa"/>
          </w:tcPr>
          <w:p w14:paraId="6A2854F3" w14:textId="28257873" w:rsidR="00D5110C" w:rsidRDefault="001D306E">
            <w:r>
              <w:t>47.61</w:t>
            </w:r>
          </w:p>
        </w:tc>
        <w:tc>
          <w:tcPr>
            <w:tcW w:w="1448" w:type="dxa"/>
          </w:tcPr>
          <w:p w14:paraId="284FD6CE" w14:textId="77777777" w:rsidR="00D5110C" w:rsidRDefault="00D5110C"/>
        </w:tc>
        <w:tc>
          <w:tcPr>
            <w:tcW w:w="1115" w:type="dxa"/>
          </w:tcPr>
          <w:p w14:paraId="7831AC99" w14:textId="77777777" w:rsidR="00D5110C" w:rsidRDefault="00D5110C"/>
        </w:tc>
        <w:tc>
          <w:tcPr>
            <w:tcW w:w="1115" w:type="dxa"/>
          </w:tcPr>
          <w:p w14:paraId="24B7721A" w14:textId="77777777" w:rsidR="00D5110C" w:rsidRDefault="00D5110C"/>
        </w:tc>
      </w:tr>
      <w:tr w:rsidR="00D5110C" w14:paraId="1C3D3ECC" w14:textId="2CA1277D" w:rsidTr="00D5110C">
        <w:tc>
          <w:tcPr>
            <w:tcW w:w="1114" w:type="dxa"/>
          </w:tcPr>
          <w:p w14:paraId="3581E500" w14:textId="3337148F" w:rsidR="00D5110C" w:rsidRDefault="00D5110C">
            <w:r>
              <w:t>Taxi</w:t>
            </w:r>
          </w:p>
        </w:tc>
        <w:tc>
          <w:tcPr>
            <w:tcW w:w="1388" w:type="dxa"/>
          </w:tcPr>
          <w:p w14:paraId="533AFBED" w14:textId="77777777" w:rsidR="00D5110C" w:rsidRDefault="00D5110C"/>
        </w:tc>
        <w:tc>
          <w:tcPr>
            <w:tcW w:w="1388" w:type="dxa"/>
          </w:tcPr>
          <w:p w14:paraId="18DFA584" w14:textId="77777777" w:rsidR="00D5110C" w:rsidRDefault="00D5110C"/>
        </w:tc>
        <w:tc>
          <w:tcPr>
            <w:tcW w:w="1448" w:type="dxa"/>
          </w:tcPr>
          <w:p w14:paraId="56DD7A70" w14:textId="6705B40B" w:rsidR="00D5110C" w:rsidRDefault="001D306E">
            <w:r>
              <w:t>8.53</w:t>
            </w:r>
          </w:p>
        </w:tc>
        <w:tc>
          <w:tcPr>
            <w:tcW w:w="1448" w:type="dxa"/>
          </w:tcPr>
          <w:p w14:paraId="09AF1174" w14:textId="77777777" w:rsidR="00D5110C" w:rsidRDefault="00D5110C"/>
        </w:tc>
        <w:tc>
          <w:tcPr>
            <w:tcW w:w="1115" w:type="dxa"/>
          </w:tcPr>
          <w:p w14:paraId="3D74AA4C" w14:textId="77777777" w:rsidR="00D5110C" w:rsidRDefault="00D5110C"/>
        </w:tc>
        <w:tc>
          <w:tcPr>
            <w:tcW w:w="1115" w:type="dxa"/>
          </w:tcPr>
          <w:p w14:paraId="3FB5EED1" w14:textId="77777777" w:rsidR="00D5110C" w:rsidRDefault="00D5110C"/>
        </w:tc>
      </w:tr>
      <w:tr w:rsidR="00D5110C" w14:paraId="397B4247" w14:textId="41978D29" w:rsidTr="00D5110C">
        <w:tc>
          <w:tcPr>
            <w:tcW w:w="1114" w:type="dxa"/>
          </w:tcPr>
          <w:p w14:paraId="749EDFAA" w14:textId="743FF986" w:rsidR="00D5110C" w:rsidRDefault="00E2725B">
            <w:r>
              <w:t>LDV</w:t>
            </w:r>
          </w:p>
        </w:tc>
        <w:tc>
          <w:tcPr>
            <w:tcW w:w="1388" w:type="dxa"/>
          </w:tcPr>
          <w:p w14:paraId="0DF76882" w14:textId="77777777" w:rsidR="00D5110C" w:rsidRDefault="00D5110C"/>
        </w:tc>
        <w:tc>
          <w:tcPr>
            <w:tcW w:w="1388" w:type="dxa"/>
          </w:tcPr>
          <w:p w14:paraId="6770FE7E" w14:textId="77777777" w:rsidR="00D5110C" w:rsidRDefault="00D5110C"/>
        </w:tc>
        <w:tc>
          <w:tcPr>
            <w:tcW w:w="1448" w:type="dxa"/>
          </w:tcPr>
          <w:p w14:paraId="74E01B9C" w14:textId="77777777" w:rsidR="00D5110C" w:rsidRDefault="00D5110C"/>
        </w:tc>
        <w:tc>
          <w:tcPr>
            <w:tcW w:w="1448" w:type="dxa"/>
          </w:tcPr>
          <w:p w14:paraId="549028D4" w14:textId="77777777" w:rsidR="00D5110C" w:rsidRDefault="00D5110C"/>
        </w:tc>
        <w:tc>
          <w:tcPr>
            <w:tcW w:w="1115" w:type="dxa"/>
          </w:tcPr>
          <w:p w14:paraId="6E0F3170" w14:textId="77777777" w:rsidR="00D5110C" w:rsidRDefault="00D5110C"/>
        </w:tc>
        <w:tc>
          <w:tcPr>
            <w:tcW w:w="1115" w:type="dxa"/>
          </w:tcPr>
          <w:p w14:paraId="57E883D5" w14:textId="77777777" w:rsidR="00D5110C" w:rsidRDefault="00D5110C"/>
        </w:tc>
      </w:tr>
      <w:tr w:rsidR="00E2725B" w14:paraId="195FE06D" w14:textId="77777777" w:rsidTr="00D5110C">
        <w:tc>
          <w:tcPr>
            <w:tcW w:w="1114" w:type="dxa"/>
          </w:tcPr>
          <w:p w14:paraId="59DAA499" w14:textId="1C9F5AB0" w:rsidR="00E2725B" w:rsidRDefault="00E2725B">
            <w:r>
              <w:t>HDV</w:t>
            </w:r>
          </w:p>
        </w:tc>
        <w:tc>
          <w:tcPr>
            <w:tcW w:w="1388" w:type="dxa"/>
          </w:tcPr>
          <w:p w14:paraId="33E9701A" w14:textId="77777777" w:rsidR="00E2725B" w:rsidRDefault="00E2725B"/>
        </w:tc>
        <w:tc>
          <w:tcPr>
            <w:tcW w:w="1388" w:type="dxa"/>
          </w:tcPr>
          <w:p w14:paraId="1D7E6C37" w14:textId="77777777" w:rsidR="00E2725B" w:rsidRDefault="00E2725B"/>
        </w:tc>
        <w:tc>
          <w:tcPr>
            <w:tcW w:w="1448" w:type="dxa"/>
          </w:tcPr>
          <w:p w14:paraId="160A3A7F" w14:textId="77777777" w:rsidR="00E2725B" w:rsidRDefault="00E2725B"/>
        </w:tc>
        <w:tc>
          <w:tcPr>
            <w:tcW w:w="1448" w:type="dxa"/>
          </w:tcPr>
          <w:p w14:paraId="2172DCAD" w14:textId="77777777" w:rsidR="00E2725B" w:rsidRDefault="00E2725B"/>
        </w:tc>
        <w:tc>
          <w:tcPr>
            <w:tcW w:w="1115" w:type="dxa"/>
          </w:tcPr>
          <w:p w14:paraId="4E8897B6" w14:textId="77777777" w:rsidR="00E2725B" w:rsidRDefault="00E2725B"/>
        </w:tc>
        <w:tc>
          <w:tcPr>
            <w:tcW w:w="1115" w:type="dxa"/>
          </w:tcPr>
          <w:p w14:paraId="69310A2A" w14:textId="77777777" w:rsidR="00E2725B" w:rsidRDefault="00E2725B"/>
        </w:tc>
      </w:tr>
    </w:tbl>
    <w:p w14:paraId="02BE5D77" w14:textId="00079B95" w:rsidR="00907E58" w:rsidRDefault="001D306E">
      <w:r>
        <w:t>*estimated as one-tenth of ‘other’ category</w:t>
      </w:r>
    </w:p>
    <w:p w14:paraId="3780AD1E" w14:textId="3449E8DD" w:rsidR="00976717" w:rsidRPr="00976717" w:rsidRDefault="00976717" w:rsidP="00976717">
      <w:pPr>
        <w:spacing w:after="0"/>
        <w:rPr>
          <w:b/>
          <w:bCs/>
        </w:rPr>
      </w:pPr>
      <w:r w:rsidRPr="00976717">
        <w:rPr>
          <w:b/>
          <w:bCs/>
        </w:rPr>
        <w:t>References</w:t>
      </w:r>
    </w:p>
    <w:tbl>
      <w:tblPr>
        <w:tblW w:w="9026" w:type="dxa"/>
        <w:tblInd w:w="-108" w:type="dxa"/>
        <w:tblLook w:val="04A0" w:firstRow="1" w:lastRow="0" w:firstColumn="1" w:lastColumn="0" w:noHBand="0" w:noVBand="1"/>
      </w:tblPr>
      <w:tblGrid>
        <w:gridCol w:w="9026"/>
      </w:tblGrid>
      <w:tr w:rsidR="0005317C" w:rsidRPr="0005317C" w14:paraId="126B3EAE" w14:textId="77777777" w:rsidTr="0005317C">
        <w:trPr>
          <w:trHeight w:val="336"/>
        </w:trPr>
        <w:tc>
          <w:tcPr>
            <w:tcW w:w="9026" w:type="dxa"/>
            <w:tcBorders>
              <w:top w:val="nil"/>
              <w:left w:val="nil"/>
              <w:bottom w:val="nil"/>
              <w:right w:val="nil"/>
            </w:tcBorders>
            <w:shd w:val="clear" w:color="auto" w:fill="auto"/>
            <w:noWrap/>
            <w:vAlign w:val="center"/>
            <w:hideMark/>
          </w:tcPr>
          <w:p w14:paraId="6895557E" w14:textId="77777777" w:rsidR="0005317C" w:rsidRDefault="0005317C" w:rsidP="0005317C">
            <w:pPr>
              <w:spacing w:after="0" w:line="240" w:lineRule="auto"/>
            </w:pPr>
            <w:r>
              <w:t>Santiago PM2.5 source apportionment—original references mentioned in WHO source apportionment database</w:t>
            </w:r>
          </w:p>
          <w:p w14:paraId="1A4CE148" w14:textId="6B20E8F1" w:rsidR="0005317C" w:rsidRPr="0005317C" w:rsidRDefault="0005317C" w:rsidP="0005317C">
            <w:pPr>
              <w:spacing w:after="0" w:line="240" w:lineRule="auto"/>
              <w:rPr>
                <w:rFonts w:ascii="Calibri" w:eastAsia="Times New Roman" w:hAnsi="Calibri" w:cs="Calibri"/>
                <w:lang w:eastAsia="en-GB"/>
              </w:rPr>
            </w:pPr>
            <w:r w:rsidRPr="0005317C">
              <w:rPr>
                <w:rFonts w:ascii="Calibri" w:eastAsia="Times New Roman" w:hAnsi="Calibri" w:cs="Calibri"/>
                <w:lang w:eastAsia="en-GB"/>
              </w:rPr>
              <w:t xml:space="preserve">Jorquera H. Source apportionment of PM10 and PM2.5 at </w:t>
            </w:r>
            <w:proofErr w:type="spellStart"/>
            <w:r w:rsidRPr="0005317C">
              <w:rPr>
                <w:rFonts w:ascii="Calibri" w:eastAsia="Times New Roman" w:hAnsi="Calibri" w:cs="Calibri"/>
                <w:lang w:eastAsia="en-GB"/>
              </w:rPr>
              <w:t>Tocopilla</w:t>
            </w:r>
            <w:proofErr w:type="spellEnd"/>
            <w:r w:rsidRPr="0005317C">
              <w:rPr>
                <w:rFonts w:ascii="Calibri" w:eastAsia="Times New Roman" w:hAnsi="Calibri" w:cs="Calibri"/>
                <w:lang w:eastAsia="en-GB"/>
              </w:rPr>
              <w:t xml:space="preserve">, Chile (22°05′ S, 70°12′ W). Environ </w:t>
            </w:r>
            <w:proofErr w:type="spellStart"/>
            <w:r w:rsidRPr="0005317C">
              <w:rPr>
                <w:rFonts w:ascii="Calibri" w:eastAsia="Times New Roman" w:hAnsi="Calibri" w:cs="Calibri"/>
                <w:lang w:eastAsia="en-GB"/>
              </w:rPr>
              <w:t>Monit</w:t>
            </w:r>
            <w:proofErr w:type="spellEnd"/>
            <w:r w:rsidRPr="0005317C">
              <w:rPr>
                <w:rFonts w:ascii="Calibri" w:eastAsia="Times New Roman" w:hAnsi="Calibri" w:cs="Calibri"/>
                <w:lang w:eastAsia="en-GB"/>
              </w:rPr>
              <w:t xml:space="preserve"> Assess 2009; 153: 235–51. </w:t>
            </w:r>
          </w:p>
        </w:tc>
      </w:tr>
      <w:tr w:rsidR="0005317C" w:rsidRPr="0005317C" w14:paraId="2207862B" w14:textId="77777777" w:rsidTr="0005317C">
        <w:trPr>
          <w:trHeight w:val="336"/>
        </w:trPr>
        <w:tc>
          <w:tcPr>
            <w:tcW w:w="9026" w:type="dxa"/>
            <w:tcBorders>
              <w:top w:val="nil"/>
              <w:left w:val="nil"/>
              <w:bottom w:val="nil"/>
              <w:right w:val="nil"/>
            </w:tcBorders>
            <w:shd w:val="clear" w:color="auto" w:fill="auto"/>
            <w:noWrap/>
            <w:vAlign w:val="center"/>
            <w:hideMark/>
          </w:tcPr>
          <w:p w14:paraId="3750638A" w14:textId="77777777" w:rsidR="0005317C" w:rsidRPr="0005317C" w:rsidRDefault="0005317C" w:rsidP="0005317C">
            <w:pPr>
              <w:spacing w:after="0" w:line="240" w:lineRule="auto"/>
              <w:rPr>
                <w:rFonts w:ascii="Calibri" w:eastAsia="Times New Roman" w:hAnsi="Calibri" w:cs="Calibri"/>
                <w:lang w:eastAsia="en-GB"/>
              </w:rPr>
            </w:pPr>
            <w:r w:rsidRPr="0005317C">
              <w:rPr>
                <w:rFonts w:ascii="Calibri" w:eastAsia="Times New Roman" w:hAnsi="Calibri" w:cs="Calibri"/>
                <w:lang w:eastAsia="en-GB"/>
              </w:rPr>
              <w:t xml:space="preserve"> Jorquera H, </w:t>
            </w:r>
            <w:proofErr w:type="spellStart"/>
            <w:r w:rsidRPr="0005317C">
              <w:rPr>
                <w:rFonts w:ascii="Calibri" w:eastAsia="Times New Roman" w:hAnsi="Calibri" w:cs="Calibri"/>
                <w:lang w:eastAsia="en-GB"/>
              </w:rPr>
              <w:t>Rappenglück</w:t>
            </w:r>
            <w:proofErr w:type="spellEnd"/>
            <w:r w:rsidRPr="0005317C">
              <w:rPr>
                <w:rFonts w:ascii="Calibri" w:eastAsia="Times New Roman" w:hAnsi="Calibri" w:cs="Calibri"/>
                <w:lang w:eastAsia="en-GB"/>
              </w:rPr>
              <w:t xml:space="preserve"> B. Receptor </w:t>
            </w:r>
            <w:proofErr w:type="spellStart"/>
            <w:r w:rsidRPr="0005317C">
              <w:rPr>
                <w:rFonts w:ascii="Calibri" w:eastAsia="Times New Roman" w:hAnsi="Calibri" w:cs="Calibri"/>
                <w:lang w:eastAsia="en-GB"/>
              </w:rPr>
              <w:t>modeling</w:t>
            </w:r>
            <w:proofErr w:type="spellEnd"/>
            <w:r w:rsidRPr="0005317C">
              <w:rPr>
                <w:rFonts w:ascii="Calibri" w:eastAsia="Times New Roman" w:hAnsi="Calibri" w:cs="Calibri"/>
                <w:lang w:eastAsia="en-GB"/>
              </w:rPr>
              <w:t xml:space="preserve"> of ambient VOC at Santiago, Chile. Atmos Environ 2004; 38: 4243–63. </w:t>
            </w:r>
          </w:p>
        </w:tc>
      </w:tr>
      <w:tr w:rsidR="0005317C" w:rsidRPr="0005317C" w14:paraId="09A3C8E3" w14:textId="77777777" w:rsidTr="0005317C">
        <w:trPr>
          <w:trHeight w:val="336"/>
        </w:trPr>
        <w:tc>
          <w:tcPr>
            <w:tcW w:w="9026" w:type="dxa"/>
            <w:tcBorders>
              <w:top w:val="nil"/>
              <w:left w:val="nil"/>
              <w:bottom w:val="nil"/>
              <w:right w:val="nil"/>
            </w:tcBorders>
            <w:shd w:val="clear" w:color="auto" w:fill="auto"/>
            <w:noWrap/>
            <w:vAlign w:val="center"/>
            <w:hideMark/>
          </w:tcPr>
          <w:p w14:paraId="15B2DBB7" w14:textId="77777777" w:rsidR="0005317C" w:rsidRPr="0005317C" w:rsidRDefault="0005317C" w:rsidP="0005317C">
            <w:pPr>
              <w:spacing w:after="0" w:line="240" w:lineRule="auto"/>
              <w:rPr>
                <w:rFonts w:ascii="Calibri" w:eastAsia="Times New Roman" w:hAnsi="Calibri" w:cs="Calibri"/>
                <w:lang w:eastAsia="en-GB"/>
              </w:rPr>
            </w:pPr>
            <w:r w:rsidRPr="0005317C">
              <w:rPr>
                <w:rFonts w:ascii="Calibri" w:eastAsia="Times New Roman" w:hAnsi="Calibri" w:cs="Calibri"/>
                <w:lang w:eastAsia="en-GB"/>
              </w:rPr>
              <w:t xml:space="preserve"> Jorquera H, Barraza F. Source apportionment of ambient PM2.5 in Santiago, Chile: 1999 and 2004 results. Sci Total Environ 2012; 435-436: 418–29. </w:t>
            </w:r>
          </w:p>
        </w:tc>
      </w:tr>
    </w:tbl>
    <w:p w14:paraId="6C02264C" w14:textId="77777777" w:rsidR="0005317C" w:rsidRDefault="0005317C"/>
    <w:sectPr w:rsidR="000531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3DDB"/>
    <w:rsid w:val="000114E6"/>
    <w:rsid w:val="000303FC"/>
    <w:rsid w:val="0005317C"/>
    <w:rsid w:val="00083695"/>
    <w:rsid w:val="00084E0A"/>
    <w:rsid w:val="00112A0A"/>
    <w:rsid w:val="001D306E"/>
    <w:rsid w:val="003346F3"/>
    <w:rsid w:val="00356A45"/>
    <w:rsid w:val="00373F46"/>
    <w:rsid w:val="00486E55"/>
    <w:rsid w:val="0057797C"/>
    <w:rsid w:val="005F1569"/>
    <w:rsid w:val="00720551"/>
    <w:rsid w:val="007941BE"/>
    <w:rsid w:val="008C0B5A"/>
    <w:rsid w:val="00907E58"/>
    <w:rsid w:val="009529D0"/>
    <w:rsid w:val="00976717"/>
    <w:rsid w:val="009B7800"/>
    <w:rsid w:val="00A203E7"/>
    <w:rsid w:val="00A23513"/>
    <w:rsid w:val="00A43840"/>
    <w:rsid w:val="00BF6A4F"/>
    <w:rsid w:val="00CF2248"/>
    <w:rsid w:val="00D5110C"/>
    <w:rsid w:val="00D91BC1"/>
    <w:rsid w:val="00E226E5"/>
    <w:rsid w:val="00E2725B"/>
    <w:rsid w:val="00EE3DD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855EC7"/>
  <w15:chartTrackingRefBased/>
  <w15:docId w15:val="{5BC45E19-F030-4917-8BC3-68D06890DE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E3D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5317C"/>
    <w:rPr>
      <w:color w:val="0000FF"/>
      <w:u w:val="single"/>
    </w:rPr>
  </w:style>
  <w:style w:type="character" w:styleId="UnresolvedMention">
    <w:name w:val="Unresolved Mention"/>
    <w:basedOn w:val="DefaultParagraphFont"/>
    <w:uiPriority w:val="99"/>
    <w:semiHidden/>
    <w:unhideWhenUsed/>
    <w:rsid w:val="0005317C"/>
    <w:rPr>
      <w:color w:val="605E5C"/>
      <w:shd w:val="clear" w:color="auto" w:fill="E1DFDD"/>
    </w:rPr>
  </w:style>
  <w:style w:type="paragraph" w:styleId="BalloonText">
    <w:name w:val="Balloon Text"/>
    <w:basedOn w:val="Normal"/>
    <w:link w:val="BalloonTextChar"/>
    <w:uiPriority w:val="99"/>
    <w:semiHidden/>
    <w:unhideWhenUsed/>
    <w:rsid w:val="00D91BC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91BC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5733653">
      <w:bodyDiv w:val="1"/>
      <w:marLeft w:val="0"/>
      <w:marRight w:val="0"/>
      <w:marTop w:val="0"/>
      <w:marBottom w:val="0"/>
      <w:divBdr>
        <w:top w:val="none" w:sz="0" w:space="0" w:color="auto"/>
        <w:left w:val="none" w:sz="0" w:space="0" w:color="auto"/>
        <w:bottom w:val="none" w:sz="0" w:space="0" w:color="auto"/>
        <w:right w:val="none" w:sz="0" w:space="0" w:color="auto"/>
      </w:divBdr>
    </w:div>
    <w:div w:id="1639141129">
      <w:bodyDiv w:val="1"/>
      <w:marLeft w:val="0"/>
      <w:marRight w:val="0"/>
      <w:marTop w:val="0"/>
      <w:marBottom w:val="0"/>
      <w:divBdr>
        <w:top w:val="none" w:sz="0" w:space="0" w:color="auto"/>
        <w:left w:val="none" w:sz="0" w:space="0" w:color="auto"/>
        <w:bottom w:val="none" w:sz="0" w:space="0" w:color="auto"/>
        <w:right w:val="none" w:sz="0" w:space="0" w:color="auto"/>
      </w:divBdr>
    </w:div>
    <w:div w:id="1994215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apps.who.int/gho/data/view.main.AMBIENTCITY2016?lang=en" TargetMode="External"/><Relationship Id="rId5" Type="http://schemas.openxmlformats.org/officeDocument/2006/relationships/hyperlink" Target="http://apps.who.int/gho/data/view.main.AMBIENTCITY2016?lang=en" TargetMode="External"/><Relationship Id="rId4" Type="http://schemas.openxmlformats.org/officeDocument/2006/relationships/hyperlink" Target="http://apps.who.int/gho/data/view.main.AMBIENTCITY2016?lang=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596</Words>
  <Characters>3400</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Goel</dc:creator>
  <cp:keywords/>
  <dc:description/>
  <cp:lastModifiedBy>Rahul Goel</cp:lastModifiedBy>
  <cp:revision>2</cp:revision>
  <dcterms:created xsi:type="dcterms:W3CDTF">2019-10-04T09:23:00Z</dcterms:created>
  <dcterms:modified xsi:type="dcterms:W3CDTF">2019-10-04T09:23:00Z</dcterms:modified>
</cp:coreProperties>
</file>