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20"/>
      </w:pPr>
    </w:p>
    <w:p>
      <w:pPr>
        <w:spacing w:after="440"/>
        <w:jc w:val="center"/>
      </w:pPr>
      <w:r>
        <w:rPr>
          <w:rFonts w:ascii="Calibri" w:hAnsi="Calibri" w:eastAsia="Calibri"/>
          <w:b/>
          <w:color w:val="D97745"/>
          <w:sz w:val="18"/>
        </w:rPr>
        <w:t>SYSTEMATIC MULTI-ASSET FUNDS | OUT-OF-SAMPLE EVIDENCE</w:t>
      </w:r>
    </w:p>
    <w:p>
      <w:pPr>
        <w:spacing w:after="160"/>
        <w:jc w:val="center"/>
      </w:pPr>
      <w:r>
        <w:rPr>
          <w:rFonts w:ascii="Calibri" w:hAnsi="Calibri" w:eastAsia="Calibri"/>
          <w:b/>
          <w:color w:val="17324D"/>
          <w:sz w:val="60"/>
        </w:rPr>
        <w:t>Cross-Asset</w:t>
        <w:br/>
        <w:t>Allocation Lens</w:t>
      </w:r>
    </w:p>
    <w:p>
      <w:pPr>
        <w:spacing w:after="800"/>
        <w:jc w:val="center"/>
      </w:pPr>
      <w:r>
        <w:rPr>
          <w:rFonts w:ascii="Calibri" w:hAnsi="Calibri" w:eastAsia="Calibri"/>
          <w:color w:val="2F6B9A"/>
          <w:sz w:val="30"/>
        </w:rPr>
        <w:t>FINS5545 Project B — Final Report</w:t>
      </w:r>
    </w:p>
    <w:p>
      <w:pPr>
        <w:spacing w:after="80"/>
        <w:jc w:val="center"/>
      </w:pPr>
      <w:r>
        <w:rPr>
          <w:rFonts w:ascii="Calibri" w:hAnsi="Calibri" w:eastAsia="Calibri"/>
          <w:b/>
          <w:color w:val="1F2933"/>
          <w:sz w:val="25"/>
        </w:rPr>
        <w:t>CHUHAO PENG</w:t>
      </w:r>
    </w:p>
    <w:p>
      <w:pPr>
        <w:spacing w:after="1000"/>
        <w:jc w:val="center"/>
      </w:pPr>
      <w:r>
        <w:rPr>
          <w:rFonts w:ascii="Calibri" w:hAnsi="Calibri" w:eastAsia="Calibri"/>
          <w:color w:val="66788A"/>
          <w:sz w:val="23"/>
        </w:rPr>
        <w:t>z5711503</w:t>
      </w:r>
    </w:p>
    <w:p>
      <w:pPr>
        <w:spacing w:after="80"/>
        <w:jc w:val="center"/>
      </w:pPr>
      <w:r>
        <w:rPr>
          <w:rFonts w:ascii="Calibri" w:hAnsi="Calibri" w:eastAsia="Calibri"/>
          <w:b/>
          <w:color w:val="1F2933"/>
          <w:sz w:val="20"/>
        </w:rPr>
        <w:t>Submission date: Pending confirmation</w:t>
      </w:r>
    </w:p>
    <w:p>
      <w:pPr>
        <w:spacing w:after="0"/>
        <w:jc w:val="center"/>
      </w:pPr>
      <w:r>
        <w:rPr>
          <w:rFonts w:ascii="Calibri" w:hAnsi="Calibri" w:eastAsia="Calibri"/>
          <w:i/>
          <w:color w:val="66788A"/>
          <w:sz w:val="18"/>
        </w:rPr>
        <w:t>Historical out-of-sample evidence | Educational prototype</w:t>
      </w:r>
    </w:p>
    <w:p>
      <w:pPr>
        <w:sectPr>
          <w:footerReference w:type="default" r:id="rId9"/>
          <w:pgSz w:w="11906" w:h="16838"/>
          <w:pgMar w:top="850" w:right="907" w:bottom="850" w:left="907" w:header="454" w:footer="454" w:gutter="0"/>
          <w:cols w:space="720"/>
          <w:docGrid w:linePitch="360"/>
        </w:sectPr>
      </w:pPr>
    </w:p>
    <w:p>
      <w:pPr>
        <w:pStyle w:val="Heading2"/>
      </w:pPr>
      <w:r>
        <w:rPr>
          <w:rFonts w:ascii="Calibri" w:hAnsi="Calibri" w:eastAsia="Calibri"/>
          <w:color w:val="2F6B9A"/>
          <w:sz w:val="24"/>
        </w:rPr>
        <w:t>Executive summary</w:t>
      </w:r>
    </w:p>
    <w:p>
      <w:r>
        <w:rPr>
          <w:rFonts w:ascii="Calibri" w:hAnsi="Calibri" w:eastAsia="Calibri"/>
          <w:color w:val="1F2933"/>
          <w:sz w:val="19"/>
        </w:rPr>
        <w:t>Cross-Asset Allocation Lens is an educational prototype for comparing systematic Equity, Crypto, and Combined funds, examining a coverage-aware news-sentiment signal, and testing user-specified allocations over a common out-of-sample (OOS) period. The project produces 13 funds: Equal Weight, Minimum Variance, Risk Parity, and Maximum Sharpe in each of the three universes, plus a fixed sentiment-augmented Equity Risk Parity fund.</w:t>
      </w:r>
    </w:p>
    <w:p>
      <w:r>
        <w:rPr>
          <w:rFonts w:ascii="Calibri" w:hAnsi="Calibri" w:eastAsia="Calibri"/>
          <w:color w:val="1F2933"/>
          <w:sz w:val="19"/>
        </w:rPr>
        <w:t>The main result is not a single "best fund." The 2021-2023 OOS evidence shows a clear return-risk trade-off across universes and methods. Crypto funds delivered the highest sample returns but also annualised volatility of 72.5%-81.9% and maximum drawdowns of 72.7%-81.6%. Within Equity and Combined, Minimum Variance delivered the lowest volatility and shallowest drawdown, while Equal Weight or Risk Parity delivered stronger sample Sharpe ratios. Maximum Sharpe did not dominate: it had the highest turnover in both Equity and Combined and weaker net performance than their Equal Weight and Risk Parity counterparts.</w:t>
      </w:r>
    </w:p>
    <w:p>
      <w:r>
        <w:rPr>
          <w:rFonts w:ascii="Calibri" w:hAnsi="Calibri" w:eastAsia="Calibri"/>
          <w:color w:val="1F2933"/>
          <w:sz w:val="19"/>
        </w:rPr>
        <w:t>The predeclared sentiment extension also produced a useful negative result. Relative to base Equity Risk Parity over the identical 753-date OOS period, the fixed coverage-aware overlay reduced net cumulative return by 1.19 percentage points, reduced net Sharpe from 0.713 to 0.694, slightly deepened maximum drawdown, and increased turnover by 0.522. The rule was not retuned after observing that outcome. This is descriptive OOS evidence for this dataset and specification, not a test of statistical significance and not proof that sentiment is generally useless.</w:t>
      </w:r>
    </w:p>
    <w:p>
      <w:r>
        <w:rPr>
          <w:rFonts w:ascii="Calibri" w:hAnsi="Calibri" w:eastAsia="Calibri"/>
          <w:color w:val="1F2933"/>
          <w:sz w:val="19"/>
        </w:rPr>
        <w:t>The application turns the committed outputs into a five-stage investor journey: orientation, fund comparison, fact sheets, allocation simulation, and sentiment/fusion evidence. It performs no backtest, optimisation, sentiment scoring, fusion, or network access at runtime. It is not personalised financial advice, does not recommend an allocation, and excludes management fees, taxes, and additional cross-fund transaction costs.</w:t>
      </w:r>
    </w:p>
    <w:p>
      <w:pPr>
        <w:pStyle w:val="Heading1"/>
      </w:pPr>
      <w:r>
        <w:rPr>
          <w:rFonts w:ascii="Calibri" w:hAnsi="Calibri" w:eastAsia="Calibri"/>
          <w:color w:val="2F6B9A"/>
          <w:sz w:val="30"/>
        </w:rPr>
        <w:t>1. Product question and fund menu</w:t>
      </w:r>
    </w:p>
    <w:p>
      <w:r>
        <w:rPr>
          <w:rFonts w:ascii="Calibri" w:hAnsi="Calibri" w:eastAsia="Calibri"/>
          <w:color w:val="1F2933"/>
          <w:sz w:val="19"/>
        </w:rPr>
        <w:t xml:space="preserve">The product question is: </w:t>
      </w:r>
      <w:r>
        <w:rPr>
          <w:rFonts w:ascii="Calibri" w:hAnsi="Calibri" w:eastAsia="Calibri"/>
          <w:b/>
          <w:color w:val="1F2933"/>
          <w:sz w:val="19"/>
        </w:rPr>
        <w:t>how can a self-directed investor or junior portfolio analyst compare transparent systematic funds across distinct asset universes without hiding timing, missing-data, cost, or model-risk limitations?</w:t>
      </w:r>
      <w:r>
        <w:rPr>
          <w:rFonts w:ascii="Calibri" w:hAnsi="Calibri" w:eastAsia="Calibri"/>
          <w:color w:val="1F2933"/>
          <w:sz w:val="19"/>
        </w:rPr>
        <w:t xml:space="preserve"> The design separates the analytical engine from the investor interface. The analytical engine creates audited, precomputed OOS artifacts. The application reads only those committed artifacts and provides explanation and controlled simulation.</w:t>
      </w:r>
    </w:p>
    <w:p>
      <w:r>
        <w:rPr>
          <w:rFonts w:ascii="Calibri" w:hAnsi="Calibri" w:eastAsia="Calibri"/>
          <w:color w:val="1F2933"/>
          <w:sz w:val="19"/>
        </w:rPr>
        <w:t>The fund menu contains three universes:</w:t>
      </w:r>
    </w:p>
    <w:p>
      <w:pPr>
        <w:pStyle w:val="ListBullet"/>
      </w:pPr>
      <w:r>
        <w:rPr>
          <w:rFonts w:ascii="Calibri" w:hAnsi="Calibri" w:eastAsia="Calibri"/>
          <w:b/>
          <w:color w:val="1F2933"/>
          <w:sz w:val="18"/>
        </w:rPr>
        <w:t>Equity:</w:t>
      </w:r>
      <w:r>
        <w:rPr>
          <w:rFonts w:ascii="Calibri" w:hAnsi="Calibri" w:eastAsia="Calibri"/>
          <w:color w:val="1F2933"/>
          <w:sz w:val="18"/>
        </w:rPr>
        <w:t xml:space="preserve"> 50 cleaned equity tickers on observed equity dates.</w:t>
      </w:r>
    </w:p>
    <w:p>
      <w:pPr>
        <w:pStyle w:val="ListBullet"/>
      </w:pPr>
      <w:r>
        <w:rPr>
          <w:rFonts w:ascii="Calibri" w:hAnsi="Calibri" w:eastAsia="Calibri"/>
          <w:b/>
          <w:color w:val="1F2933"/>
          <w:sz w:val="18"/>
        </w:rPr>
        <w:t>Crypto:</w:t>
      </w:r>
      <w:r>
        <w:rPr>
          <w:rFonts w:ascii="Calibri" w:hAnsi="Calibri" w:eastAsia="Calibri"/>
          <w:color w:val="1F2933"/>
          <w:sz w:val="18"/>
        </w:rPr>
        <w:t xml:space="preserve"> 10 cleaned crypto tickers on their native seven-day calendar.</w:t>
      </w:r>
    </w:p>
    <w:p>
      <w:pPr>
        <w:pStyle w:val="ListBullet"/>
      </w:pPr>
      <w:r>
        <w:rPr>
          <w:rFonts w:ascii="Calibri" w:hAnsi="Calibri" w:eastAsia="Calibri"/>
          <w:b/>
          <w:color w:val="1F2933"/>
          <w:sz w:val="18"/>
        </w:rPr>
        <w:t>Combined:</w:t>
      </w:r>
      <w:r>
        <w:rPr>
          <w:rFonts w:ascii="Calibri" w:hAnsi="Calibri" w:eastAsia="Calibri"/>
          <w:color w:val="1F2933"/>
          <w:sz w:val="18"/>
        </w:rPr>
        <w:t xml:space="preserve"> the 50 equities plus crypto returns selected from the already-calculated native crypto return series onto observed equity dates.</w:t>
      </w:r>
    </w:p>
    <w:p>
      <w:r>
        <w:rPr>
          <w:rFonts w:ascii="Calibri" w:hAnsi="Calibri" w:eastAsia="Calibri"/>
          <w:color w:val="1F2933"/>
          <w:sz w:val="19"/>
        </w:rPr>
        <w:t>Each universe has Equal Weight, Minimum Variance, Risk Parity, and Maximum Sharpe funds. The thirteenth fund applies a fixed finance-sentiment overlay to Equity Risk Parity. All funds are long-only, fully invested prototypes with the same dynamic per-asset cap within each eligible universe. "Current holdings" in the application means the latest target weights from the most recent historical rebalance, not live holdings.</w:t>
      </w:r>
    </w:p>
    <w:p>
      <w:pPr>
        <w:pStyle w:val="Heading1"/>
      </w:pPr>
      <w:r>
        <w:rPr>
          <w:rFonts w:ascii="Calibri" w:hAnsi="Calibri" w:eastAsia="Calibri"/>
          <w:color w:val="2F6B9A"/>
          <w:sz w:val="30"/>
        </w:rPr>
        <w:t>2. Data foundation and information boundaries</w:t>
      </w:r>
    </w:p>
    <w:p>
      <w:r>
        <w:rPr>
          <w:rFonts w:ascii="Calibri" w:hAnsi="Calibri" w:eastAsia="Calibri"/>
          <w:color w:val="1F2933"/>
          <w:sz w:val="19"/>
        </w:rPr>
        <w:t>The official data contain adjusted-close prices for 50 equities and 10 crypto assets and supplied news headlines for the equity tickers. The common analytical sample is capped at 2023-12-31. After deterministic cleaning, the portfolio audit records 50,300 equity-price rows, 14,610 crypto-price rows, and 146,836 news rows. Missing returns are retained rather than filled. Exact news duplicates on ticker, normalised date, and title are removed, while the original headline text and timestamp are preserved for sentiment and audit.</w:t>
      </w:r>
    </w:p>
    <w:p>
      <w:r>
        <w:rPr>
          <w:rFonts w:ascii="Calibri" w:hAnsi="Calibri" w:eastAsia="Calibri"/>
          <w:color w:val="1F2933"/>
          <w:sz w:val="19"/>
        </w:rPr>
        <w:t>Simple adjusted-close returns are calculated within ticker without forward filling. Crypto returns are first calculated on the native seven-day calendar. The Combined universe then selects those already-computed returns on equity dates; it does not merge weekend price levels onto an equity calendar before differencing. This prevents a multi-day weekend move from being mislabelled as a one-day equity-calendar return. Equity and Combined use 252-period annualisation; Crypto uses 365.</w:t>
      </w:r>
    </w:p>
    <w:p>
      <w:r>
        <w:rPr>
          <w:rFonts w:ascii="Calibri" w:hAnsi="Calibri" w:eastAsia="Calibri"/>
          <w:color w:val="1F2933"/>
          <w:sz w:val="19"/>
        </w:rPr>
        <w:t xml:space="preserve">News uses </w:t>
      </w:r>
      <w:r>
        <w:rPr>
          <w:rFonts w:ascii="Calibri" w:hAnsi="Calibri" w:eastAsia="Calibri"/>
          <w:b/>
          <w:color w:val="1F2933"/>
          <w:sz w:val="19"/>
        </w:rPr>
        <w:t>Rule A - Conservative Calendar-Date Mapping</w:t>
      </w:r>
      <w:r>
        <w:rPr>
          <w:rFonts w:ascii="Calibri" w:hAnsi="Calibri" w:eastAsia="Calibri"/>
          <w:color w:val="1F2933"/>
          <w:sz w:val="19"/>
        </w:rPr>
        <w:t>. A headline on an observed equity calendar date maps to that date; otherwise it maps to the next observed equity date. The supplied clock time is not treated as verified publication time. The mapped daily signal is then lagged by one additional observed equity day before it may affect a portfolio. Six final-boundary rows remain in the audit but cannot be mapped to a later observed equity date and are excluded from calculations requiring a valid mapped date.</w:t>
      </w:r>
    </w:p>
    <w:p>
      <w:r>
        <w:rPr>
          <w:rFonts w:ascii="Calibri" w:hAnsi="Calibri" w:eastAsia="Calibri"/>
          <w:color w:val="1F2933"/>
          <w:sz w:val="19"/>
        </w:rPr>
        <w:t>These boundaries matter economically. The dataset does not justify intraday or after-close claims, the observed dates are not a complete exchange calendar, and no supplied headline does not prove that no news existed. It means missing coverage in the supplied data.</w:t>
      </w:r>
    </w:p>
    <w:p>
      <w:pPr>
        <w:pStyle w:val="Heading1"/>
      </w:pPr>
      <w:r>
        <w:rPr>
          <w:rFonts w:ascii="Calibri" w:hAnsi="Calibri" w:eastAsia="Calibri"/>
          <w:color w:val="2F6B9A"/>
          <w:sz w:val="30"/>
        </w:rPr>
        <w:t>3. Walk-forward portfolio construction</w:t>
      </w:r>
    </w:p>
    <w:p>
      <w:pPr>
        <w:pStyle w:val="Heading2"/>
      </w:pPr>
      <w:r>
        <w:rPr>
          <w:rFonts w:ascii="Calibri" w:hAnsi="Calibri" w:eastAsia="Calibri"/>
          <w:color w:val="2F6B9A"/>
          <w:sz w:val="24"/>
        </w:rPr>
        <w:t>3.1 OOS schedule</w:t>
      </w:r>
    </w:p>
    <w:p>
      <w:r>
        <w:rPr>
          <w:rFonts w:ascii="Calibri" w:hAnsi="Calibri" w:eastAsia="Calibri"/>
          <w:color w:val="1F2933"/>
          <w:sz w:val="19"/>
        </w:rPr>
        <w:t>Every base fund uses an expanding walk-forward process. Equity and Combined require an initial 252 observations; Crypto requires 365. A decision is made on the last observed panel date of each calendar month, using information through that date only. Its target first becomes effective on the next observed date in the following calendar month. Therefore, no holding-period return can influence the weights applied to itself.</w:t>
      </w:r>
    </w:p>
    <w:p>
      <w:r>
        <w:rPr>
          <w:rFonts w:ascii="Calibri" w:hAnsi="Calibri" w:eastAsia="Calibri"/>
          <w:color w:val="1F2933"/>
          <w:sz w:val="19"/>
        </w:rPr>
        <w:t>At each decision, an asset must have a valid return on the decision date and enough valid historical observations. Estimation uses complete historical rows across the then-eligible assets. Missing returns are never imputed. The portfolio is fully invested and long-only, with maximum weight</w:t>
      </w:r>
    </w:p>
    <w:p>
      <w:r>
        <w:rPr>
          <w:rFonts w:ascii="Aptos Mono" w:hAnsi="Aptos Mono" w:eastAsia="Aptos Mono"/>
          <w:color w:val="17324D"/>
          <w:sz w:val="18"/>
        </w:rPr>
        <w:t>min(35%, 5 / eligible asset count)</w:t>
      </w:r>
      <w:r>
        <w:rPr>
          <w:rFonts w:ascii="Calibri" w:hAnsi="Calibri" w:eastAsia="Calibri"/>
          <w:color w:val="1F2933"/>
          <w:sz w:val="19"/>
        </w:rPr>
        <w:t>.</w:t>
      </w:r>
    </w:p>
    <w:p>
      <w:r>
        <w:rPr>
          <w:rFonts w:ascii="Calibri" w:hAnsi="Calibri" w:eastAsia="Calibri"/>
          <w:color w:val="1F2933"/>
          <w:sz w:val="19"/>
        </w:rPr>
        <w:t>The covariance matrix is the sample covariance with fixed 10% diagonal shrinkage. Maximum Sharpe uses expanding arithmetic means shrunk 50% toward their cross-sectional mean. The risk-free rate is zero. Minimum Variance, Risk Parity, and Maximum Sharpe use SciPy SLSQP with fixed solver tolerances. A solver failure is never silently ignored: the engine reuses the previous feasible target if it remains feasible, otherwise it applies capped Equal Weight, and logs the event. Five fallback events occurred in Crypto Risk Parity; all other reported base funds record zero fallbacks.</w:t>
      </w:r>
    </w:p>
    <w:p>
      <w:pPr>
        <w:pStyle w:val="Heading2"/>
      </w:pPr>
      <w:r>
        <w:rPr>
          <w:rFonts w:ascii="Calibri" w:hAnsi="Calibri" w:eastAsia="Calibri"/>
          <w:color w:val="2F6B9A"/>
          <w:sz w:val="24"/>
        </w:rPr>
        <w:t>3.2 Trading costs and performance measures</w:t>
      </w:r>
    </w:p>
    <w:p>
      <w:r>
        <w:rPr>
          <w:rFonts w:ascii="Calibri" w:hAnsi="Calibri" w:eastAsia="Calibri"/>
          <w:color w:val="1F2933"/>
          <w:sz w:val="19"/>
        </w:rPr>
        <w:t xml:space="preserve">The initial investment has turnover 1.0. Subsequent one-way turnover is half the sum of absolute changes between a new target and the pre-trade drifted portfolio across the union of old and new assets. Trading cost equals 0.001 times turnover, or 10 basis points one way. On effective rebalance dates, net return is </w:t>
      </w:r>
      <w:r>
        <w:rPr>
          <w:rFonts w:ascii="Aptos Mono" w:hAnsi="Aptos Mono" w:eastAsia="Aptos Mono"/>
          <w:color w:val="17324D"/>
          <w:sz w:val="18"/>
        </w:rPr>
        <w:t>(1 - cost) x (1 + gross return) - 1</w:t>
      </w:r>
      <w:r>
        <w:rPr>
          <w:rFonts w:ascii="Calibri" w:hAnsi="Calibri" w:eastAsia="Calibri"/>
          <w:color w:val="1F2933"/>
          <w:sz w:val="19"/>
        </w:rPr>
        <w:t>; otherwise net return equals gross return.</w:t>
      </w:r>
    </w:p>
    <w:p>
      <w:r>
        <w:rPr>
          <w:rFonts w:ascii="Calibri" w:hAnsi="Calibri" w:eastAsia="Calibri"/>
          <w:color w:val="1F2933"/>
          <w:sz w:val="19"/>
        </w:rPr>
        <w:t>The report emphasises net results. Annualised return is the arithmetic daily mean times 252 or 365, annualised volatility is sample standard deviation times the square root of that factor, and Sharpe is annualised excess return divided by annualised volatility. Growth of $1 and drawdown use compounded simple returns. These conventions make the calculations reproducible, but annualised arithmetic return should not be read as a guaranteed compound rate.</w:t>
      </w:r>
    </w:p>
    <w:p>
      <w:r>
        <w:rPr>
          <w:rFonts w:ascii="Calibri" w:hAnsi="Calibri" w:eastAsia="Calibri"/>
          <w:color w:val="1F2933"/>
          <w:sz w:val="19"/>
        </w:rPr>
        <w:t>Figure 1 shows how the 13 funds compare. Two panels use different axes so labels remain legible; values should therefore be compared from the printed scales rather than the visual distance between panels.</w:t>
      </w:r>
    </w:p>
    <w:p>
      <w:pPr>
        <w:keepNext/>
        <w:spacing w:before="40" w:after="0"/>
        <w:jc w:val="center"/>
      </w:pPr>
      <w:r>
        <w:drawing>
          <wp:inline xmlns:a="http://schemas.openxmlformats.org/drawingml/2006/main" xmlns:pic="http://schemas.openxmlformats.org/drawingml/2006/picture">
            <wp:extent cx="6126480" cy="3239076"/>
            <wp:docPr id="1" name="Picture 1" title="report_fund_return_volatility" descr="Figure 1. Net annualised return versus volatility for all 13 OOS funds."/>
            <wp:cNvGraphicFramePr>
              <a:graphicFrameLocks noChangeAspect="1"/>
            </wp:cNvGraphicFramePr>
            <a:graphic>
              <a:graphicData uri="http://schemas.openxmlformats.org/drawingml/2006/picture">
                <pic:pic>
                  <pic:nvPicPr>
                    <pic:cNvPr id="0" name="report_fund_return_volatility.png"/>
                    <pic:cNvPicPr/>
                  </pic:nvPicPr>
                  <pic:blipFill>
                    <a:blip r:embed="rId11"/>
                    <a:stretch>
                      <a:fillRect/>
                    </a:stretch>
                  </pic:blipFill>
                  <pic:spPr>
                    <a:xfrm>
                      <a:off x="0" y="0"/>
                      <a:ext cx="6126480" cy="3239076"/>
                    </a:xfrm>
                    <a:prstGeom prst="rect"/>
                  </pic:spPr>
                </pic:pic>
              </a:graphicData>
            </a:graphic>
          </wp:inline>
        </w:drawing>
      </w:r>
    </w:p>
    <w:p>
      <w:pPr>
        <w:pStyle w:val="Caption"/>
        <w:jc w:val="center"/>
      </w:pPr>
      <w:r>
        <w:rPr>
          <w:rFonts w:ascii="Calibri" w:hAnsi="Calibri" w:eastAsia="Calibri"/>
          <w:color w:val="17324D"/>
          <w:sz w:val="16"/>
        </w:rPr>
        <w:t>Figure 1. Net annualised return versus volatility for all 13 OOS funds.</w:t>
      </w:r>
    </w:p>
    <w:p>
      <w:pPr>
        <w:pStyle w:val="SourceNote"/>
        <w:jc w:val="center"/>
      </w:pPr>
      <w:r>
        <w:rPr>
          <w:rFonts w:ascii="Calibri" w:hAnsi="Calibri" w:eastAsia="Calibri"/>
          <w:color w:val="66788A"/>
          <w:sz w:val="14"/>
        </w:rPr>
        <w:t>Source: committed performance_metrics.csv; fund_catalog.csv. Historical outputs only.</w:t>
      </w:r>
    </w:p>
    <w:p>
      <w:r>
        <w:rPr>
          <w:rFonts w:ascii="Calibri" w:hAnsi="Calibri" w:eastAsia="Calibri"/>
          <w:color w:val="1F2933"/>
          <w:sz w:val="19"/>
        </w:rPr>
        <w:t xml:space="preserve">The complete machine-readable table is </w:t>
      </w:r>
      <w:r>
        <w:rPr>
          <w:rFonts w:ascii="Aptos Mono" w:hAnsi="Aptos Mono" w:eastAsia="Aptos Mono"/>
          <w:color w:val="17324D"/>
          <w:sz w:val="18"/>
        </w:rPr>
        <w:t>report_fund_summary.csv</w:t>
      </w:r>
      <w:r>
        <w:rPr>
          <w:rFonts w:ascii="Calibri" w:hAnsi="Calibri" w:eastAsia="Calibri"/>
          <w:color w:val="1F2933"/>
          <w:sz w:val="19"/>
        </w:rPr>
        <w:t>. Table 1 presents its main net metrics.</w:t>
      </w:r>
    </w:p>
    <w:p>
      <w:r>
        <w:br w:type="page"/>
      </w:r>
    </w:p>
    <w:p>
      <w:pPr>
        <w:pStyle w:val="Caption"/>
        <w:jc w:val="left"/>
      </w:pPr>
      <w:r>
        <w:rPr>
          <w:rFonts w:ascii="Calibri" w:hAnsi="Calibri" w:eastAsia="Calibri"/>
          <w:color w:val="17324D"/>
          <w:sz w:val="17"/>
        </w:rPr>
        <w:t>Table 1. Net OOS performance by fund</w:t>
      </w:r>
    </w:p>
    <w:tbl>
      <w:tblPr>
        <w:tblStyle w:val="TableGrid"/>
        <w:tblW w:type="dxa" w:w="8400"/>
        <w:jc w:val="left"/>
        <w:tblLayout w:type="fixed"/>
        <w:tblLook w:firstColumn="1" w:firstRow="1" w:lastColumn="0" w:lastRow="0" w:noHBand="0" w:noVBand="1" w:val="04A0"/>
        <w:tblInd w:type="dxa" w:w="120"/>
        <w:tblBorders>
          <w:top w:val="single" w:sz="4" w:color="D7E0E8"/>
          <w:left w:val="single" w:sz="4" w:color="D7E0E8"/>
          <w:bottom w:val="single" w:sz="4" w:color="D7E0E8"/>
          <w:right w:val="single" w:sz="4" w:color="D7E0E8"/>
          <w:insideH w:val="single" w:sz="4" w:color="D7E0E8"/>
          <w:insideV w:val="single" w:sz="4" w:color="D7E0E8"/>
        </w:tblBorders>
      </w:tblPr>
      <w:tblGrid>
        <w:gridCol w:w="900"/>
        <w:gridCol w:w="1380"/>
        <w:gridCol w:w="1080"/>
        <w:gridCol w:w="980"/>
        <w:gridCol w:w="1120"/>
        <w:gridCol w:w="760"/>
        <w:gridCol w:w="1080"/>
        <w:gridCol w:w="1100"/>
      </w:tblGrid>
      <w:tr>
        <w:trPr>
          <w:tblHeader w:val="true"/>
        </w:trPr>
        <w:tc>
          <w:tcPr>
            <w:tcW w:type="dxa" w:w="90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Universe</w:t>
            </w:r>
          </w:p>
        </w:tc>
        <w:tc>
          <w:tcPr>
            <w:tcW w:type="dxa" w:w="138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Method</w:t>
            </w:r>
          </w:p>
        </w:tc>
        <w:tc>
          <w:tcPr>
            <w:tcW w:type="dxa" w:w="108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Cumulative return</w:t>
            </w:r>
          </w:p>
        </w:tc>
        <w:tc>
          <w:tcPr>
            <w:tcW w:type="dxa" w:w="98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Ann. return</w:t>
            </w:r>
          </w:p>
        </w:tc>
        <w:tc>
          <w:tcPr>
            <w:tcW w:type="dxa" w:w="112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Ann. volatility</w:t>
            </w:r>
          </w:p>
        </w:tc>
        <w:tc>
          <w:tcPr>
            <w:tcW w:type="dxa" w:w="76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Sharpe</w:t>
            </w:r>
          </w:p>
        </w:tc>
        <w:tc>
          <w:tcPr>
            <w:tcW w:type="dxa" w:w="108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Max drawdown</w:t>
            </w:r>
          </w:p>
        </w:tc>
        <w:tc>
          <w:tcPr>
            <w:tcW w:type="dxa" w:w="110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Total turnover</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Equity</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Equal Weight</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42.44%</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13.14%</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16.12%</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0.815</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-20.26%</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1.953</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Equity</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Minimum Variance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18.45%</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6.47%</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12.70%</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0.510</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-17.23%</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1.991</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Equity</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Risk Parity</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32.97%</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10.65%</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14.93%</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0.713</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-19.40%</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1.902</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Equity</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Maximum Sharpe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19.87%</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7.34%</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15.93%</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0.461</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-25.23%</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4.359</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Crypto</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Equal Weight</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176.52%</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67.77%</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81.89%</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0.828</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-81.59%</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3.082</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Crypto</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Minimum Variance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244.06%</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67.76%</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72.53%</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0.934</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-72.73%</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3.242</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Crypto</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Risk Parity</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164.88%</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65.64%</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81.01%</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0.810</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-81.55%</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3.331</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Crypto</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Maximum Sharpe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165.27%</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59.67%</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73.40%</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0.813</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-79.63%</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2.807</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Combined</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Equal Weight</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52.01%</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16.36%</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21.60%</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0.757</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-27.90%</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2.350</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Combined</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Minimum Variance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16.11%</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5.81%</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12.77%</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0.455</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-17.11%</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1.995</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Combined</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Risk Parity</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42.98%</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13.49%</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17.44%</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0.774</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-22.39%</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2.133</w:t>
            </w:r>
          </w:p>
        </w:tc>
      </w:tr>
      <w:tr>
        <w:tc>
          <w:tcPr>
            <w:tcW w:type="dxa" w:w="900"/>
            <w:tcMar>
              <w:top w:w="80" w:type="dxa"/>
              <w:start w:w="120" w:type="dxa"/>
              <w:bottom w:w="80" w:type="dxa"/>
              <w:end w:w="120" w:type="dxa"/>
            </w:tcMar>
            <w:vAlign w:val="center"/>
          </w:tcPr>
          <w:p>
            <w:pPr>
              <w:spacing w:after="0"/>
              <w:jc w:val="left"/>
            </w:pPr>
            <w:r/>
            <w:r>
              <w:rPr>
                <w:rFonts w:ascii="Calibri" w:hAnsi="Calibri" w:eastAsia="Calibri"/>
                <w:color w:val="1F2933"/>
                <w:sz w:val="14"/>
              </w:rPr>
              <w:t>Combined</w:t>
            </w:r>
          </w:p>
        </w:tc>
        <w:tc>
          <w:tcPr>
            <w:tcW w:type="dxa" w:w="1380"/>
            <w:tcMar>
              <w:top w:w="80" w:type="dxa"/>
              <w:start w:w="120" w:type="dxa"/>
              <w:bottom w:w="80" w:type="dxa"/>
              <w:end w:w="120" w:type="dxa"/>
            </w:tcMar>
            <w:vAlign w:val="center"/>
          </w:tcPr>
          <w:p>
            <w:pPr>
              <w:spacing w:after="0"/>
              <w:jc w:val="left"/>
            </w:pPr>
            <w:r/>
            <w:r>
              <w:rPr>
                <w:rFonts w:ascii="Calibri" w:hAnsi="Calibri" w:eastAsia="Calibri"/>
                <w:color w:val="1F2933"/>
                <w:sz w:val="14"/>
              </w:rPr>
              <w:t>Maximum Sharpe</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19.32%</w:t>
            </w:r>
          </w:p>
        </w:tc>
        <w:tc>
          <w:tcPr>
            <w:tcW w:type="dxa" w:w="980"/>
            <w:tcMar>
              <w:top w:w="80" w:type="dxa"/>
              <w:start w:w="120" w:type="dxa"/>
              <w:bottom w:w="80" w:type="dxa"/>
              <w:end w:w="120" w:type="dxa"/>
            </w:tcMar>
            <w:vAlign w:val="center"/>
          </w:tcPr>
          <w:p>
            <w:pPr>
              <w:spacing w:after="0"/>
              <w:jc w:val="right"/>
            </w:pPr>
            <w:r/>
            <w:r>
              <w:rPr>
                <w:rFonts w:ascii="Calibri" w:hAnsi="Calibri" w:eastAsia="Calibri"/>
                <w:color w:val="1F2933"/>
                <w:sz w:val="14"/>
              </w:rPr>
              <w:t>7.79%</w:t>
            </w:r>
          </w:p>
        </w:tc>
        <w:tc>
          <w:tcPr>
            <w:tcW w:type="dxa" w:w="1120"/>
            <w:tcMar>
              <w:top w:w="80" w:type="dxa"/>
              <w:start w:w="120" w:type="dxa"/>
              <w:bottom w:w="80" w:type="dxa"/>
              <w:end w:w="120" w:type="dxa"/>
            </w:tcMar>
            <w:vAlign w:val="center"/>
          </w:tcPr>
          <w:p>
            <w:pPr>
              <w:spacing w:after="0"/>
              <w:jc w:val="right"/>
            </w:pPr>
            <w:r/>
            <w:r>
              <w:rPr>
                <w:rFonts w:ascii="Calibri" w:hAnsi="Calibri" w:eastAsia="Calibri"/>
                <w:color w:val="1F2933"/>
                <w:sz w:val="14"/>
              </w:rPr>
              <w:t>19.41%</w:t>
            </w:r>
          </w:p>
        </w:tc>
        <w:tc>
          <w:tcPr>
            <w:tcW w:type="dxa" w:w="760"/>
            <w:tcMar>
              <w:top w:w="80" w:type="dxa"/>
              <w:start w:w="120" w:type="dxa"/>
              <w:bottom w:w="80" w:type="dxa"/>
              <w:end w:w="120" w:type="dxa"/>
            </w:tcMar>
            <w:vAlign w:val="center"/>
          </w:tcPr>
          <w:p>
            <w:pPr>
              <w:spacing w:after="0"/>
              <w:jc w:val="right"/>
            </w:pPr>
            <w:r/>
            <w:r>
              <w:rPr>
                <w:rFonts w:ascii="Calibri" w:hAnsi="Calibri" w:eastAsia="Calibri"/>
                <w:color w:val="1F2933"/>
                <w:sz w:val="14"/>
              </w:rPr>
              <w:t>0.402</w:t>
            </w:r>
          </w:p>
        </w:tc>
        <w:tc>
          <w:tcPr>
            <w:tcW w:type="dxa" w:w="1080"/>
            <w:tcMar>
              <w:top w:w="80" w:type="dxa"/>
              <w:start w:w="120" w:type="dxa"/>
              <w:bottom w:w="80" w:type="dxa"/>
              <w:end w:w="120" w:type="dxa"/>
            </w:tcMar>
            <w:vAlign w:val="center"/>
          </w:tcPr>
          <w:p>
            <w:pPr>
              <w:spacing w:after="0"/>
              <w:jc w:val="right"/>
            </w:pPr>
            <w:r/>
            <w:r>
              <w:rPr>
                <w:rFonts w:ascii="Calibri" w:hAnsi="Calibri" w:eastAsia="Calibri"/>
                <w:color w:val="1F2933"/>
                <w:sz w:val="14"/>
              </w:rPr>
              <w:t>-29.67%</w:t>
            </w:r>
          </w:p>
        </w:tc>
        <w:tc>
          <w:tcPr>
            <w:tcW w:type="dxa" w:w="1100"/>
            <w:tcMar>
              <w:top w:w="80" w:type="dxa"/>
              <w:start w:w="120" w:type="dxa"/>
              <w:bottom w:w="80" w:type="dxa"/>
              <w:end w:w="120" w:type="dxa"/>
            </w:tcMar>
            <w:vAlign w:val="center"/>
          </w:tcPr>
          <w:p>
            <w:pPr>
              <w:spacing w:after="0"/>
              <w:jc w:val="right"/>
            </w:pPr>
            <w:r/>
            <w:r>
              <w:rPr>
                <w:rFonts w:ascii="Calibri" w:hAnsi="Calibri" w:eastAsia="Calibri"/>
                <w:color w:val="1F2933"/>
                <w:sz w:val="14"/>
              </w:rPr>
              <w:t>4.582</w:t>
            </w:r>
          </w:p>
        </w:tc>
      </w:tr>
      <w:tr>
        <w:tc>
          <w:tcPr>
            <w:tcW w:type="dxa" w:w="90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Equity</w:t>
            </w:r>
          </w:p>
        </w:tc>
        <w:tc>
          <w:tcPr>
            <w:tcW w:type="dxa" w:w="138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Risk Parity + Sentiment</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31.78%</w:t>
            </w:r>
          </w:p>
        </w:tc>
        <w:tc>
          <w:tcPr>
            <w:tcW w:type="dxa" w:w="9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10.35%</w:t>
            </w:r>
          </w:p>
        </w:tc>
        <w:tc>
          <w:tcPr>
            <w:tcW w:type="dxa" w:w="112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14.91%</w:t>
            </w:r>
          </w:p>
        </w:tc>
        <w:tc>
          <w:tcPr>
            <w:tcW w:type="dxa" w:w="76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0.694</w:t>
            </w:r>
          </w:p>
        </w:tc>
        <w:tc>
          <w:tcPr>
            <w:tcW w:type="dxa" w:w="10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-19.63%</w:t>
            </w:r>
          </w:p>
        </w:tc>
        <w:tc>
          <w:tcPr>
            <w:tcW w:type="dxa" w:w="110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2.424</w:t>
            </w:r>
          </w:p>
        </w:tc>
      </w:tr>
    </w:tbl>
    <w:p>
      <w:pPr>
        <w:pStyle w:val="SourceNote"/>
      </w:pPr>
      <w:r>
        <w:rPr>
          <w:rFonts w:ascii="Calibri" w:hAnsi="Calibri" w:eastAsia="Calibri"/>
          <w:color w:val="66788A"/>
          <w:sz w:val="14"/>
        </w:rPr>
        <w:t xml:space="preserve">Source: committed </w:t>
      </w:r>
      <w:r>
        <w:rPr>
          <w:rFonts w:ascii="Aptos Mono" w:hAnsi="Aptos Mono" w:eastAsia="Aptos Mono"/>
          <w:color w:val="17324D"/>
          <w:sz w:val="14"/>
        </w:rPr>
        <w:t>performance_metrics.csv</w:t>
      </w:r>
      <w:r>
        <w:rPr>
          <w:rFonts w:ascii="Calibri" w:hAnsi="Calibri" w:eastAsia="Calibri"/>
          <w:color w:val="66788A"/>
          <w:sz w:val="14"/>
        </w:rPr>
        <w:t xml:space="preserve"> and </w:t>
      </w:r>
      <w:r>
        <w:rPr>
          <w:rFonts w:ascii="Aptos Mono" w:hAnsi="Aptos Mono" w:eastAsia="Aptos Mono"/>
          <w:color w:val="17324D"/>
          <w:sz w:val="14"/>
        </w:rPr>
        <w:t>fund_catalog.csv</w:t>
      </w:r>
      <w:r>
        <w:rPr>
          <w:rFonts w:ascii="Calibri" w:hAnsi="Calibri" w:eastAsia="Calibri"/>
          <w:color w:val="66788A"/>
          <w:sz w:val="14"/>
        </w:rPr>
        <w:t>. Equity and Combined cover 2021-01-04 to 2023-12-29 (753 observations); Crypto covers 2021-01-01 to 2023-12-31 (1,095 observations). Returns are net of the recorded trading-cost model.</w:t>
      </w:r>
    </w:p>
    <w:p>
      <w:pPr>
        <w:pStyle w:val="Heading1"/>
      </w:pPr>
      <w:r>
        <w:rPr>
          <w:rFonts w:ascii="Calibri" w:hAnsi="Calibri" w:eastAsia="Calibri"/>
          <w:color w:val="2F6B9A"/>
          <w:sz w:val="30"/>
        </w:rPr>
        <w:t>4. OOS fund evidence</w:t>
      </w:r>
    </w:p>
    <w:p>
      <w:r>
        <w:rPr>
          <w:rFonts w:ascii="Calibri" w:hAnsi="Calibri" w:eastAsia="Calibri"/>
          <w:color w:val="1F2933"/>
          <w:sz w:val="19"/>
        </w:rPr>
        <w:t>The Equity results illustrate that an optimiser label is not a performance guarantee. Equal Weight achieved the highest Equity net Sharpe (0.815) and cumulative return (42.44%). Minimum Variance achieved its stated risk objective: the lowest Equity volatility (12.70%) and shallowest maximum drawdown (-17.23%), but with a lower annualised return. Risk Parity occupied a middle position. Maximum Sharpe had the highest Equity turnover (4.359) and a lower realised net Sharpe (0.461) than the other three Equity funds. Expected-return estimates are noisy, so an ex-ante maximum-Sharpe objective need not deliver the highest realised OOS Sharpe.</w:t>
      </w:r>
    </w:p>
    <w:p>
      <w:r>
        <w:rPr>
          <w:rFonts w:ascii="Calibri" w:hAnsi="Calibri" w:eastAsia="Calibri"/>
          <w:color w:val="1F2933"/>
          <w:sz w:val="19"/>
        </w:rPr>
        <w:t>The Combined results follow a similar pattern. Risk Parity produced the highest Combined net Sharpe (0.774), narrowly above Equal Weight (0.757). Minimum Variance again delivered the lowest volatility and shallowest drawdown, while Maximum Sharpe produced the highest turnover and deepest Combined drawdown. Adding crypto to the universe did not create a uniformly superior outcome: risk was lower than in Crypto-only funds but higher than in comparable Equity funds for Equal Weight and Risk Parity.</w:t>
      </w:r>
    </w:p>
    <w:p>
      <w:r>
        <w:rPr>
          <w:rFonts w:ascii="Calibri" w:hAnsi="Calibri" w:eastAsia="Calibri"/>
          <w:color w:val="1F2933"/>
          <w:sz w:val="19"/>
        </w:rPr>
        <w:t>Crypto outcomes require the strongest caution. Minimum Variance had the highest sample Sharpe (0.934) and cumulative return (244.06%), yet still experienced a -72.73% maximum drawdown. The other Crypto funds drew down about 80%. High sample return therefore came with loss paths that many investors could not tolerate. The three-year window is also too short to establish a stable long-run crypto risk premium.</w:t>
      </w:r>
    </w:p>
    <w:p>
      <w:r>
        <w:rPr>
          <w:rFonts w:ascii="Calibri" w:hAnsi="Calibri" w:eastAsia="Calibri"/>
          <w:color w:val="1F2933"/>
          <w:sz w:val="19"/>
        </w:rPr>
        <w:t>To make path dependence visible without choosing a different method for each universe, Figures 2 and 3 hold Risk Parity constant across Equity, Crypto, and Combined and show the sentiment overlay separately.</w:t>
      </w:r>
    </w:p>
    <w:p>
      <w:pPr>
        <w:pStyle w:val="ExhibitNote"/>
      </w:pPr>
      <w:r>
        <w:rPr>
          <w:rFonts w:ascii="Calibri" w:hAnsi="Calibri" w:eastAsia="Calibri"/>
          <w:color w:val="66788A"/>
          <w:sz w:val="16"/>
        </w:rPr>
        <w:t>Figure 2. Growth of $1 for representative Risk Parity funds and the fixed sentiment overlay. Presented in Appendix B.</w:t>
      </w:r>
    </w:p>
    <w:p>
      <w:pPr>
        <w:pStyle w:val="ExhibitNote"/>
      </w:pPr>
      <w:r>
        <w:rPr>
          <w:rFonts w:ascii="Calibri" w:hAnsi="Calibri" w:eastAsia="Calibri"/>
          <w:color w:val="66788A"/>
          <w:sz w:val="16"/>
        </w:rPr>
        <w:t>Figure 3. Net drawdown for representative Risk Parity funds and the fixed sentiment overlay. Presented in Appendix B.</w:t>
      </w:r>
    </w:p>
    <w:p>
      <w:r>
        <w:rPr>
          <w:rFonts w:ascii="Calibri" w:hAnsi="Calibri" w:eastAsia="Calibri"/>
          <w:color w:val="1F2933"/>
          <w:sz w:val="19"/>
        </w:rPr>
        <w:t>Figure 2 shows that the Crypto path peaked early and then gave back a large portion of its gain. Figure 3 makes the corresponding drawdown persistence explicit. By contrast, Equity and Combined Risk Parity stayed within much narrower drawdown ranges. Terminal return alone would conceal this difference.</w:t>
      </w:r>
    </w:p>
    <w:p>
      <w:r>
        <w:rPr>
          <w:rFonts w:ascii="Calibri" w:hAnsi="Calibri" w:eastAsia="Calibri"/>
          <w:color w:val="1F2933"/>
          <w:sz w:val="19"/>
        </w:rPr>
        <w:t xml:space="preserve">Figure 4 shows monthly Equity target histories for the five highest average-weight stocks within each method. Equal Weight lines coincide because all 50 assets receive the same capped benchmark weight. Minimum Variance and Maximum Sharpe frequently meet the 10% cap implied by </w:t>
      </w:r>
      <w:r>
        <w:rPr>
          <w:rFonts w:ascii="Aptos Mono" w:hAnsi="Aptos Mono" w:eastAsia="Aptos Mono"/>
          <w:color w:val="17324D"/>
          <w:sz w:val="18"/>
        </w:rPr>
        <w:t>5 / 50</w:t>
      </w:r>
      <w:r>
        <w:rPr>
          <w:rFonts w:ascii="Calibri" w:hAnsi="Calibri" w:eastAsia="Calibri"/>
          <w:color w:val="1F2933"/>
          <w:sz w:val="19"/>
        </w:rPr>
        <w:t>, while Risk Parity distributes its displayed top weights more evenly. Only five stocks are shown in each panel for legibility; the omitted holdings remain in the fully invested funds.</w:t>
      </w:r>
    </w:p>
    <w:p>
      <w:pPr>
        <w:pStyle w:val="ExhibitNote"/>
      </w:pPr>
      <w:r>
        <w:rPr>
          <w:rFonts w:ascii="Calibri" w:hAnsi="Calibri" w:eastAsia="Calibri"/>
          <w:color w:val="66788A"/>
          <w:sz w:val="16"/>
        </w:rPr>
        <w:t>Figure 4. Equity target weights through time by method. Presented in Appendix B.</w:t>
      </w:r>
    </w:p>
    <w:p>
      <w:r>
        <w:rPr>
          <w:rFonts w:ascii="Calibri" w:hAnsi="Calibri" w:eastAsia="Calibri"/>
          <w:color w:val="1F2933"/>
          <w:sz w:val="19"/>
        </w:rPr>
        <w:t>The figure supports a method interpretation, not a stock recommendation. It also shows why turnover belongs beside returns: concentrated or unstable targets can generate additional implementation cost even when constraints are satisfied.</w:t>
      </w:r>
    </w:p>
    <w:p>
      <w:pPr>
        <w:pStyle w:val="Heading1"/>
      </w:pPr>
      <w:r>
        <w:rPr>
          <w:rFonts w:ascii="Calibri" w:hAnsi="Calibri" w:eastAsia="Calibri"/>
          <w:color w:val="2F6B9A"/>
          <w:sz w:val="30"/>
        </w:rPr>
        <w:t>5. Coverage-aware sector sentiment</w:t>
      </w:r>
    </w:p>
    <w:p>
      <w:r>
        <w:rPr>
          <w:rFonts w:ascii="Calibri" w:hAnsi="Calibri" w:eastAsia="Calibri"/>
          <w:color w:val="1F2933"/>
          <w:sz w:val="19"/>
        </w:rPr>
        <w:t>The baseline model is plain VADER. The main model is an isolated finance-extended VADER using a frozen 29-term approved lexicon. Headline text is scored unchanged so punctuation, negation, contrast, and boosters remain available. The finance extension changed the compound score of 3,860 of 105,330 distinct titles (3.66%) and changed the positive/neutral/negative classification of 1,199 titles at the +/-0.05 threshold. These are sensitivity results, not accuracy results: there is no labelled outcome validation showing that a changed score is a better score.</w:t>
      </w:r>
    </w:p>
    <w:p>
      <w:r>
        <w:rPr>
          <w:rFonts w:ascii="Calibri" w:hAnsi="Calibri" w:eastAsia="Calibri"/>
          <w:color w:val="1F2933"/>
          <w:sz w:val="19"/>
        </w:rPr>
        <w:t>Aggregation preserves coverage. Headline scores are averaged to ticker-day, then observed eligible ticker-days are equal-weighted to sector-day. A ticker-day with no supplied headline is missing. A sector-day with no observed ticker sentiment is also missing. Coverage is the share of eligible sector tickers that have at least one supplied mapped headline.</w:t>
      </w:r>
    </w:p>
    <w:p>
      <w:r>
        <w:rPr>
          <w:rFonts w:ascii="Calibri" w:hAnsi="Calibri" w:eastAsia="Calibri"/>
          <w:color w:val="1F2933"/>
          <w:sz w:val="19"/>
        </w:rPr>
        <w:t>Materials is used as the report example because its gaps make the missingness policy visible. Across 1,006 observed equity dates, 939 Materials sector index values are observed and 67 are missing; mean eligible-ticker coverage is 53.1%. Figure 5 leaves genuine no-news sector dates as line gaps rather than inserting a neutral score of 50.</w:t>
      </w:r>
    </w:p>
    <w:p>
      <w:pPr>
        <w:keepNext/>
        <w:spacing w:before="40" w:after="0"/>
        <w:jc w:val="center"/>
      </w:pPr>
      <w:r>
        <w:drawing>
          <wp:inline xmlns:a="http://schemas.openxmlformats.org/drawingml/2006/main" xmlns:pic="http://schemas.openxmlformats.org/drawingml/2006/picture">
            <wp:extent cx="6126480" cy="3167357"/>
            <wp:docPr id="2" name="Picture 2" title="report_materials_sentiment_index" descr="Figure 5. Materials finance-extended sector sentiment index with missing dates preserved."/>
            <wp:cNvGraphicFramePr>
              <a:graphicFrameLocks noChangeAspect="1"/>
            </wp:cNvGraphicFramePr>
            <a:graphic>
              <a:graphicData uri="http://schemas.openxmlformats.org/drawingml/2006/picture">
                <pic:pic>
                  <pic:nvPicPr>
                    <pic:cNvPr id="0" name="report_materials_sentiment_index.png"/>
                    <pic:cNvPicPr/>
                  </pic:nvPicPr>
                  <pic:blipFill>
                    <a:blip r:embed="rId12"/>
                    <a:stretch>
                      <a:fillRect/>
                    </a:stretch>
                  </pic:blipFill>
                  <pic:spPr>
                    <a:xfrm>
                      <a:off x="0" y="0"/>
                      <a:ext cx="6126480" cy="3167357"/>
                    </a:xfrm>
                    <a:prstGeom prst="rect"/>
                  </pic:spPr>
                </pic:pic>
              </a:graphicData>
            </a:graphic>
          </wp:inline>
        </w:drawing>
      </w:r>
    </w:p>
    <w:p>
      <w:pPr>
        <w:pStyle w:val="Caption"/>
        <w:jc w:val="center"/>
      </w:pPr>
      <w:r>
        <w:rPr>
          <w:rFonts w:ascii="Calibri" w:hAnsi="Calibri" w:eastAsia="Calibri"/>
          <w:color w:val="17324D"/>
          <w:sz w:val="16"/>
        </w:rPr>
        <w:t>Figure 5. Materials finance-extended sector sentiment index with missing dates preserved.</w:t>
      </w:r>
    </w:p>
    <w:p>
      <w:pPr>
        <w:pStyle w:val="SourceNote"/>
        <w:jc w:val="center"/>
      </w:pPr>
      <w:r>
        <w:rPr>
          <w:rFonts w:ascii="Calibri" w:hAnsi="Calibri" w:eastAsia="Calibri"/>
          <w:color w:val="66788A"/>
          <w:sz w:val="14"/>
        </w:rPr>
        <w:t>Source: committed sector_sentiment_index.csv. Historical outputs only.</w:t>
      </w:r>
    </w:p>
    <w:p>
      <w:r>
        <w:rPr>
          <w:rFonts w:ascii="Calibri" w:hAnsi="Calibri" w:eastAsia="Calibri"/>
          <w:color w:val="1F2933"/>
          <w:sz w:val="19"/>
        </w:rPr>
        <w:t>Materials remains the detailed worked example, while Appendix Figure A1 (</w:t>
      </w:r>
      <w:r>
        <w:rPr>
          <w:rFonts w:ascii="Aptos Mono" w:hAnsi="Aptos Mono" w:eastAsia="Aptos Mono"/>
          <w:color w:val="17324D"/>
          <w:sz w:val="18"/>
        </w:rPr>
        <w:t>report_all_sector_sentiment_small_multiples.png</w:t>
      </w:r>
      <w:r>
        <w:rPr>
          <w:rFonts w:ascii="Calibri" w:hAnsi="Calibri" w:eastAsia="Calibri"/>
          <w:color w:val="1F2933"/>
          <w:sz w:val="19"/>
        </w:rPr>
        <w:t>) confirms that the standalone finance-VADER index covers all ten equity sectors with the same gap-preserving treatment; it does not add a predictive claim.</w:t>
      </w:r>
    </w:p>
    <w:p>
      <w:r>
        <w:rPr>
          <w:rFonts w:ascii="Calibri" w:hAnsi="Calibri" w:eastAsia="Calibri"/>
          <w:color w:val="1F2933"/>
          <w:sz w:val="19"/>
        </w:rPr>
        <w:t xml:space="preserve">Figure 6 separates description from a tradable signal. For each sector and model, a causal expanding z-score uses information through the source date, requires at least 252 available historical sector observations, and uses sample standard deviation. That completed signal is shifted by exactly one observed equity day. If later sector observations are wholly missing, the last signal may carry for ages 1-5 while effective coverage decays as </w:t>
      </w:r>
      <w:r>
        <w:rPr>
          <w:rFonts w:ascii="Aptos Mono" w:hAnsi="Aptos Mono" w:eastAsia="Aptos Mono"/>
          <w:color w:val="17324D"/>
          <w:sz w:val="18"/>
        </w:rPr>
        <w:t>source coverage x (6 - age) / 6</w:t>
      </w:r>
      <w:r>
        <w:rPr>
          <w:rFonts w:ascii="Calibri" w:hAnsi="Calibri" w:eastAsia="Calibri"/>
          <w:color w:val="1F2933"/>
          <w:sz w:val="19"/>
        </w:rPr>
        <w:t>; at age 6 it expires. Materials has 724 non-missing tradable observations, including 36 carried observations. Full-sample descriptive z-scores never enter this signal.</w:t>
      </w:r>
    </w:p>
    <w:p>
      <w:pPr>
        <w:pStyle w:val="ExhibitNote"/>
      </w:pPr>
      <w:r>
        <w:rPr>
          <w:rFonts w:ascii="Calibri" w:hAnsi="Calibri" w:eastAsia="Calibri"/>
          <w:color w:val="66788A"/>
          <w:sz w:val="16"/>
        </w:rPr>
        <w:t>Figure 6. Lagged Materials tradable sentiment signal and bounded carry events. Presented in Appendix A.</w:t>
      </w:r>
    </w:p>
    <w:p>
      <w:r>
        <w:rPr>
          <w:rFonts w:ascii="Calibri" w:hAnsi="Calibri" w:eastAsia="Calibri"/>
          <w:color w:val="1F2933"/>
          <w:sz w:val="19"/>
        </w:rPr>
        <w:t>Figure 7 shows why the coverage field cannot be omitted. Coverage is often below 100% and changes materially through time. A similar index level supported by one observed ticker and by an entire sector should not receive the same confidence in a portfolio rule.</w:t>
      </w:r>
    </w:p>
    <w:p>
      <w:pPr>
        <w:pStyle w:val="ExhibitNote"/>
      </w:pPr>
      <w:r>
        <w:rPr>
          <w:rFonts w:ascii="Calibri" w:hAnsi="Calibri" w:eastAsia="Calibri"/>
          <w:color w:val="66788A"/>
          <w:sz w:val="16"/>
        </w:rPr>
        <w:t>Figure 7. Materials eligible-ticker headline coverage. Presented in Appendix A.</w:t>
      </w:r>
    </w:p>
    <w:p>
      <w:pPr>
        <w:pStyle w:val="Heading1"/>
      </w:pPr>
      <w:r>
        <w:rPr>
          <w:rFonts w:ascii="Calibri" w:hAnsi="Calibri" w:eastAsia="Calibri"/>
          <w:color w:val="2F6B9A"/>
          <w:sz w:val="30"/>
        </w:rPr>
        <w:t>6. Fixed sentiment fusion experiment</w:t>
      </w:r>
    </w:p>
    <w:p>
      <w:r>
        <w:rPr>
          <w:rFonts w:ascii="Calibri" w:hAnsi="Calibri" w:eastAsia="Calibri"/>
          <w:color w:val="1F2933"/>
          <w:sz w:val="19"/>
        </w:rPr>
        <w:t>The primary fusion experiment augments Equity Risk Parity with the finance-VADER sector signal only. At each base decision date, the overlay uses the signal whose effective date matches the portfolio target effective date. It clips the causal lagged z-score to [-2, 2] and applies the predeclared multiplier</w:t>
      </w:r>
    </w:p>
    <w:p>
      <w:r>
        <w:rPr>
          <w:rFonts w:ascii="Aptos Mono" w:hAnsi="Aptos Mono" w:eastAsia="Aptos Mono"/>
          <w:color w:val="17324D"/>
          <w:sz w:val="18"/>
        </w:rPr>
        <w:t>clip(1 + 0.10 x effective coverage x clipped z-score, 0.80, 1.20)</w:t>
      </w:r>
      <w:r>
        <w:rPr>
          <w:rFonts w:ascii="Calibri" w:hAnsi="Calibri" w:eastAsia="Calibri"/>
          <w:color w:val="1F2933"/>
          <w:sz w:val="19"/>
        </w:rPr>
        <w:t>.</w:t>
      </w:r>
    </w:p>
    <w:p>
      <w:r>
        <w:rPr>
          <w:rFonts w:ascii="Calibri" w:hAnsi="Calibri" w:eastAsia="Calibri"/>
          <w:color w:val="1F2933"/>
          <w:sz w:val="19"/>
        </w:rPr>
        <w:t xml:space="preserve">A missing signal receives multiplier 1.0. Stock weights are multiplied by their sector multiplier, renormalised, and projected back to the same capped simplex. The augmented fund has its own drifted holdings, turnover, cost, and realised return calculation. It is not a relabelled copy of the base fund. The fixed </w:t>
      </w:r>
      <w:r>
        <w:rPr>
          <w:rFonts w:ascii="Aptos Mono" w:hAnsi="Aptos Mono" w:eastAsia="Aptos Mono"/>
          <w:color w:val="17324D"/>
          <w:sz w:val="18"/>
        </w:rPr>
        <w:t>lambda = 0.10</w:t>
      </w:r>
      <w:r>
        <w:rPr>
          <w:rFonts w:ascii="Calibri" w:hAnsi="Calibri" w:eastAsia="Calibri"/>
          <w:color w:val="1F2933"/>
          <w:sz w:val="19"/>
        </w:rPr>
        <w:t>, z-score clip, multiplier bounds, lag, and carry were not tuned on realised fusion performance.</w:t>
      </w:r>
    </w:p>
    <w:p>
      <w:r>
        <w:br w:type="page"/>
      </w:r>
    </w:p>
    <w:p>
      <w:pPr>
        <w:pStyle w:val="Caption"/>
        <w:jc w:val="left"/>
      </w:pPr>
      <w:r>
        <w:rPr>
          <w:rFonts w:ascii="Calibri" w:hAnsi="Calibri" w:eastAsia="Calibri"/>
          <w:color w:val="17324D"/>
          <w:sz w:val="17"/>
        </w:rPr>
        <w:t>Table 2. Base versus fixed augmented Equity Risk Parity</w:t>
      </w:r>
    </w:p>
    <w:tbl>
      <w:tblPr>
        <w:tblStyle w:val="TableGrid"/>
        <w:tblW w:type="dxa" w:w="8060"/>
        <w:jc w:val="left"/>
        <w:tblLayout w:type="fixed"/>
        <w:tblLook w:firstColumn="1" w:firstRow="1" w:lastColumn="0" w:lastRow="0" w:noHBand="0" w:noVBand="1" w:val="04A0"/>
        <w:tblInd w:type="dxa" w:w="120"/>
        <w:tblBorders>
          <w:top w:val="single" w:sz="4" w:color="D7E0E8"/>
          <w:left w:val="single" w:sz="4" w:color="D7E0E8"/>
          <w:bottom w:val="single" w:sz="4" w:color="D7E0E8"/>
          <w:right w:val="single" w:sz="4" w:color="D7E0E8"/>
          <w:insideH w:val="single" w:sz="4" w:color="D7E0E8"/>
          <w:insideV w:val="single" w:sz="4" w:color="D7E0E8"/>
        </w:tblBorders>
      </w:tblPr>
      <w:tblGrid>
        <w:gridCol w:w="2420"/>
        <w:gridCol w:w="1430"/>
        <w:gridCol w:w="1430"/>
        <w:gridCol w:w="2780"/>
      </w:tblGrid>
      <w:tr>
        <w:trPr>
          <w:tblHeader w:val="true"/>
        </w:trPr>
        <w:tc>
          <w:tcPr>
            <w:tcW w:type="dxa" w:w="242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Net OOS metric</w:t>
            </w:r>
          </w:p>
        </w:tc>
        <w:tc>
          <w:tcPr>
            <w:tcW w:type="dxa" w:w="143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Base</w:t>
            </w:r>
          </w:p>
        </w:tc>
        <w:tc>
          <w:tcPr>
            <w:tcW w:type="dxa" w:w="143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Augmented</w:t>
            </w:r>
          </w:p>
        </w:tc>
        <w:tc>
          <w:tcPr>
            <w:tcW w:type="dxa" w:w="2780"/>
            <w:shd w:fill="17324D"/>
            <w:tcMar>
              <w:top w:w="80" w:type="dxa"/>
              <w:start w:w="120" w:type="dxa"/>
              <w:bottom w:w="80" w:type="dxa"/>
              <w:end w:w="120" w:type="dxa"/>
            </w:tcMar>
            <w:vAlign w:val="center"/>
          </w:tcPr>
          <w:p>
            <w:pPr>
              <w:spacing w:after="0"/>
              <w:jc w:val="center"/>
            </w:pPr>
            <w:r/>
            <w:r>
              <w:rPr>
                <w:rFonts w:ascii="Calibri" w:hAnsi="Calibri" w:eastAsia="Calibri"/>
                <w:b/>
                <w:color w:val="FFFFFF"/>
                <w:sz w:val="14"/>
              </w:rPr>
              <w:t>Augmented minus base</w:t>
            </w:r>
          </w:p>
        </w:tc>
      </w:tr>
      <w:tr>
        <w:tc>
          <w:tcPr>
            <w:tcW w:type="dxa" w:w="242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Cumulative return</w:t>
            </w:r>
          </w:p>
        </w:tc>
        <w:tc>
          <w:tcPr>
            <w:tcW w:type="dxa" w:w="143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32.97%</w:t>
            </w:r>
          </w:p>
        </w:tc>
        <w:tc>
          <w:tcPr>
            <w:tcW w:type="dxa" w:w="143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31.78%</w:t>
            </w:r>
          </w:p>
        </w:tc>
        <w:tc>
          <w:tcPr>
            <w:tcW w:type="dxa" w:w="27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-1.19 pp</w:t>
            </w:r>
          </w:p>
        </w:tc>
      </w:tr>
      <w:tr>
        <w:tc>
          <w:tcPr>
            <w:tcW w:type="dxa" w:w="2420"/>
            <w:tcMar>
              <w:top w:w="80" w:type="dxa"/>
              <w:start w:w="120" w:type="dxa"/>
              <w:bottom w:w="80" w:type="dxa"/>
              <w:end w:w="120" w:type="dxa"/>
            </w:tcMar>
            <w:vAlign w:val="center"/>
          </w:tcPr>
          <w:p>
            <w:pPr>
              <w:spacing w:after="0"/>
              <w:jc w:val="left"/>
            </w:pPr>
            <w:r/>
            <w:r>
              <w:rPr>
                <w:rFonts w:ascii="Calibri" w:hAnsi="Calibri" w:eastAsia="Calibri"/>
                <w:color w:val="1F2933"/>
                <w:sz w:val="14"/>
              </w:rPr>
              <w:t>Annualised return</w:t>
            </w:r>
          </w:p>
        </w:tc>
        <w:tc>
          <w:tcPr>
            <w:tcW w:type="dxa" w:w="1430"/>
            <w:tcMar>
              <w:top w:w="80" w:type="dxa"/>
              <w:start w:w="120" w:type="dxa"/>
              <w:bottom w:w="80" w:type="dxa"/>
              <w:end w:w="120" w:type="dxa"/>
            </w:tcMar>
            <w:vAlign w:val="center"/>
          </w:tcPr>
          <w:p>
            <w:pPr>
              <w:spacing w:after="0"/>
              <w:jc w:val="left"/>
            </w:pPr>
            <w:r/>
            <w:r>
              <w:rPr>
                <w:rFonts w:ascii="Calibri" w:hAnsi="Calibri" w:eastAsia="Calibri"/>
                <w:color w:val="1F2933"/>
                <w:sz w:val="14"/>
              </w:rPr>
              <w:t>10.65%</w:t>
            </w:r>
          </w:p>
        </w:tc>
        <w:tc>
          <w:tcPr>
            <w:tcW w:type="dxa" w:w="1430"/>
            <w:tcMar>
              <w:top w:w="80" w:type="dxa"/>
              <w:start w:w="120" w:type="dxa"/>
              <w:bottom w:w="80" w:type="dxa"/>
              <w:end w:w="120" w:type="dxa"/>
            </w:tcMar>
            <w:vAlign w:val="center"/>
          </w:tcPr>
          <w:p>
            <w:pPr>
              <w:spacing w:after="0"/>
              <w:jc w:val="right"/>
            </w:pPr>
            <w:r/>
            <w:r>
              <w:rPr>
                <w:rFonts w:ascii="Calibri" w:hAnsi="Calibri" w:eastAsia="Calibri"/>
                <w:color w:val="1F2933"/>
                <w:sz w:val="14"/>
              </w:rPr>
              <w:t>10.35%</w:t>
            </w:r>
          </w:p>
        </w:tc>
        <w:tc>
          <w:tcPr>
            <w:tcW w:type="dxa" w:w="2780"/>
            <w:tcMar>
              <w:top w:w="80" w:type="dxa"/>
              <w:start w:w="120" w:type="dxa"/>
              <w:bottom w:w="80" w:type="dxa"/>
              <w:end w:w="120" w:type="dxa"/>
            </w:tcMar>
            <w:vAlign w:val="center"/>
          </w:tcPr>
          <w:p>
            <w:pPr>
              <w:spacing w:after="0"/>
              <w:jc w:val="right"/>
            </w:pPr>
            <w:r/>
            <w:r>
              <w:rPr>
                <w:rFonts w:ascii="Calibri" w:hAnsi="Calibri" w:eastAsia="Calibri"/>
                <w:color w:val="1F2933"/>
                <w:sz w:val="14"/>
              </w:rPr>
              <w:t>-0.30 pp</w:t>
            </w:r>
          </w:p>
        </w:tc>
      </w:tr>
      <w:tr>
        <w:tc>
          <w:tcPr>
            <w:tcW w:type="dxa" w:w="242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Annualised volatility</w:t>
            </w:r>
          </w:p>
        </w:tc>
        <w:tc>
          <w:tcPr>
            <w:tcW w:type="dxa" w:w="143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14.93%</w:t>
            </w:r>
          </w:p>
        </w:tc>
        <w:tc>
          <w:tcPr>
            <w:tcW w:type="dxa" w:w="143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14.91%</w:t>
            </w:r>
          </w:p>
        </w:tc>
        <w:tc>
          <w:tcPr>
            <w:tcW w:type="dxa" w:w="27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-0.02 pp</w:t>
            </w:r>
          </w:p>
        </w:tc>
      </w:tr>
      <w:tr>
        <w:tc>
          <w:tcPr>
            <w:tcW w:type="dxa" w:w="2420"/>
            <w:tcMar>
              <w:top w:w="80" w:type="dxa"/>
              <w:start w:w="120" w:type="dxa"/>
              <w:bottom w:w="80" w:type="dxa"/>
              <w:end w:w="120" w:type="dxa"/>
            </w:tcMar>
            <w:vAlign w:val="center"/>
          </w:tcPr>
          <w:p>
            <w:pPr>
              <w:spacing w:after="0"/>
              <w:jc w:val="left"/>
            </w:pPr>
            <w:r/>
            <w:r>
              <w:rPr>
                <w:rFonts w:ascii="Calibri" w:hAnsi="Calibri" w:eastAsia="Calibri"/>
                <w:color w:val="1F2933"/>
                <w:sz w:val="14"/>
              </w:rPr>
              <w:t>Sharpe</w:t>
            </w:r>
          </w:p>
        </w:tc>
        <w:tc>
          <w:tcPr>
            <w:tcW w:type="dxa" w:w="1430"/>
            <w:tcMar>
              <w:top w:w="80" w:type="dxa"/>
              <w:start w:w="120" w:type="dxa"/>
              <w:bottom w:w="80" w:type="dxa"/>
              <w:end w:w="120" w:type="dxa"/>
            </w:tcMar>
            <w:vAlign w:val="center"/>
          </w:tcPr>
          <w:p>
            <w:pPr>
              <w:spacing w:after="0"/>
              <w:jc w:val="left"/>
            </w:pPr>
            <w:r/>
            <w:r>
              <w:rPr>
                <w:rFonts w:ascii="Calibri" w:hAnsi="Calibri" w:eastAsia="Calibri"/>
                <w:color w:val="1F2933"/>
                <w:sz w:val="14"/>
              </w:rPr>
              <w:t>0.713</w:t>
            </w:r>
          </w:p>
        </w:tc>
        <w:tc>
          <w:tcPr>
            <w:tcW w:type="dxa" w:w="1430"/>
            <w:tcMar>
              <w:top w:w="80" w:type="dxa"/>
              <w:start w:w="120" w:type="dxa"/>
              <w:bottom w:w="80" w:type="dxa"/>
              <w:end w:w="120" w:type="dxa"/>
            </w:tcMar>
            <w:vAlign w:val="center"/>
          </w:tcPr>
          <w:p>
            <w:pPr>
              <w:spacing w:after="0"/>
              <w:jc w:val="right"/>
            </w:pPr>
            <w:r/>
            <w:r>
              <w:rPr>
                <w:rFonts w:ascii="Calibri" w:hAnsi="Calibri" w:eastAsia="Calibri"/>
                <w:color w:val="1F2933"/>
                <w:sz w:val="14"/>
              </w:rPr>
              <w:t>0.694</w:t>
            </w:r>
          </w:p>
        </w:tc>
        <w:tc>
          <w:tcPr>
            <w:tcW w:type="dxa" w:w="2780"/>
            <w:tcMar>
              <w:top w:w="80" w:type="dxa"/>
              <w:start w:w="120" w:type="dxa"/>
              <w:bottom w:w="80" w:type="dxa"/>
              <w:end w:w="120" w:type="dxa"/>
            </w:tcMar>
            <w:vAlign w:val="center"/>
          </w:tcPr>
          <w:p>
            <w:pPr>
              <w:spacing w:after="0"/>
              <w:jc w:val="right"/>
            </w:pPr>
            <w:r/>
            <w:r>
              <w:rPr>
                <w:rFonts w:ascii="Calibri" w:hAnsi="Calibri" w:eastAsia="Calibri"/>
                <w:color w:val="1F2933"/>
                <w:sz w:val="14"/>
              </w:rPr>
              <w:t>-0.019</w:t>
            </w:r>
          </w:p>
        </w:tc>
      </w:tr>
      <w:tr>
        <w:tc>
          <w:tcPr>
            <w:tcW w:type="dxa" w:w="242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Maximum drawdown</w:t>
            </w:r>
          </w:p>
        </w:tc>
        <w:tc>
          <w:tcPr>
            <w:tcW w:type="dxa" w:w="143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-19.40%</w:t>
            </w:r>
          </w:p>
        </w:tc>
        <w:tc>
          <w:tcPr>
            <w:tcW w:type="dxa" w:w="143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-19.63%</w:t>
            </w:r>
          </w:p>
        </w:tc>
        <w:tc>
          <w:tcPr>
            <w:tcW w:type="dxa" w:w="27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-0.23 pp</w:t>
            </w:r>
          </w:p>
        </w:tc>
      </w:tr>
      <w:tr>
        <w:tc>
          <w:tcPr>
            <w:tcW w:type="dxa" w:w="2420"/>
            <w:tcMar>
              <w:top w:w="80" w:type="dxa"/>
              <w:start w:w="120" w:type="dxa"/>
              <w:bottom w:w="80" w:type="dxa"/>
              <w:end w:w="120" w:type="dxa"/>
            </w:tcMar>
            <w:vAlign w:val="center"/>
          </w:tcPr>
          <w:p>
            <w:pPr>
              <w:spacing w:after="0"/>
              <w:jc w:val="left"/>
            </w:pPr>
            <w:r/>
            <w:r>
              <w:rPr>
                <w:rFonts w:ascii="Calibri" w:hAnsi="Calibri" w:eastAsia="Calibri"/>
                <w:color w:val="1F2933"/>
                <w:sz w:val="14"/>
              </w:rPr>
              <w:t>Total turnover</w:t>
            </w:r>
          </w:p>
        </w:tc>
        <w:tc>
          <w:tcPr>
            <w:tcW w:type="dxa" w:w="1430"/>
            <w:tcMar>
              <w:top w:w="80" w:type="dxa"/>
              <w:start w:w="120" w:type="dxa"/>
              <w:bottom w:w="80" w:type="dxa"/>
              <w:end w:w="120" w:type="dxa"/>
            </w:tcMar>
            <w:vAlign w:val="center"/>
          </w:tcPr>
          <w:p>
            <w:pPr>
              <w:spacing w:after="0"/>
              <w:jc w:val="left"/>
            </w:pPr>
            <w:r/>
            <w:r>
              <w:rPr>
                <w:rFonts w:ascii="Calibri" w:hAnsi="Calibri" w:eastAsia="Calibri"/>
                <w:color w:val="1F2933"/>
                <w:sz w:val="14"/>
              </w:rPr>
              <w:t>1.902</w:t>
            </w:r>
          </w:p>
        </w:tc>
        <w:tc>
          <w:tcPr>
            <w:tcW w:type="dxa" w:w="1430"/>
            <w:tcMar>
              <w:top w:w="80" w:type="dxa"/>
              <w:start w:w="120" w:type="dxa"/>
              <w:bottom w:w="80" w:type="dxa"/>
              <w:end w:w="120" w:type="dxa"/>
            </w:tcMar>
            <w:vAlign w:val="center"/>
          </w:tcPr>
          <w:p>
            <w:pPr>
              <w:spacing w:after="0"/>
              <w:jc w:val="right"/>
            </w:pPr>
            <w:r/>
            <w:r>
              <w:rPr>
                <w:rFonts w:ascii="Calibri" w:hAnsi="Calibri" w:eastAsia="Calibri"/>
                <w:color w:val="1F2933"/>
                <w:sz w:val="14"/>
              </w:rPr>
              <w:t>2.424</w:t>
            </w:r>
          </w:p>
        </w:tc>
        <w:tc>
          <w:tcPr>
            <w:tcW w:type="dxa" w:w="2780"/>
            <w:tcMar>
              <w:top w:w="80" w:type="dxa"/>
              <w:start w:w="120" w:type="dxa"/>
              <w:bottom w:w="80" w:type="dxa"/>
              <w:end w:w="120" w:type="dxa"/>
            </w:tcMar>
            <w:vAlign w:val="center"/>
          </w:tcPr>
          <w:p>
            <w:pPr>
              <w:spacing w:after="0"/>
              <w:jc w:val="right"/>
            </w:pPr>
            <w:r/>
            <w:r>
              <w:rPr>
                <w:rFonts w:ascii="Calibri" w:hAnsi="Calibri" w:eastAsia="Calibri"/>
                <w:color w:val="1F2933"/>
                <w:sz w:val="14"/>
              </w:rPr>
              <w:t>+0.522</w:t>
            </w:r>
          </w:p>
        </w:tc>
      </w:tr>
      <w:tr>
        <w:tc>
          <w:tcPr>
            <w:tcW w:type="dxa" w:w="242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Total trading cost</w:t>
            </w:r>
          </w:p>
        </w:tc>
        <w:tc>
          <w:tcPr>
            <w:tcW w:type="dxa" w:w="1430"/>
            <w:shd w:fill="F8FAFC"/>
            <w:tcMar>
              <w:top w:w="80" w:type="dxa"/>
              <w:start w:w="120" w:type="dxa"/>
              <w:bottom w:w="80" w:type="dxa"/>
              <w:end w:w="120" w:type="dxa"/>
            </w:tcMar>
            <w:vAlign w:val="center"/>
          </w:tcPr>
          <w:p>
            <w:pPr>
              <w:spacing w:after="0"/>
              <w:jc w:val="left"/>
            </w:pPr>
            <w:r/>
            <w:r>
              <w:rPr>
                <w:rFonts w:ascii="Calibri" w:hAnsi="Calibri" w:eastAsia="Calibri"/>
                <w:color w:val="1F2933"/>
                <w:sz w:val="14"/>
              </w:rPr>
              <w:t>0.190%</w:t>
            </w:r>
          </w:p>
        </w:tc>
        <w:tc>
          <w:tcPr>
            <w:tcW w:type="dxa" w:w="143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0.242%</w:t>
            </w:r>
          </w:p>
        </w:tc>
        <w:tc>
          <w:tcPr>
            <w:tcW w:type="dxa" w:w="2780"/>
            <w:shd w:fill="F8FAFC"/>
            <w:tcMar>
              <w:top w:w="80" w:type="dxa"/>
              <w:start w:w="120" w:type="dxa"/>
              <w:bottom w:w="80" w:type="dxa"/>
              <w:end w:w="120" w:type="dxa"/>
            </w:tcMar>
            <w:vAlign w:val="center"/>
          </w:tcPr>
          <w:p>
            <w:pPr>
              <w:spacing w:after="0"/>
              <w:jc w:val="right"/>
            </w:pPr>
            <w:r/>
            <w:r>
              <w:rPr>
                <w:rFonts w:ascii="Calibri" w:hAnsi="Calibri" w:eastAsia="Calibri"/>
                <w:color w:val="1F2933"/>
                <w:sz w:val="14"/>
              </w:rPr>
              <w:t>+0.052 pp</w:t>
            </w:r>
          </w:p>
        </w:tc>
      </w:tr>
    </w:tbl>
    <w:p>
      <w:pPr>
        <w:pStyle w:val="SourceNote"/>
      </w:pPr>
      <w:r>
        <w:rPr>
          <w:rFonts w:ascii="Calibri" w:hAnsi="Calibri" w:eastAsia="Calibri"/>
          <w:color w:val="66788A"/>
          <w:sz w:val="14"/>
        </w:rPr>
        <w:t xml:space="preserve">Source: </w:t>
      </w:r>
      <w:r>
        <w:rPr>
          <w:rFonts w:ascii="Aptos Mono" w:hAnsi="Aptos Mono" w:eastAsia="Aptos Mono"/>
          <w:color w:val="17324D"/>
          <w:sz w:val="14"/>
        </w:rPr>
        <w:t>fusion_comparison.csv</w:t>
      </w:r>
      <w:r>
        <w:rPr>
          <w:rFonts w:ascii="Calibri" w:hAnsi="Calibri" w:eastAsia="Calibri"/>
          <w:color w:val="66788A"/>
          <w:sz w:val="14"/>
        </w:rPr>
        <w:t>, common OOS period 2021-01-04 to 2023-12-29, 753 observations. "pp" denotes percentage points.</w:t>
      </w:r>
    </w:p>
    <w:p>
      <w:pPr>
        <w:keepNext/>
        <w:spacing w:before="40" w:after="0"/>
        <w:jc w:val="center"/>
      </w:pPr>
      <w:r>
        <w:drawing>
          <wp:inline xmlns:a="http://schemas.openxmlformats.org/drawingml/2006/main" xmlns:pic="http://schemas.openxmlformats.org/drawingml/2006/picture">
            <wp:extent cx="6126480" cy="3456841"/>
            <wp:docPr id="3" name="Picture 3" title="fusion_growth_of_one" descr="Figure 8. Net growth of $1 for base and fixed sentiment-augmented Equity Risk Parity."/>
            <wp:cNvGraphicFramePr>
              <a:graphicFrameLocks noChangeAspect="1"/>
            </wp:cNvGraphicFramePr>
            <a:graphic>
              <a:graphicData uri="http://schemas.openxmlformats.org/drawingml/2006/picture">
                <pic:pic>
                  <pic:nvPicPr>
                    <pic:cNvPr id="0" name="fusion_growth_of_one.png"/>
                    <pic:cNvPicPr/>
                  </pic:nvPicPr>
                  <pic:blipFill>
                    <a:blip r:embed="rId13"/>
                    <a:stretch>
                      <a:fillRect/>
                    </a:stretch>
                  </pic:blipFill>
                  <pic:spPr>
                    <a:xfrm>
                      <a:off x="0" y="0"/>
                      <a:ext cx="6126480" cy="3456841"/>
                    </a:xfrm>
                    <a:prstGeom prst="rect"/>
                  </pic:spPr>
                </pic:pic>
              </a:graphicData>
            </a:graphic>
          </wp:inline>
        </w:drawing>
      </w:r>
    </w:p>
    <w:p>
      <w:pPr>
        <w:pStyle w:val="Caption"/>
        <w:jc w:val="center"/>
      </w:pPr>
      <w:r>
        <w:rPr>
          <w:rFonts w:ascii="Calibri" w:hAnsi="Calibri" w:eastAsia="Calibri"/>
          <w:color w:val="17324D"/>
          <w:sz w:val="16"/>
        </w:rPr>
        <w:t>Figure 8. Net growth of $1 for base and fixed sentiment-augmented Equity Risk Parity.</w:t>
      </w:r>
    </w:p>
    <w:p>
      <w:pPr>
        <w:pStyle w:val="SourceNote"/>
        <w:jc w:val="center"/>
      </w:pPr>
      <w:r>
        <w:rPr>
          <w:rFonts w:ascii="Calibri" w:hAnsi="Calibri" w:eastAsia="Calibri"/>
          <w:color w:val="66788A"/>
          <w:sz w:val="14"/>
        </w:rPr>
        <w:t>Source: committed fund_returns.csv; fusion_comparison.csv. Historical outputs only.</w:t>
      </w:r>
    </w:p>
    <w:p>
      <w:pPr>
        <w:pStyle w:val="ExhibitNote"/>
      </w:pPr>
      <w:r>
        <w:rPr>
          <w:rFonts w:ascii="Calibri" w:hAnsi="Calibri" w:eastAsia="Calibri"/>
          <w:color w:val="66788A"/>
          <w:sz w:val="16"/>
        </w:rPr>
        <w:t>Figure 9. Net drawdown for base and fixed sentiment-augmented Equity Risk Parity. Presented in Appendix C.</w:t>
      </w:r>
    </w:p>
    <w:p>
      <w:pPr>
        <w:pStyle w:val="ExhibitNote"/>
      </w:pPr>
      <w:r>
        <w:rPr>
          <w:rFonts w:ascii="Calibri" w:hAnsi="Calibri" w:eastAsia="Calibri"/>
          <w:color w:val="66788A"/>
          <w:sz w:val="16"/>
        </w:rPr>
        <w:t>Figure 10. Sector multiplier activity under the fixed fusion rule. Presented in Appendix C.</w:t>
      </w:r>
    </w:p>
    <w:p>
      <w:r>
        <w:rPr>
          <w:rFonts w:ascii="Calibri" w:hAnsi="Calibri" w:eastAsia="Calibri"/>
          <w:color w:val="1F2933"/>
          <w:sz w:val="19"/>
        </w:rPr>
        <w:t>The augmented and base return series are highly similar: their correlation is 0.9998 and tracking error is 0.00288. Nevertheless, the small active deviations were not free. The augmented fund had lower terminal wealth, slightly worse drawdown, and higher turnover and trading cost. Figure 11 shows that the latest target changes are modest stock-level reallocations rather than a new portfolio regime.</w:t>
      </w:r>
    </w:p>
    <w:p>
      <w:pPr>
        <w:pStyle w:val="ExhibitNote"/>
      </w:pPr>
      <w:r>
        <w:rPr>
          <w:rFonts w:ascii="Calibri" w:hAnsi="Calibri" w:eastAsia="Calibri"/>
          <w:color w:val="66788A"/>
          <w:sz w:val="16"/>
        </w:rPr>
        <w:t>Figure 11. Largest latest target-weight changes from the fixed overlay, effective 2023-12-01. Presented in Appendix C.</w:t>
      </w:r>
    </w:p>
    <w:p>
      <w:r>
        <w:rPr>
          <w:rFonts w:ascii="Calibri" w:hAnsi="Calibri" w:eastAsia="Calibri"/>
          <w:color w:val="1F2933"/>
          <w:sz w:val="19"/>
        </w:rPr>
        <w:t xml:space="preserve">The correct conclusion is narrow: </w:t>
      </w:r>
      <w:r>
        <w:rPr>
          <w:rFonts w:ascii="Calibri" w:hAnsi="Calibri" w:eastAsia="Calibri"/>
          <w:b/>
          <w:color w:val="1F2933"/>
          <w:sz w:val="19"/>
        </w:rPr>
        <w:t>this predeclared overlay did not add net value in this OOS sample</w:t>
      </w:r>
      <w:r>
        <w:rPr>
          <w:rFonts w:ascii="Calibri" w:hAnsi="Calibri" w:eastAsia="Calibri"/>
          <w:color w:val="1F2933"/>
          <w:sz w:val="19"/>
        </w:rPr>
        <w:t xml:space="preserve">. Retuning </w:t>
      </w:r>
      <w:r>
        <w:rPr>
          <w:rFonts w:ascii="Aptos Mono" w:hAnsi="Aptos Mono" w:eastAsia="Aptos Mono"/>
          <w:color w:val="17324D"/>
          <w:sz w:val="18"/>
        </w:rPr>
        <w:t>lambda</w:t>
      </w:r>
      <w:r>
        <w:rPr>
          <w:rFonts w:ascii="Calibri" w:hAnsi="Calibri" w:eastAsia="Calibri"/>
          <w:color w:val="1F2933"/>
          <w:sz w:val="19"/>
        </w:rPr>
        <w:t xml:space="preserve"> after seeing the result would convert a clean negative test into data mining. A later study can compare alternative specifications only with a separately defined training/validation protocol and untouched holdout data.</w:t>
      </w:r>
    </w:p>
    <w:p>
      <w:pPr>
        <w:pStyle w:val="Heading1"/>
      </w:pPr>
      <w:r>
        <w:rPr>
          <w:rFonts w:ascii="Calibri" w:hAnsi="Calibri" w:eastAsia="Calibri"/>
          <w:color w:val="2F6B9A"/>
          <w:sz w:val="30"/>
        </w:rPr>
        <w:t>7. Investor application and illustrative allocation</w:t>
      </w:r>
    </w:p>
    <w:p>
      <w:r>
        <w:rPr>
          <w:rFonts w:ascii="Calibri" w:hAnsi="Calibri" w:eastAsia="Calibri"/>
          <w:color w:val="1F2933"/>
          <w:sz w:val="19"/>
        </w:rPr>
        <w:t>The Streamlit application is a presentation layer over committed outputs. Its five tabs are:</w:t>
      </w:r>
    </w:p>
    <w:p>
      <w:pPr>
        <w:pStyle w:val="ListNumber"/>
      </w:pPr>
      <w:r>
        <w:rPr>
          <w:rFonts w:ascii="Calibri" w:hAnsi="Calibri" w:eastAsia="Calibri"/>
          <w:b/>
          <w:color w:val="1F2933"/>
          <w:sz w:val="18"/>
        </w:rPr>
        <w:t>Fund Explorer</w:t>
      </w:r>
      <w:r>
        <w:rPr>
          <w:rFonts w:ascii="Calibri" w:hAnsi="Calibri" w:eastAsia="Calibri"/>
          <w:color w:val="1F2933"/>
          <w:sz w:val="18"/>
        </w:rPr>
        <w:t xml:space="preserve"> - filter the 13 funds by group, switch between net and gross metrics, compare return versus volatility, and inspect selected growth and drawdown paths.</w:t>
      </w:r>
    </w:p>
    <w:p>
      <w:pPr>
        <w:pStyle w:val="ListNumber"/>
      </w:pPr>
      <w:r>
        <w:rPr>
          <w:rFonts w:ascii="Calibri" w:hAnsi="Calibri" w:eastAsia="Calibri"/>
          <w:b/>
          <w:color w:val="1F2933"/>
          <w:sz w:val="18"/>
        </w:rPr>
        <w:t>Fund Fact Sheet</w:t>
      </w:r>
      <w:r>
        <w:rPr>
          <w:rFonts w:ascii="Calibri" w:hAnsi="Calibri" w:eastAsia="Calibri"/>
          <w:color w:val="1F2933"/>
          <w:sz w:val="18"/>
        </w:rPr>
        <w:t xml:space="preserve"> - inspect one fund's OOS dates, metrics, gross/net growth, latest historical target weights, target-weight history, methodology note, and downloadable target table.</w:t>
      </w:r>
    </w:p>
    <w:p>
      <w:pPr>
        <w:pStyle w:val="ListNumber"/>
      </w:pPr>
      <w:r>
        <w:rPr>
          <w:rFonts w:ascii="Calibri" w:hAnsi="Calibri" w:eastAsia="Calibri"/>
          <w:b/>
          <w:color w:val="1F2933"/>
          <w:sz w:val="18"/>
        </w:rPr>
        <w:t>Allocation Lab</w:t>
      </w:r>
      <w:r>
        <w:rPr>
          <w:rFonts w:ascii="Calibri" w:hAnsi="Calibri" w:eastAsia="Calibri"/>
          <w:color w:val="1F2933"/>
          <w:sz w:val="18"/>
        </w:rPr>
        <w:t xml:space="preserve"> - assign non-negative weights to two to six funds and simulate Buy &amp; Hold or Monthly Reset over their exact common finite OOS intersection; the tab does not optimise or recommend weights.</w:t>
      </w:r>
    </w:p>
    <w:p>
      <w:pPr>
        <w:pStyle w:val="ListNumber"/>
      </w:pPr>
      <w:r>
        <w:rPr>
          <w:rFonts w:ascii="Calibri" w:hAnsi="Calibri" w:eastAsia="Calibri"/>
          <w:b/>
          <w:color w:val="1F2933"/>
          <w:sz w:val="18"/>
        </w:rPr>
        <w:t>Sentiment Lab</w:t>
      </w:r>
      <w:r>
        <w:rPr>
          <w:rFonts w:ascii="Calibri" w:hAnsi="Calibri" w:eastAsia="Calibri"/>
          <w:color w:val="1F2933"/>
          <w:sz w:val="18"/>
        </w:rPr>
        <w:t xml:space="preserve"> - select sector and VADER model, inspect the gap-preserving descriptive index and news coverage, optionally show the causal source-day z-score, and review the latest sector snapshot and timing disclosure.</w:t>
      </w:r>
    </w:p>
    <w:p>
      <w:pPr>
        <w:pStyle w:val="ListNumber"/>
      </w:pPr>
      <w:r>
        <w:rPr>
          <w:rFonts w:ascii="Calibri" w:hAnsi="Calibri" w:eastAsia="Calibri"/>
          <w:b/>
          <w:color w:val="1F2933"/>
          <w:sz w:val="18"/>
        </w:rPr>
        <w:t>Fusion Evidence</w:t>
      </w:r>
      <w:r>
        <w:rPr>
          <w:rFonts w:ascii="Calibri" w:hAnsi="Calibri" w:eastAsia="Calibri"/>
          <w:color w:val="1F2933"/>
          <w:sz w:val="18"/>
        </w:rPr>
        <w:t xml:space="preserve"> - compare base and augmented Equity Risk Parity performance, drawdown, turnover, cost, sector multipliers, and latest target changes while keeping the unrevised negative result visible.</w:t>
      </w:r>
    </w:p>
    <w:p>
      <w:r>
        <w:rPr>
          <w:rFonts w:ascii="Calibri" w:hAnsi="Calibri" w:eastAsia="Calibri"/>
          <w:color w:val="1F2933"/>
          <w:sz w:val="19"/>
        </w:rPr>
        <w:t>Buy &amp; Hold compounds independent initial fund sleeves and permits their weights to drift. Monthly Reset resets sleeves to the selected allocation on the first common-period date in each calendar month. Neither mode optimises or recommends the weights.</w:t>
      </w:r>
    </w:p>
    <w:p>
      <w:r>
        <w:rPr>
          <w:rFonts w:ascii="Calibri" w:hAnsi="Calibri" w:eastAsia="Calibri"/>
          <w:color w:val="1F2933"/>
          <w:sz w:val="19"/>
        </w:rPr>
        <w:t>Figure 12 is a report-only illustration using 25% each in Equity Risk Parity, Crypto Risk Parity, Combined Risk Parity, and Equity Risk Parity + Sentiment, held Buy &amp; Hold. The common period is 2021-01-04 to 2023-12-29 with 753 observations and no non-finite exclusions. The simulation produced a 33.13% cumulative return, 14.94% annualised return, 32.59% annualised volatility, 0.458 Sharpe, and -50.59% maximum drawdown.</w:t>
      </w:r>
    </w:p>
    <w:p>
      <w:pPr>
        <w:pStyle w:val="ExhibitNote"/>
      </w:pPr>
      <w:r>
        <w:rPr>
          <w:rFonts w:ascii="Calibri" w:hAnsi="Calibri" w:eastAsia="Calibri"/>
          <w:color w:val="66788A"/>
          <w:sz w:val="16"/>
        </w:rPr>
        <w:t>Figure 12. Illustrative equal-weight four-fund allocation over the common OOS period. Presented in Appendix D.</w:t>
      </w:r>
    </w:p>
    <w:p>
      <w:r>
        <w:rPr>
          <w:rFonts w:ascii="Calibri" w:hAnsi="Calibri" w:eastAsia="Calibri"/>
          <w:color w:val="1F2933"/>
          <w:sz w:val="19"/>
        </w:rPr>
        <w:t xml:space="preserve">This allocation is deliberately simple and method-controlled; it is not selected because it maximises a reported metric. Its deep drawdown demonstrates that combining funds does not eliminate exposure to the Crypto sleeve. The underlying fund returns already include their recorded fund-level trading costs. The simulation applies no extra management fee, tax, slippage, or cross-fund transaction cost, so it should not be read as an implementable investor net return. Exact illustrative inputs and outputs are in </w:t>
      </w:r>
      <w:r>
        <w:rPr>
          <w:rFonts w:ascii="Aptos Mono" w:hAnsi="Aptos Mono" w:eastAsia="Aptos Mono"/>
          <w:color w:val="17324D"/>
          <w:sz w:val="18"/>
        </w:rPr>
        <w:t>report_allocation_example_weights.csv</w:t>
      </w:r>
      <w:r>
        <w:rPr>
          <w:rFonts w:ascii="Calibri" w:hAnsi="Calibri" w:eastAsia="Calibri"/>
          <w:color w:val="1F2933"/>
          <w:sz w:val="19"/>
        </w:rPr>
        <w:t xml:space="preserve"> and </w:t>
      </w:r>
      <w:r>
        <w:rPr>
          <w:rFonts w:ascii="Aptos Mono" w:hAnsi="Aptos Mono" w:eastAsia="Aptos Mono"/>
          <w:color w:val="17324D"/>
          <w:sz w:val="18"/>
        </w:rPr>
        <w:t>report_allocation_example_metrics.csv</w:t>
      </w:r>
      <w:r>
        <w:rPr>
          <w:rFonts w:ascii="Calibri" w:hAnsi="Calibri" w:eastAsia="Calibri"/>
          <w:color w:val="1F2933"/>
          <w:sz w:val="19"/>
        </w:rPr>
        <w:t>.</w:t>
      </w:r>
    </w:p>
    <w:p>
      <w:pPr>
        <w:pStyle w:val="Heading1"/>
      </w:pPr>
      <w:r>
        <w:rPr>
          <w:rFonts w:ascii="Calibri" w:hAnsi="Calibri" w:eastAsia="Calibri"/>
          <w:color w:val="2F6B9A"/>
          <w:sz w:val="30"/>
        </w:rPr>
        <w:t>8. Limitations and responsible interpretation</w:t>
      </w:r>
    </w:p>
    <w:p>
      <w:r>
        <w:rPr>
          <w:rFonts w:ascii="Calibri" w:hAnsi="Calibri" w:eastAsia="Calibri"/>
          <w:color w:val="1F2933"/>
          <w:sz w:val="19"/>
        </w:rPr>
        <w:t>The evidence is reproducible within the project, but the economic conclusions remain limited:</w:t>
      </w:r>
    </w:p>
    <w:p>
      <w:pPr>
        <w:pStyle w:val="ListBullet"/>
      </w:pPr>
      <w:r>
        <w:rPr>
          <w:rFonts w:ascii="Calibri" w:hAnsi="Calibri" w:eastAsia="Calibri"/>
          <w:color w:val="1F2933"/>
          <w:sz w:val="18"/>
        </w:rPr>
        <w:t>The OOS period is only 2021-2023 and contains a particular equity, crypto, inflation, and rate environment. It does not establish performance in other regimes.</w:t>
      </w:r>
    </w:p>
    <w:p>
      <w:pPr>
        <w:pStyle w:val="ListBullet"/>
      </w:pPr>
      <w:r>
        <w:rPr>
          <w:rFonts w:ascii="Calibri" w:hAnsi="Calibri" w:eastAsia="Calibri"/>
          <w:color w:val="1F2933"/>
          <w:sz w:val="18"/>
        </w:rPr>
        <w:t>The study reports realised OOS paths but no confidence intervals, bootstrap uncertainty, or formal statistical significance. Small metric differences may be noise.</w:t>
      </w:r>
    </w:p>
    <w:p>
      <w:pPr>
        <w:pStyle w:val="ListBullet"/>
      </w:pPr>
      <w:r>
        <w:rPr>
          <w:rFonts w:ascii="Calibri" w:hAnsi="Calibri" w:eastAsia="Calibri"/>
          <w:color w:val="1F2933"/>
          <w:sz w:val="18"/>
        </w:rPr>
        <w:t>Crypto and Equity use different native calendars and annualisation factors. Combined deliberately excludes weekend-only crypto observations, so direct comparisons require care.</w:t>
      </w:r>
    </w:p>
    <w:p>
      <w:pPr>
        <w:pStyle w:val="ListBullet"/>
      </w:pPr>
      <w:r>
        <w:rPr>
          <w:rFonts w:ascii="Calibri" w:hAnsi="Calibri" w:eastAsia="Calibri"/>
          <w:color w:val="1F2933"/>
          <w:sz w:val="18"/>
        </w:rPr>
        <w:t>The 10-basis-point one-way cost is a fixed model. It does not capture spread variation, market impact, borrow, capacity, exchange fees, custody, management fees, taxes, or investor-level allocation costs.</w:t>
      </w:r>
    </w:p>
    <w:p>
      <w:pPr>
        <w:pStyle w:val="ListBullet"/>
      </w:pPr>
      <w:r>
        <w:rPr>
          <w:rFonts w:ascii="Calibri" w:hAnsi="Calibri" w:eastAsia="Calibri"/>
          <w:color w:val="1F2933"/>
          <w:sz w:val="18"/>
        </w:rPr>
        <w:t>Maximum Sharpe depends on expanding historical mean returns, which are unstable. The fixed shrinkage reduces but does not remove estimation error.</w:t>
      </w:r>
    </w:p>
    <w:p>
      <w:pPr>
        <w:pStyle w:val="ListBullet"/>
      </w:pPr>
      <w:r>
        <w:rPr>
          <w:rFonts w:ascii="Calibri" w:hAnsi="Calibri" w:eastAsia="Calibri"/>
          <w:color w:val="1F2933"/>
          <w:sz w:val="18"/>
        </w:rPr>
        <w:t>Headline sentiment excludes article bodies and uses supplied timestamps that are not verified publication times. Rule A and the extra trading lag are conservative controls, not proof of tradability.</w:t>
      </w:r>
    </w:p>
    <w:p>
      <w:pPr>
        <w:pStyle w:val="ListBullet"/>
      </w:pPr>
      <w:r>
        <w:rPr>
          <w:rFonts w:ascii="Calibri" w:hAnsi="Calibri" w:eastAsia="Calibri"/>
          <w:color w:val="1F2933"/>
          <w:sz w:val="18"/>
        </w:rPr>
        <w:t>News coverage is incomplete and uneven. Missing supplied news is missing coverage, not neutral sentiment and not proof of no economically relevant news.</w:t>
      </w:r>
    </w:p>
    <w:p>
      <w:pPr>
        <w:pStyle w:val="ListBullet"/>
      </w:pPr>
      <w:r>
        <w:rPr>
          <w:rFonts w:ascii="Calibri" w:hAnsi="Calibri" w:eastAsia="Calibri"/>
          <w:color w:val="1F2933"/>
          <w:sz w:val="18"/>
        </w:rPr>
        <w:t>The finance lexicon changes scores but has no separately labelled validation of semantic or predictive accuracy.</w:t>
      </w:r>
    </w:p>
    <w:p>
      <w:pPr>
        <w:pStyle w:val="ListBullet"/>
      </w:pPr>
      <w:r>
        <w:rPr>
          <w:rFonts w:ascii="Calibri" w:hAnsi="Calibri" w:eastAsia="Calibri"/>
          <w:color w:val="1F2933"/>
          <w:sz w:val="18"/>
        </w:rPr>
        <w:t>The application uses historical, precomputed target weights and returns. It provides no live data, execution, suitability assessment, or personalised advice.</w:t>
      </w:r>
    </w:p>
    <w:p>
      <w:pPr>
        <w:pStyle w:val="Heading1"/>
      </w:pPr>
      <w:r>
        <w:rPr>
          <w:rFonts w:ascii="Calibri" w:hAnsi="Calibri" w:eastAsia="Calibri"/>
          <w:color w:val="2F6B9A"/>
          <w:sz w:val="30"/>
        </w:rPr>
        <w:t>9. Recommendations for the next empirical cycle</w:t>
      </w:r>
    </w:p>
    <w:p>
      <w:pPr>
        <w:pStyle w:val="Heading2"/>
      </w:pPr>
      <w:r>
        <w:rPr>
          <w:rFonts w:ascii="Calibri" w:hAnsi="Calibri" w:eastAsia="Calibri"/>
          <w:color w:val="2F6B9A"/>
          <w:sz w:val="24"/>
        </w:rPr>
        <w:t>Recommendation 1 - protect a new holdout before testing alternatives</w:t>
      </w:r>
    </w:p>
    <w:p>
      <w:r>
        <w:rPr>
          <w:rFonts w:ascii="Calibri" w:hAnsi="Calibri" w:eastAsia="Calibri"/>
          <w:color w:val="1F2933"/>
          <w:sz w:val="19"/>
        </w:rPr>
        <w:t>Pre-register any alternative fusion rule, parameter grid, and success metric using a development/validation period, then evaluate once on an untouched post-2023 holdout. Report uncertainty around the performance difference, not only point estimates. This is the minimum evidence needed before making a sentiment-predictability claim.</w:t>
      </w:r>
    </w:p>
    <w:p>
      <w:pPr>
        <w:pStyle w:val="Heading2"/>
      </w:pPr>
      <w:r>
        <w:rPr>
          <w:rFonts w:ascii="Calibri" w:hAnsi="Calibri" w:eastAsia="Calibri"/>
          <w:color w:val="2F6B9A"/>
          <w:sz w:val="24"/>
        </w:rPr>
        <w:t>Recommendation 2 - test implementation sensitivity before investor use</w:t>
      </w:r>
    </w:p>
    <w:p>
      <w:r>
        <w:rPr>
          <w:rFonts w:ascii="Calibri" w:hAnsi="Calibri" w:eastAsia="Calibri"/>
          <w:color w:val="1F2933"/>
          <w:sz w:val="19"/>
        </w:rPr>
        <w:t>Recalculate fund and allocation outcomes across plausible spreads, fees, slippage, taxes, and capacity assumptions. Because Maximum Sharpe and the fixed overlay produced higher turnover in this sample, cost sensitivity could materially change their ranking. A production decision should also include liquidity and exchange/custody constraints.</w:t>
      </w:r>
    </w:p>
    <w:p>
      <w:pPr>
        <w:pStyle w:val="Heading2"/>
      </w:pPr>
      <w:r>
        <w:rPr>
          <w:rFonts w:ascii="Calibri" w:hAnsi="Calibri" w:eastAsia="Calibri"/>
          <w:color w:val="2F6B9A"/>
          <w:sz w:val="24"/>
        </w:rPr>
        <w:t>Recommendation 3 - strengthen timing and monitoring controls</w:t>
      </w:r>
    </w:p>
    <w:p>
      <w:r>
        <w:rPr>
          <w:rFonts w:ascii="Calibri" w:hAnsi="Calibri" w:eastAsia="Calibri"/>
          <w:color w:val="1F2933"/>
          <w:sz w:val="19"/>
        </w:rPr>
        <w:t>Use verified publication timestamps and an authoritative exchange calendar before considering a live signal. Add automated checks for stale/missing data, coverage shifts, solver fallbacks, target concentration, realised tracking error, and model drift. A live process should stop or revert to a documented neutral/base state when these controls fail.</w:t>
      </w:r>
    </w:p>
    <w:p>
      <w:pPr>
        <w:pStyle w:val="Heading1"/>
      </w:pPr>
      <w:r>
        <w:rPr>
          <w:rFonts w:ascii="Calibri" w:hAnsi="Calibri" w:eastAsia="Calibri"/>
          <w:color w:val="2F6B9A"/>
          <w:sz w:val="30"/>
        </w:rPr>
        <w:t>10. Reproducibility and artifact guide</w:t>
      </w:r>
    </w:p>
    <w:p>
      <w:r>
        <w:rPr>
          <w:rFonts w:ascii="Calibri" w:hAnsi="Calibri" w:eastAsia="Calibri"/>
          <w:color w:val="1F2933"/>
          <w:sz w:val="19"/>
        </w:rPr>
        <w:t>The complete analytical pipeline is run with:</w:t>
      </w:r>
    </w:p>
    <w:p>
      <w:pPr>
        <w:spacing w:before="40" w:after="60"/>
        <w:ind w:left="360"/>
      </w:pPr>
      <w:r>
        <w:rPr>
          <w:rFonts w:ascii="Aptos Mono" w:hAnsi="Aptos Mono" w:eastAsia="Aptos Mono"/>
          <w:color w:val="17324D"/>
          <w:sz w:val="17"/>
        </w:rPr>
        <w:t>python scripts/run_part_b.py</w:t>
      </w:r>
    </w:p>
    <w:p>
      <w:r>
        <w:rPr>
          <w:rFonts w:ascii="Calibri" w:hAnsi="Calibri" w:eastAsia="Calibri"/>
          <w:color w:val="1F2933"/>
          <w:sz w:val="19"/>
        </w:rPr>
        <w:t>Report-only presentation artifacts are rebuilt from committed analytical outputs with:</w:t>
      </w:r>
    </w:p>
    <w:p>
      <w:pPr>
        <w:spacing w:before="40" w:after="60"/>
        <w:ind w:left="360"/>
      </w:pPr>
      <w:r>
        <w:rPr>
          <w:rFonts w:ascii="Aptos Mono" w:hAnsi="Aptos Mono" w:eastAsia="Aptos Mono"/>
          <w:color w:val="17324D"/>
          <w:sz w:val="17"/>
        </w:rPr>
        <w:t>python scripts/build_report_artifacts.py</w:t>
      </w:r>
    </w:p>
    <w:p>
      <w:r>
        <w:rPr>
          <w:rFonts w:ascii="Calibri" w:hAnsi="Calibri" w:eastAsia="Calibri"/>
          <w:color w:val="1F2933"/>
          <w:sz w:val="19"/>
        </w:rPr>
        <w:t>The second command does not load raw data, optimise portfolios, score headlines, or rerun fusion. It formats the complete 13-fund summary, creates figures from committed tables and app data, and calculates the clearly labelled illustrative allocation through the same allocation utility used by the application.</w:t>
      </w:r>
    </w:p>
    <w:p>
      <w:r>
        <w:rPr>
          <w:rFonts w:ascii="Calibri" w:hAnsi="Calibri" w:eastAsia="Calibri"/>
          <w:color w:val="1F2933"/>
          <w:sz w:val="19"/>
        </w:rPr>
        <w:t>Key evidence files are:</w:t>
      </w:r>
    </w:p>
    <w:p>
      <w:pPr>
        <w:pStyle w:val="ListBullet"/>
      </w:pPr>
      <w:r>
        <w:rPr>
          <w:rFonts w:ascii="Aptos Mono" w:hAnsi="Aptos Mono" w:eastAsia="Aptos Mono"/>
          <w:color w:val="17324D"/>
          <w:sz w:val="18"/>
        </w:rPr>
        <w:t>performance_metrics.csv</w:t>
      </w:r>
      <w:r>
        <w:rPr>
          <w:rFonts w:ascii="Calibri" w:hAnsi="Calibri" w:eastAsia="Calibri"/>
          <w:color w:val="1F2933"/>
          <w:sz w:val="18"/>
        </w:rPr>
        <w:t xml:space="preserve"> - canonical 13-fund metrics.</w:t>
      </w:r>
    </w:p>
    <w:p>
      <w:pPr>
        <w:pStyle w:val="ListBullet"/>
      </w:pPr>
      <w:r>
        <w:rPr>
          <w:rFonts w:ascii="Aptos Mono" w:hAnsi="Aptos Mono" w:eastAsia="Aptos Mono"/>
          <w:color w:val="17324D"/>
          <w:sz w:val="18"/>
        </w:rPr>
        <w:t>fund_returns.csv</w:t>
      </w:r>
      <w:r>
        <w:rPr>
          <w:rFonts w:ascii="Calibri" w:hAnsi="Calibri" w:eastAsia="Calibri"/>
          <w:color w:val="1F2933"/>
          <w:sz w:val="18"/>
        </w:rPr>
        <w:t xml:space="preserve"> and </w:t>
      </w:r>
      <w:r>
        <w:rPr>
          <w:rFonts w:ascii="Aptos Mono" w:hAnsi="Aptos Mono" w:eastAsia="Aptos Mono"/>
          <w:color w:val="17324D"/>
          <w:sz w:val="18"/>
        </w:rPr>
        <w:t>fund_weights.csv</w:t>
      </w:r>
      <w:r>
        <w:rPr>
          <w:rFonts w:ascii="Calibri" w:hAnsi="Calibri" w:eastAsia="Calibri"/>
          <w:color w:val="1F2933"/>
          <w:sz w:val="18"/>
        </w:rPr>
        <w:t xml:space="preserve"> - precomputed fund paths and targets.</w:t>
      </w:r>
    </w:p>
    <w:p>
      <w:pPr>
        <w:pStyle w:val="ListBullet"/>
      </w:pPr>
      <w:r>
        <w:rPr>
          <w:rFonts w:ascii="Aptos Mono" w:hAnsi="Aptos Mono" w:eastAsia="Aptos Mono"/>
          <w:color w:val="17324D"/>
          <w:sz w:val="18"/>
        </w:rPr>
        <w:t>sentiment_data_audit.csv</w:t>
      </w:r>
      <w:r>
        <w:rPr>
          <w:rFonts w:ascii="Calibri" w:hAnsi="Calibri" w:eastAsia="Calibri"/>
          <w:color w:val="1F2933"/>
          <w:sz w:val="18"/>
        </w:rPr>
        <w:t xml:space="preserve"> and </w:t>
      </w:r>
      <w:r>
        <w:rPr>
          <w:rFonts w:ascii="Aptos Mono" w:hAnsi="Aptos Mono" w:eastAsia="Aptos Mono"/>
          <w:color w:val="17324D"/>
          <w:sz w:val="18"/>
        </w:rPr>
        <w:t>sentiment_model_comparison.csv</w:t>
      </w:r>
      <w:r>
        <w:rPr>
          <w:rFonts w:ascii="Calibri" w:hAnsi="Calibri" w:eastAsia="Calibri"/>
          <w:color w:val="1F2933"/>
          <w:sz w:val="18"/>
        </w:rPr>
        <w:t xml:space="preserve"> - mapping, missingness, and model-sensitivity evidence.</w:t>
      </w:r>
    </w:p>
    <w:p>
      <w:pPr>
        <w:pStyle w:val="ListBullet"/>
      </w:pPr>
      <w:r>
        <w:rPr>
          <w:rFonts w:ascii="Aptos Mono" w:hAnsi="Aptos Mono" w:eastAsia="Aptos Mono"/>
          <w:color w:val="17324D"/>
          <w:sz w:val="18"/>
        </w:rPr>
        <w:t>fusion_comparison.csv</w:t>
      </w:r>
      <w:r>
        <w:rPr>
          <w:rFonts w:ascii="Calibri" w:hAnsi="Calibri" w:eastAsia="Calibri"/>
          <w:color w:val="1F2933"/>
          <w:sz w:val="18"/>
        </w:rPr>
        <w:t xml:space="preserve"> - base/augmented comparison on identical dates.</w:t>
      </w:r>
    </w:p>
    <w:p>
      <w:pPr>
        <w:pStyle w:val="ListBullet"/>
      </w:pPr>
      <w:r>
        <w:rPr>
          <w:rFonts w:ascii="Aptos Mono" w:hAnsi="Aptos Mono" w:eastAsia="Aptos Mono"/>
          <w:color w:val="17324D"/>
          <w:sz w:val="18"/>
        </w:rPr>
        <w:t>report_exhibit_catalog.csv</w:t>
      </w:r>
      <w:r>
        <w:rPr>
          <w:rFonts w:ascii="Calibri" w:hAnsi="Calibri" w:eastAsia="Calibri"/>
          <w:color w:val="1F2933"/>
          <w:sz w:val="18"/>
        </w:rPr>
        <w:t xml:space="preserve"> - source and supported-claim mapping for every report figure.</w:t>
      </w:r>
    </w:p>
    <w:p>
      <w:pPr>
        <w:pStyle w:val="ListBullet"/>
      </w:pPr>
      <w:r>
        <w:rPr>
          <w:rFonts w:ascii="Aptos Mono" w:hAnsi="Aptos Mono" w:eastAsia="Aptos Mono"/>
          <w:color w:val="17324D"/>
          <w:sz w:val="18"/>
        </w:rPr>
        <w:t>run_manifest.csv</w:t>
      </w:r>
      <w:r>
        <w:rPr>
          <w:rFonts w:ascii="Calibri" w:hAnsi="Calibri" w:eastAsia="Calibri"/>
          <w:color w:val="1F2933"/>
          <w:sz w:val="18"/>
        </w:rPr>
        <w:t xml:space="preserve"> - source checksum, environment, methodology constants, and canonical output hashes.</w:t>
      </w:r>
    </w:p>
    <w:p>
      <w:r>
        <w:rPr>
          <w:rFonts w:ascii="Calibri" w:hAnsi="Calibri" w:eastAsia="Calibri"/>
          <w:color w:val="1F2933"/>
          <w:sz w:val="19"/>
        </w:rPr>
        <w:t>All reported results are historical OOS evidence from the supplied dataset. They are not current, causal, or an investment recommendation.</w:t>
      </w:r>
    </w:p>
    <w:p>
      <w:pPr>
        <w:sectPr>
          <w:footerReference w:type="default" r:id="rId10"/>
          <w:pgSz w:w="11906" w:h="16838"/>
          <w:pgMar w:top="850" w:right="907" w:bottom="850" w:left="907" w:header="454" w:footer="454" w:gutter="0"/>
          <w:cols w:space="720"/>
          <w:docGrid w:linePitch="360"/>
          <w:pgNumType w:start="1"/>
        </w:sectPr>
      </w:pPr>
    </w:p>
    <w:p>
      <w:pPr>
        <w:pStyle w:val="Heading1"/>
        <w:spacing w:before="0"/>
      </w:pPr>
      <w:r>
        <w:rPr>
          <w:rFonts w:ascii="Calibri" w:hAnsi="Calibri" w:eastAsia="Calibri"/>
          <w:color w:val="2F6B9A"/>
          <w:sz w:val="30"/>
        </w:rPr>
        <w:t>Appendix A | Sentiment evidence</w:t>
      </w:r>
    </w:p>
    <w:p>
      <w:pPr>
        <w:keepNext/>
        <w:spacing w:before="40" w:after="0"/>
        <w:jc w:val="center"/>
      </w:pPr>
      <w:r>
        <w:drawing>
          <wp:inline xmlns:a="http://schemas.openxmlformats.org/drawingml/2006/main" xmlns:pic="http://schemas.openxmlformats.org/drawingml/2006/picture">
            <wp:extent cx="6629400" cy="5826585"/>
            <wp:docPr id="4" name="Picture 4" title="report_all_sector_sentiment_small_multiples" descr="Appendix Figure A1. Finance-VADER sentiment indices for all ten equity sectors, with genuine missing gaps preserved."/>
            <wp:cNvGraphicFramePr>
              <a:graphicFrameLocks noChangeAspect="1"/>
            </wp:cNvGraphicFramePr>
            <a:graphic>
              <a:graphicData uri="http://schemas.openxmlformats.org/drawingml/2006/picture">
                <pic:pic>
                  <pic:nvPicPr>
                    <pic:cNvPr id="0" name="report_all_sector_sentiment_small_multiples.png"/>
                    <pic:cNvPicPr/>
                  </pic:nvPicPr>
                  <pic:blipFill>
                    <a:blip r:embed="rId15"/>
                    <a:stretch>
                      <a:fillRect/>
                    </a:stretch>
                  </pic:blipFill>
                  <pic:spPr>
                    <a:xfrm>
                      <a:off x="0" y="0"/>
                      <a:ext cx="6629400" cy="5826585"/>
                    </a:xfrm>
                    <a:prstGeom prst="rect"/>
                  </pic:spPr>
                </pic:pic>
              </a:graphicData>
            </a:graphic>
          </wp:inline>
        </w:drawing>
      </w:r>
    </w:p>
    <w:p>
      <w:pPr>
        <w:pStyle w:val="Caption"/>
        <w:jc w:val="center"/>
      </w:pPr>
      <w:r>
        <w:rPr>
          <w:rFonts w:ascii="Calibri" w:hAnsi="Calibri" w:eastAsia="Calibri"/>
          <w:color w:val="17324D"/>
          <w:sz w:val="16"/>
        </w:rPr>
        <w:t>Appendix Figure A1. Finance-VADER sentiment indices for all ten equity sectors, with genuine missing gaps preserved.</w:t>
      </w:r>
    </w:p>
    <w:p>
      <w:pPr>
        <w:pStyle w:val="SourceNote"/>
        <w:jc w:val="center"/>
      </w:pPr>
      <w:r>
        <w:rPr>
          <w:rFonts w:ascii="Calibri" w:hAnsi="Calibri" w:eastAsia="Calibri"/>
          <w:color w:val="66788A"/>
          <w:sz w:val="14"/>
        </w:rPr>
        <w:t>Source: committed sector_sentiment_index.csv; finance_vader only; 2020-01-02 to 2023-12-29; common 0-100 scale; missing dates are gaps, not 50. Historical outputs only.</w:t>
      </w:r>
    </w:p>
    <w:p>
      <w:pPr>
        <w:sectPr>
          <w:footerReference w:type="default" r:id="rId14"/>
          <w:pgSz w:w="16838" w:h="11906" w:orient="landscape"/>
          <w:pgMar w:top="737" w:right="794" w:bottom="737" w:left="794" w:header="454" w:footer="454" w:gutter="0"/>
          <w:cols w:space="720"/>
          <w:docGrid w:linePitch="360"/>
        </w:sectPr>
      </w:pPr>
    </w:p>
    <w:p>
      <w:pPr>
        <w:pStyle w:val="Heading1"/>
        <w:spacing w:before="0"/>
      </w:pPr>
      <w:r>
        <w:rPr>
          <w:rFonts w:ascii="Calibri" w:hAnsi="Calibri" w:eastAsia="Calibri"/>
          <w:color w:val="2F6B9A"/>
          <w:sz w:val="30"/>
        </w:rPr>
        <w:t>Appendix A | Sentiment evidence</w:t>
      </w:r>
    </w:p>
    <w:p>
      <w:pPr>
        <w:keepNext/>
        <w:spacing w:before="40" w:after="0"/>
        <w:jc w:val="center"/>
      </w:pPr>
      <w:r>
        <w:drawing>
          <wp:inline xmlns:a="http://schemas.openxmlformats.org/drawingml/2006/main" xmlns:pic="http://schemas.openxmlformats.org/drawingml/2006/picture">
            <wp:extent cx="6172200" cy="3190994"/>
            <wp:docPr id="5" name="Picture 5" title="report_materials_trading_signal" descr="Figure 6. Lagged Materials tradable sentiment signal and bounded carry events."/>
            <wp:cNvGraphicFramePr>
              <a:graphicFrameLocks noChangeAspect="1"/>
            </wp:cNvGraphicFramePr>
            <a:graphic>
              <a:graphicData uri="http://schemas.openxmlformats.org/drawingml/2006/picture">
                <pic:pic>
                  <pic:nvPicPr>
                    <pic:cNvPr id="0" name="report_materials_trading_signal.png"/>
                    <pic:cNvPicPr/>
                  </pic:nvPicPr>
                  <pic:blipFill>
                    <a:blip r:embed="rId17"/>
                    <a:stretch>
                      <a:fillRect/>
                    </a:stretch>
                  </pic:blipFill>
                  <pic:spPr>
                    <a:xfrm>
                      <a:off x="0" y="0"/>
                      <a:ext cx="6172200" cy="3190994"/>
                    </a:xfrm>
                    <a:prstGeom prst="rect"/>
                  </pic:spPr>
                </pic:pic>
              </a:graphicData>
            </a:graphic>
          </wp:inline>
        </w:drawing>
      </w:r>
    </w:p>
    <w:p>
      <w:pPr>
        <w:pStyle w:val="Caption"/>
        <w:jc w:val="center"/>
      </w:pPr>
      <w:r>
        <w:rPr>
          <w:rFonts w:ascii="Calibri" w:hAnsi="Calibri" w:eastAsia="Calibri"/>
          <w:color w:val="17324D"/>
          <w:sz w:val="16"/>
        </w:rPr>
        <w:t>Figure 6. Lagged Materials tradable sentiment signal and bounded carry events.</w:t>
      </w:r>
    </w:p>
    <w:p>
      <w:pPr>
        <w:pStyle w:val="SourceNote"/>
        <w:jc w:val="center"/>
      </w:pPr>
      <w:r>
        <w:rPr>
          <w:rFonts w:ascii="Calibri" w:hAnsi="Calibri" w:eastAsia="Calibri"/>
          <w:color w:val="66788A"/>
          <w:sz w:val="14"/>
        </w:rPr>
        <w:t>Source: committed sector_sentiment_signal.csv. Historical outputs only.</w:t>
      </w:r>
    </w:p>
    <w:p>
      <w:r>
        <w:br w:type="page"/>
      </w:r>
    </w:p>
    <w:p>
      <w:pPr>
        <w:keepNext/>
        <w:spacing w:before="40" w:after="0"/>
        <w:jc w:val="center"/>
      </w:pPr>
      <w:r>
        <w:drawing>
          <wp:inline xmlns:a="http://schemas.openxmlformats.org/drawingml/2006/main" xmlns:pic="http://schemas.openxmlformats.org/drawingml/2006/picture">
            <wp:extent cx="6172200" cy="2901155"/>
            <wp:docPr id="6" name="Picture 6" title="report_materials_coverage" descr="Figure 7. Materials eligible-ticker headline coverage."/>
            <wp:cNvGraphicFramePr>
              <a:graphicFrameLocks noChangeAspect="1"/>
            </wp:cNvGraphicFramePr>
            <a:graphic>
              <a:graphicData uri="http://schemas.openxmlformats.org/drawingml/2006/picture">
                <pic:pic>
                  <pic:nvPicPr>
                    <pic:cNvPr id="0" name="report_materials_coverage.png"/>
                    <pic:cNvPicPr/>
                  </pic:nvPicPr>
                  <pic:blipFill>
                    <a:blip r:embed="rId18"/>
                    <a:stretch>
                      <a:fillRect/>
                    </a:stretch>
                  </pic:blipFill>
                  <pic:spPr>
                    <a:xfrm>
                      <a:off x="0" y="0"/>
                      <a:ext cx="6172200" cy="2901155"/>
                    </a:xfrm>
                    <a:prstGeom prst="rect"/>
                  </pic:spPr>
                </pic:pic>
              </a:graphicData>
            </a:graphic>
          </wp:inline>
        </w:drawing>
      </w:r>
    </w:p>
    <w:p>
      <w:pPr>
        <w:pStyle w:val="Caption"/>
        <w:jc w:val="center"/>
      </w:pPr>
      <w:r>
        <w:rPr>
          <w:rFonts w:ascii="Calibri" w:hAnsi="Calibri" w:eastAsia="Calibri"/>
          <w:color w:val="17324D"/>
          <w:sz w:val="16"/>
        </w:rPr>
        <w:t>Figure 7. Materials eligible-ticker headline coverage.</w:t>
      </w:r>
    </w:p>
    <w:p>
      <w:pPr>
        <w:pStyle w:val="SourceNote"/>
        <w:jc w:val="center"/>
      </w:pPr>
      <w:r>
        <w:rPr>
          <w:rFonts w:ascii="Calibri" w:hAnsi="Calibri" w:eastAsia="Calibri"/>
          <w:color w:val="66788A"/>
          <w:sz w:val="14"/>
        </w:rPr>
        <w:t>Source: committed sector_sentiment_index.csv. Historical outputs only.</w:t>
      </w:r>
    </w:p>
    <w:p>
      <w:pPr>
        <w:sectPr>
          <w:footerReference w:type="default" r:id="rId16"/>
          <w:pgSz w:w="11906" w:h="16838"/>
          <w:pgMar w:top="850" w:right="907" w:bottom="850" w:left="907" w:header="454" w:footer="454" w:gutter="0"/>
          <w:cols w:space="720"/>
          <w:docGrid w:linePitch="360"/>
        </w:sectPr>
      </w:pPr>
    </w:p>
    <w:p>
      <w:pPr>
        <w:pStyle w:val="Heading1"/>
        <w:spacing w:before="0"/>
      </w:pPr>
      <w:r>
        <w:rPr>
          <w:rFonts w:ascii="Calibri" w:hAnsi="Calibri" w:eastAsia="Calibri"/>
          <w:color w:val="2F6B9A"/>
          <w:sz w:val="30"/>
        </w:rPr>
        <w:t>Appendix B | Portfolio evidence</w:t>
      </w:r>
    </w:p>
    <w:p>
      <w:pPr>
        <w:keepNext/>
        <w:spacing w:before="40" w:after="0"/>
        <w:jc w:val="center"/>
      </w:pPr>
      <w:r>
        <w:drawing>
          <wp:inline xmlns:a="http://schemas.openxmlformats.org/drawingml/2006/main" xmlns:pic="http://schemas.openxmlformats.org/drawingml/2006/picture">
            <wp:extent cx="6172200" cy="3381460"/>
            <wp:docPr id="7" name="Picture 7" title="report_selected_growth" descr="Figure 2. Growth of $1 for representative Risk Parity funds and the fixed sentiment overlay."/>
            <wp:cNvGraphicFramePr>
              <a:graphicFrameLocks noChangeAspect="1"/>
            </wp:cNvGraphicFramePr>
            <a:graphic>
              <a:graphicData uri="http://schemas.openxmlformats.org/drawingml/2006/picture">
                <pic:pic>
                  <pic:nvPicPr>
                    <pic:cNvPr id="0" name="report_selected_growth.png"/>
                    <pic:cNvPicPr/>
                  </pic:nvPicPr>
                  <pic:blipFill>
                    <a:blip r:embed="rId20"/>
                    <a:stretch>
                      <a:fillRect/>
                    </a:stretch>
                  </pic:blipFill>
                  <pic:spPr>
                    <a:xfrm>
                      <a:off x="0" y="0"/>
                      <a:ext cx="6172200" cy="3381460"/>
                    </a:xfrm>
                    <a:prstGeom prst="rect"/>
                  </pic:spPr>
                </pic:pic>
              </a:graphicData>
            </a:graphic>
          </wp:inline>
        </w:drawing>
      </w:r>
    </w:p>
    <w:p>
      <w:pPr>
        <w:pStyle w:val="Caption"/>
        <w:jc w:val="center"/>
      </w:pPr>
      <w:r>
        <w:rPr>
          <w:rFonts w:ascii="Calibri" w:hAnsi="Calibri" w:eastAsia="Calibri"/>
          <w:color w:val="17324D"/>
          <w:sz w:val="16"/>
        </w:rPr>
        <w:t>Figure 2. Growth of $1 for representative Risk Parity funds and the fixed sentiment overlay.</w:t>
      </w:r>
    </w:p>
    <w:p>
      <w:pPr>
        <w:pStyle w:val="SourceNote"/>
        <w:jc w:val="center"/>
      </w:pPr>
      <w:r>
        <w:rPr>
          <w:rFonts w:ascii="Calibri" w:hAnsi="Calibri" w:eastAsia="Calibri"/>
          <w:color w:val="66788A"/>
          <w:sz w:val="14"/>
        </w:rPr>
        <w:t>Source: committed fund_returns.csv. Historical outputs only.</w:t>
      </w:r>
    </w:p>
    <w:p>
      <w:r>
        <w:br w:type="page"/>
      </w:r>
    </w:p>
    <w:p>
      <w:pPr>
        <w:keepNext/>
        <w:spacing w:before="40" w:after="0"/>
        <w:jc w:val="center"/>
      </w:pPr>
      <w:r>
        <w:drawing>
          <wp:inline xmlns:a="http://schemas.openxmlformats.org/drawingml/2006/main" xmlns:pic="http://schemas.openxmlformats.org/drawingml/2006/picture">
            <wp:extent cx="6172200" cy="3381460"/>
            <wp:docPr id="8" name="Picture 8" title="report_selected_drawdown" descr="Figure 3. Net drawdown for representative Risk Parity funds and the fixed sentiment overlay."/>
            <wp:cNvGraphicFramePr>
              <a:graphicFrameLocks noChangeAspect="1"/>
            </wp:cNvGraphicFramePr>
            <a:graphic>
              <a:graphicData uri="http://schemas.openxmlformats.org/drawingml/2006/picture">
                <pic:pic>
                  <pic:nvPicPr>
                    <pic:cNvPr id="0" name="report_selected_drawdown.png"/>
                    <pic:cNvPicPr/>
                  </pic:nvPicPr>
                  <pic:blipFill>
                    <a:blip r:embed="rId21"/>
                    <a:stretch>
                      <a:fillRect/>
                    </a:stretch>
                  </pic:blipFill>
                  <pic:spPr>
                    <a:xfrm>
                      <a:off x="0" y="0"/>
                      <a:ext cx="6172200" cy="3381460"/>
                    </a:xfrm>
                    <a:prstGeom prst="rect"/>
                  </pic:spPr>
                </pic:pic>
              </a:graphicData>
            </a:graphic>
          </wp:inline>
        </w:drawing>
      </w:r>
    </w:p>
    <w:p>
      <w:pPr>
        <w:pStyle w:val="Caption"/>
        <w:jc w:val="center"/>
      </w:pPr>
      <w:r>
        <w:rPr>
          <w:rFonts w:ascii="Calibri" w:hAnsi="Calibri" w:eastAsia="Calibri"/>
          <w:color w:val="17324D"/>
          <w:sz w:val="16"/>
        </w:rPr>
        <w:t>Figure 3. Net drawdown for representative Risk Parity funds and the fixed sentiment overlay.</w:t>
      </w:r>
    </w:p>
    <w:p>
      <w:pPr>
        <w:pStyle w:val="SourceNote"/>
        <w:jc w:val="center"/>
      </w:pPr>
      <w:r>
        <w:rPr>
          <w:rFonts w:ascii="Calibri" w:hAnsi="Calibri" w:eastAsia="Calibri"/>
          <w:color w:val="66788A"/>
          <w:sz w:val="14"/>
        </w:rPr>
        <w:t>Source: committed fund_returns.csv. Historical outputs only.</w:t>
      </w:r>
    </w:p>
    <w:p>
      <w:r>
        <w:br w:type="page"/>
      </w:r>
    </w:p>
    <w:p>
      <w:pPr>
        <w:keepNext/>
        <w:spacing w:before="40" w:after="0"/>
        <w:jc w:val="center"/>
      </w:pPr>
      <w:r>
        <w:drawing>
          <wp:inline xmlns:a="http://schemas.openxmlformats.org/drawingml/2006/main" xmlns:pic="http://schemas.openxmlformats.org/drawingml/2006/picture">
            <wp:extent cx="6172200" cy="3811772"/>
            <wp:docPr id="9" name="Picture 9" title="report_equity_weights_over_time" descr="Figure 4. Equity target weights through time by method."/>
            <wp:cNvGraphicFramePr>
              <a:graphicFrameLocks noChangeAspect="1"/>
            </wp:cNvGraphicFramePr>
            <a:graphic>
              <a:graphicData uri="http://schemas.openxmlformats.org/drawingml/2006/picture">
                <pic:pic>
                  <pic:nvPicPr>
                    <pic:cNvPr id="0" name="report_equity_weights_over_time.png"/>
                    <pic:cNvPicPr/>
                  </pic:nvPicPr>
                  <pic:blipFill>
                    <a:blip r:embed="rId22"/>
                    <a:stretch>
                      <a:fillRect/>
                    </a:stretch>
                  </pic:blipFill>
                  <pic:spPr>
                    <a:xfrm>
                      <a:off x="0" y="0"/>
                      <a:ext cx="6172200" cy="3811772"/>
                    </a:xfrm>
                    <a:prstGeom prst="rect"/>
                  </pic:spPr>
                </pic:pic>
              </a:graphicData>
            </a:graphic>
          </wp:inline>
        </w:drawing>
      </w:r>
    </w:p>
    <w:p>
      <w:pPr>
        <w:pStyle w:val="Caption"/>
        <w:jc w:val="center"/>
      </w:pPr>
      <w:r>
        <w:rPr>
          <w:rFonts w:ascii="Calibri" w:hAnsi="Calibri" w:eastAsia="Calibri"/>
          <w:color w:val="17324D"/>
          <w:sz w:val="16"/>
        </w:rPr>
        <w:t>Figure 4. Equity target weights through time by method.</w:t>
      </w:r>
    </w:p>
    <w:p>
      <w:pPr>
        <w:pStyle w:val="SourceNote"/>
        <w:jc w:val="center"/>
      </w:pPr>
      <w:r>
        <w:rPr>
          <w:rFonts w:ascii="Calibri" w:hAnsi="Calibri" w:eastAsia="Calibri"/>
          <w:color w:val="66788A"/>
          <w:sz w:val="14"/>
        </w:rPr>
        <w:t>Source: committed fund_weights.csv. Historical outputs only.</w:t>
      </w:r>
    </w:p>
    <w:p>
      <w:pPr>
        <w:sectPr>
          <w:footerReference w:type="default" r:id="rId19"/>
          <w:pgSz w:w="11906" w:h="16838"/>
          <w:pgMar w:top="850" w:right="907" w:bottom="850" w:left="907" w:header="454" w:footer="454" w:gutter="0"/>
          <w:cols w:space="720"/>
          <w:docGrid w:linePitch="360"/>
        </w:sectPr>
      </w:pPr>
    </w:p>
    <w:p>
      <w:pPr>
        <w:pStyle w:val="Heading1"/>
        <w:spacing w:before="0"/>
      </w:pPr>
      <w:r>
        <w:rPr>
          <w:rFonts w:ascii="Calibri" w:hAnsi="Calibri" w:eastAsia="Calibri"/>
          <w:color w:val="2F6B9A"/>
          <w:sz w:val="30"/>
        </w:rPr>
        <w:t>Appendix C | Fusion evidence</w:t>
      </w:r>
    </w:p>
    <w:p>
      <w:pPr>
        <w:keepNext/>
        <w:spacing w:before="40" w:after="0"/>
        <w:jc w:val="center"/>
      </w:pPr>
      <w:r>
        <w:drawing>
          <wp:inline xmlns:a="http://schemas.openxmlformats.org/drawingml/2006/main" xmlns:pic="http://schemas.openxmlformats.org/drawingml/2006/picture">
            <wp:extent cx="6172200" cy="3260075"/>
            <wp:docPr id="10" name="Picture 10" title="fusion_drawdown" descr="Figure 9. Net drawdown for base and fixed sentiment-augmented Equity Risk Parity."/>
            <wp:cNvGraphicFramePr>
              <a:graphicFrameLocks noChangeAspect="1"/>
            </wp:cNvGraphicFramePr>
            <a:graphic>
              <a:graphicData uri="http://schemas.openxmlformats.org/drawingml/2006/picture">
                <pic:pic>
                  <pic:nvPicPr>
                    <pic:cNvPr id="0" name="fusion_drawdown.png"/>
                    <pic:cNvPicPr/>
                  </pic:nvPicPr>
                  <pic:blipFill>
                    <a:blip r:embed="rId24"/>
                    <a:stretch>
                      <a:fillRect/>
                    </a:stretch>
                  </pic:blipFill>
                  <pic:spPr>
                    <a:xfrm>
                      <a:off x="0" y="0"/>
                      <a:ext cx="6172200" cy="3260075"/>
                    </a:xfrm>
                    <a:prstGeom prst="rect"/>
                  </pic:spPr>
                </pic:pic>
              </a:graphicData>
            </a:graphic>
          </wp:inline>
        </w:drawing>
      </w:r>
    </w:p>
    <w:p>
      <w:pPr>
        <w:pStyle w:val="Caption"/>
        <w:jc w:val="center"/>
      </w:pPr>
      <w:r>
        <w:rPr>
          <w:rFonts w:ascii="Calibri" w:hAnsi="Calibri" w:eastAsia="Calibri"/>
          <w:color w:val="17324D"/>
          <w:sz w:val="16"/>
        </w:rPr>
        <w:t>Figure 9. Net drawdown for base and fixed sentiment-augmented Equity Risk Parity.</w:t>
      </w:r>
    </w:p>
    <w:p>
      <w:pPr>
        <w:pStyle w:val="SourceNote"/>
        <w:jc w:val="center"/>
      </w:pPr>
      <w:r>
        <w:rPr>
          <w:rFonts w:ascii="Calibri" w:hAnsi="Calibri" w:eastAsia="Calibri"/>
          <w:color w:val="66788A"/>
          <w:sz w:val="14"/>
        </w:rPr>
        <w:t>Source: committed fund_returns.csv; fusion_comparison.csv. Historical outputs only.</w:t>
      </w:r>
    </w:p>
    <w:p>
      <w:r>
        <w:br w:type="page"/>
      </w:r>
    </w:p>
    <w:p>
      <w:pPr>
        <w:keepNext/>
        <w:spacing w:before="40" w:after="0"/>
        <w:jc w:val="center"/>
      </w:pPr>
      <w:r>
        <w:drawing>
          <wp:inline xmlns:a="http://schemas.openxmlformats.org/drawingml/2006/main" xmlns:pic="http://schemas.openxmlformats.org/drawingml/2006/picture">
            <wp:extent cx="6172200" cy="3432420"/>
            <wp:docPr id="11" name="Picture 11" title="fusion_sector_multiplier_activity" descr="Figure 10. Sector multiplier activity under the fixed fusion rule."/>
            <wp:cNvGraphicFramePr>
              <a:graphicFrameLocks noChangeAspect="1"/>
            </wp:cNvGraphicFramePr>
            <a:graphic>
              <a:graphicData uri="http://schemas.openxmlformats.org/drawingml/2006/picture">
                <pic:pic>
                  <pic:nvPicPr>
                    <pic:cNvPr id="0" name="fusion_sector_multiplier_activity.png"/>
                    <pic:cNvPicPr/>
                  </pic:nvPicPr>
                  <pic:blipFill>
                    <a:blip r:embed="rId25"/>
                    <a:stretch>
                      <a:fillRect/>
                    </a:stretch>
                  </pic:blipFill>
                  <pic:spPr>
                    <a:xfrm>
                      <a:off x="0" y="0"/>
                      <a:ext cx="6172200" cy="3432420"/>
                    </a:xfrm>
                    <a:prstGeom prst="rect"/>
                  </pic:spPr>
                </pic:pic>
              </a:graphicData>
            </a:graphic>
          </wp:inline>
        </w:drawing>
      </w:r>
    </w:p>
    <w:p>
      <w:pPr>
        <w:pStyle w:val="Caption"/>
        <w:jc w:val="center"/>
      </w:pPr>
      <w:r>
        <w:rPr>
          <w:rFonts w:ascii="Calibri" w:hAnsi="Calibri" w:eastAsia="Calibri"/>
          <w:color w:val="17324D"/>
          <w:sz w:val="16"/>
        </w:rPr>
        <w:t>Figure 10. Sector multiplier activity under the fixed fusion rule.</w:t>
      </w:r>
    </w:p>
    <w:p>
      <w:pPr>
        <w:pStyle w:val="SourceNote"/>
        <w:jc w:val="center"/>
      </w:pPr>
      <w:r>
        <w:rPr>
          <w:rFonts w:ascii="Calibri" w:hAnsi="Calibri" w:eastAsia="Calibri"/>
          <w:color w:val="66788A"/>
          <w:sz w:val="14"/>
        </w:rPr>
        <w:t>Source: committed fusion_sector_multipliers.csv. Historical outputs only.</w:t>
      </w:r>
    </w:p>
    <w:p>
      <w:r>
        <w:br w:type="page"/>
      </w:r>
    </w:p>
    <w:p>
      <w:pPr>
        <w:keepNext/>
        <w:spacing w:before="40" w:after="0"/>
        <w:jc w:val="center"/>
      </w:pPr>
      <w:r>
        <w:drawing>
          <wp:inline xmlns:a="http://schemas.openxmlformats.org/drawingml/2006/main" xmlns:pic="http://schemas.openxmlformats.org/drawingml/2006/picture">
            <wp:extent cx="5989320" cy="3726215"/>
            <wp:docPr id="12" name="Picture 12" title="report_fusion_latest_weight_changes" descr="Figure 11. Largest latest target-weight changes from the fixed overlay, effective 2023-12-01."/>
            <wp:cNvGraphicFramePr>
              <a:graphicFrameLocks noChangeAspect="1"/>
            </wp:cNvGraphicFramePr>
            <a:graphic>
              <a:graphicData uri="http://schemas.openxmlformats.org/drawingml/2006/picture">
                <pic:pic>
                  <pic:nvPicPr>
                    <pic:cNvPr id="0" name="report_fusion_latest_weight_changes.png"/>
                    <pic:cNvPicPr/>
                  </pic:nvPicPr>
                  <pic:blipFill>
                    <a:blip r:embed="rId26"/>
                    <a:stretch>
                      <a:fillRect/>
                    </a:stretch>
                  </pic:blipFill>
                  <pic:spPr>
                    <a:xfrm>
                      <a:off x="0" y="0"/>
                      <a:ext cx="5989320" cy="3726215"/>
                    </a:xfrm>
                    <a:prstGeom prst="rect"/>
                  </pic:spPr>
                </pic:pic>
              </a:graphicData>
            </a:graphic>
          </wp:inline>
        </w:drawing>
      </w:r>
    </w:p>
    <w:p>
      <w:pPr>
        <w:pStyle w:val="Caption"/>
        <w:jc w:val="center"/>
      </w:pPr>
      <w:r>
        <w:rPr>
          <w:rFonts w:ascii="Calibri" w:hAnsi="Calibri" w:eastAsia="Calibri"/>
          <w:color w:val="17324D"/>
          <w:sz w:val="16"/>
        </w:rPr>
        <w:t>Figure 11. Largest latest target-weight changes from the fixed overlay, effective 2023-12-01.</w:t>
      </w:r>
    </w:p>
    <w:p>
      <w:pPr>
        <w:pStyle w:val="SourceNote"/>
        <w:jc w:val="center"/>
      </w:pPr>
      <w:r>
        <w:rPr>
          <w:rFonts w:ascii="Calibri" w:hAnsi="Calibri" w:eastAsia="Calibri"/>
          <w:color w:val="66788A"/>
          <w:sz w:val="14"/>
        </w:rPr>
        <w:t>Source: committed fusion_current_holdings.csv. Historical outputs only.</w:t>
      </w:r>
    </w:p>
    <w:p>
      <w:pPr>
        <w:sectPr>
          <w:footerReference w:type="default" r:id="rId23"/>
          <w:pgSz w:w="11906" w:h="16838"/>
          <w:pgMar w:top="850" w:right="907" w:bottom="850" w:left="907" w:header="454" w:footer="454" w:gutter="0"/>
          <w:cols w:space="720"/>
          <w:docGrid w:linePitch="360"/>
        </w:sectPr>
      </w:pPr>
    </w:p>
    <w:p>
      <w:pPr>
        <w:pStyle w:val="Heading1"/>
        <w:spacing w:before="0"/>
      </w:pPr>
      <w:r>
        <w:rPr>
          <w:rFonts w:ascii="Calibri" w:hAnsi="Calibri" w:eastAsia="Calibri"/>
          <w:color w:val="2F6B9A"/>
          <w:sz w:val="30"/>
        </w:rPr>
        <w:t>Appendix D | Allocation evidence</w:t>
      </w:r>
    </w:p>
    <w:p>
      <w:pPr>
        <w:keepNext/>
        <w:spacing w:before="40" w:after="0"/>
        <w:jc w:val="center"/>
      </w:pPr>
      <w:r>
        <w:drawing>
          <wp:inline xmlns:a="http://schemas.openxmlformats.org/drawingml/2006/main" xmlns:pic="http://schemas.openxmlformats.org/drawingml/2006/picture">
            <wp:extent cx="6126480" cy="3835900"/>
            <wp:docPr id="13" name="Picture 13" title="report_allocation_example" descr="Figure 12. Illustrative equal-weight four-fund allocation over the common OOS period."/>
            <wp:cNvGraphicFramePr>
              <a:graphicFrameLocks noChangeAspect="1"/>
            </wp:cNvGraphicFramePr>
            <a:graphic>
              <a:graphicData uri="http://schemas.openxmlformats.org/drawingml/2006/picture">
                <pic:pic>
                  <pic:nvPicPr>
                    <pic:cNvPr id="0" name="report_allocation_example.png"/>
                    <pic:cNvPicPr/>
                  </pic:nvPicPr>
                  <pic:blipFill>
                    <a:blip r:embed="rId28"/>
                    <a:stretch>
                      <a:fillRect/>
                    </a:stretch>
                  </pic:blipFill>
                  <pic:spPr>
                    <a:xfrm>
                      <a:off x="0" y="0"/>
                      <a:ext cx="6126480" cy="3835900"/>
                    </a:xfrm>
                    <a:prstGeom prst="rect"/>
                  </pic:spPr>
                </pic:pic>
              </a:graphicData>
            </a:graphic>
          </wp:inline>
        </w:drawing>
      </w:r>
    </w:p>
    <w:p>
      <w:pPr>
        <w:pStyle w:val="Caption"/>
        <w:jc w:val="center"/>
      </w:pPr>
      <w:r>
        <w:rPr>
          <w:rFonts w:ascii="Calibri" w:hAnsi="Calibri" w:eastAsia="Calibri"/>
          <w:color w:val="17324D"/>
          <w:sz w:val="16"/>
        </w:rPr>
        <w:t>Figure 12. Illustrative equal-weight four-fund allocation over the common OOS period.</w:t>
      </w:r>
    </w:p>
    <w:p>
      <w:pPr>
        <w:pStyle w:val="SourceNote"/>
        <w:jc w:val="center"/>
      </w:pPr>
      <w:r>
        <w:rPr>
          <w:rFonts w:ascii="Calibri" w:hAnsi="Calibri" w:eastAsia="Calibri"/>
          <w:color w:val="66788A"/>
          <w:sz w:val="14"/>
        </w:rPr>
        <w:t>Source: committed fund_returns.csv via app_utils.py. Historical outputs only.</w:t>
      </w:r>
    </w:p>
    <w:p>
      <w:pPr>
        <w:pStyle w:val="Caption"/>
      </w:pPr>
      <w:r>
        <w:rPr>
          <w:rFonts w:ascii="Calibri" w:hAnsi="Calibri" w:eastAsia="Calibri"/>
          <w:color w:val="17324D"/>
          <w:sz w:val="17"/>
        </w:rPr>
        <w:t>Appendix Table D1. Illustrative allocation weights</w:t>
      </w:r>
    </w:p>
    <w:tbl>
      <w:tblPr>
        <w:tblStyle w:val="TableGrid"/>
        <w:tblW w:type="dxa" w:w="10080"/>
        <w:jc w:val="left"/>
        <w:tblLayout w:type="fixed"/>
        <w:tblLook w:firstColumn="1" w:firstRow="1" w:lastColumn="0" w:lastRow="0" w:noHBand="0" w:noVBand="1" w:val="04A0"/>
        <w:tblInd w:type="dxa" w:w="120"/>
        <w:tblBorders>
          <w:top w:val="single" w:sz="4" w:color="D7E0E8"/>
          <w:left w:val="single" w:sz="4" w:color="D7E0E8"/>
          <w:bottom w:val="single" w:sz="4" w:color="D7E0E8"/>
          <w:right w:val="single" w:sz="4" w:color="D7E0E8"/>
          <w:insideH w:val="single" w:sz="4" w:color="D7E0E8"/>
          <w:insideV w:val="single" w:sz="4" w:color="D7E0E8"/>
        </w:tblBorders>
      </w:tblPr>
      <w:tblGrid>
        <w:gridCol w:w="3360"/>
        <w:gridCol w:w="3360"/>
        <w:gridCol w:w="3360"/>
      </w:tblGrid>
      <w:tr>
        <w:trPr>
          <w:tblHeader w:val="true"/>
        </w:trPr>
        <w:tc>
          <w:tcPr>
            <w:tcW w:type="dxa" w:w="3360"/>
            <w:shd w:fill="17324D"/>
            <w:tcMar>
              <w:top w:w="80" w:type="dxa"/>
              <w:start w:w="120" w:type="dxa"/>
              <w:bottom w:w="80" w:type="dxa"/>
              <w:end w:w="120" w:type="dxa"/>
            </w:tcMar>
            <w:vAlign w:val="center"/>
          </w:tcPr>
          <w:p>
            <w:pPr>
              <w:jc w:val="center"/>
            </w:pPr>
            <w:r/>
            <w:r>
              <w:rPr>
                <w:rFonts w:ascii="Calibri" w:hAnsi="Calibri" w:eastAsia="Calibri"/>
                <w:b/>
                <w:color w:val="FFFFFF"/>
                <w:sz w:val="14"/>
              </w:rPr>
              <w:t>Fund Id</w:t>
            </w:r>
          </w:p>
        </w:tc>
        <w:tc>
          <w:tcPr>
            <w:tcW w:type="dxa" w:w="3360"/>
            <w:shd w:fill="17324D"/>
            <w:tcMar>
              <w:top w:w="80" w:type="dxa"/>
              <w:start w:w="120" w:type="dxa"/>
              <w:bottom w:w="80" w:type="dxa"/>
              <w:end w:w="120" w:type="dxa"/>
            </w:tcMar>
            <w:vAlign w:val="center"/>
          </w:tcPr>
          <w:p>
            <w:pPr>
              <w:jc w:val="center"/>
            </w:pPr>
            <w:r/>
            <w:r>
              <w:rPr>
                <w:rFonts w:ascii="Calibri" w:hAnsi="Calibri" w:eastAsia="Calibri"/>
                <w:b/>
                <w:color w:val="FFFFFF"/>
                <w:sz w:val="14"/>
              </w:rPr>
              <w:t>Display Name</w:t>
            </w:r>
          </w:p>
        </w:tc>
        <w:tc>
          <w:tcPr>
            <w:tcW w:type="dxa" w:w="3360"/>
            <w:shd w:fill="17324D"/>
            <w:tcMar>
              <w:top w:w="80" w:type="dxa"/>
              <w:start w:w="120" w:type="dxa"/>
              <w:bottom w:w="80" w:type="dxa"/>
              <w:end w:w="120" w:type="dxa"/>
            </w:tcMar>
            <w:vAlign w:val="center"/>
          </w:tcPr>
          <w:p>
            <w:pPr>
              <w:jc w:val="center"/>
            </w:pPr>
            <w:r/>
            <w:r>
              <w:rPr>
                <w:rFonts w:ascii="Calibri" w:hAnsi="Calibri" w:eastAsia="Calibri"/>
                <w:b/>
                <w:color w:val="FFFFFF"/>
                <w:sz w:val="14"/>
              </w:rPr>
              <w:t>Illustrative Weight</w:t>
            </w:r>
          </w:p>
        </w:tc>
      </w:tr>
      <w:tr>
        <w:tc>
          <w:tcPr>
            <w:tcW w:type="dxa" w:w="3360"/>
            <w:tcMar>
              <w:top w:w="80" w:type="dxa"/>
              <w:start w:w="120" w:type="dxa"/>
              <w:bottom w:w="80" w:type="dxa"/>
              <w:end w:w="120" w:type="dxa"/>
            </w:tcMar>
            <w:vAlign w:val="center"/>
          </w:tcPr>
          <w:p>
            <w:pPr>
              <w:jc w:val="left"/>
            </w:pPr>
            <w:r>
              <w:rPr>
                <w:rFonts w:ascii="Calibri" w:hAnsi="Calibri" w:eastAsia="Calibri"/>
                <w:color w:val="1F2933"/>
                <w:sz w:val="14"/>
              </w:rPr>
              <w:t>equity_risk_parity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Equity - Risk 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0.25</w:t>
            </w:r>
          </w:p>
        </w:tc>
      </w:tr>
      <w:tr>
        <w:tc>
          <w:tcPr>
            <w:tcW w:type="dxa" w:w="3360"/>
            <w:tcMar>
              <w:top w:w="80" w:type="dxa"/>
              <w:start w:w="120" w:type="dxa"/>
              <w:bottom w:w="80" w:type="dxa"/>
              <w:end w:w="120" w:type="dxa"/>
            </w:tcMar>
            <w:vAlign w:val="center"/>
          </w:tcPr>
          <w:p>
            <w:pPr>
              <w:jc w:val="left"/>
            </w:pPr>
            <w:r>
              <w:rPr>
                <w:rFonts w:ascii="Calibri" w:hAnsi="Calibri" w:eastAsia="Calibri"/>
                <w:color w:val="1F2933"/>
                <w:sz w:val="14"/>
              </w:rPr>
              <w:t>crypto_risk_parity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Crypto - Risk 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0.25</w:t>
            </w:r>
          </w:p>
        </w:tc>
      </w:tr>
      <w:tr>
        <w:tc>
          <w:tcPr>
            <w:tcW w:type="dxa" w:w="3360"/>
            <w:tcMar>
              <w:top w:w="80" w:type="dxa"/>
              <w:start w:w="120" w:type="dxa"/>
              <w:bottom w:w="80" w:type="dxa"/>
              <w:end w:w="120" w:type="dxa"/>
            </w:tcMar>
            <w:vAlign w:val="center"/>
          </w:tcPr>
          <w:p>
            <w:pPr>
              <w:jc w:val="left"/>
            </w:pPr>
            <w:r>
              <w:rPr>
                <w:rFonts w:ascii="Calibri" w:hAnsi="Calibri" w:eastAsia="Calibri"/>
                <w:color w:val="1F2933"/>
                <w:sz w:val="14"/>
              </w:rPr>
              <w:t>combined_risk_parity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Combined - Risk Parity</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0.25</w:t>
            </w:r>
          </w:p>
        </w:tc>
      </w:tr>
      <w:tr>
        <w:tc>
          <w:tcPr>
            <w:tcW w:type="dxa" w:w="3360"/>
            <w:tcMar>
              <w:top w:w="80" w:type="dxa"/>
              <w:start w:w="120" w:type="dxa"/>
              <w:bottom w:w="80" w:type="dxa"/>
              <w:end w:w="120" w:type="dxa"/>
            </w:tcMar>
            <w:vAlign w:val="center"/>
          </w:tcPr>
          <w:p>
            <w:pPr>
              <w:jc w:val="left"/>
            </w:pPr>
            <w:r>
              <w:rPr>
                <w:rFonts w:ascii="Calibri" w:hAnsi="Calibri" w:eastAsia="Calibri"/>
                <w:color w:val="1F2933"/>
                <w:sz w:val="14"/>
              </w:rPr>
              <w:t>equity_risk_parity_sentiment</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Equity - Risk Parity + Sentiment</w:t>
            </w:r>
          </w:p>
        </w:tc>
        <w:tc>
          <w:tcPr>
            <w:tcW w:type="dxa" w:w="3360"/>
            <w:tcMar>
              <w:top w:w="80" w:type="dxa"/>
              <w:start w:w="120" w:type="dxa"/>
              <w:bottom w:w="80" w:type="dxa"/>
              <w:end w:w="120" w:type="dxa"/>
            </w:tcMar>
            <w:vAlign w:val="center"/>
          </w:tcPr>
          <w:p>
            <w:pPr>
              <w:jc w:val="right"/>
            </w:pPr>
            <w:r>
              <w:rPr>
                <w:rFonts w:ascii="Calibri" w:hAnsi="Calibri" w:eastAsia="Calibri"/>
                <w:color w:val="1F2933"/>
                <w:sz w:val="14"/>
              </w:rPr>
              <w:t>0.25</w:t>
            </w:r>
          </w:p>
        </w:tc>
      </w:tr>
    </w:tbl>
    <w:p>
      <w:pPr>
        <w:pStyle w:val="SourceNote"/>
      </w:pPr>
      <w:r>
        <w:rPr>
          <w:rFonts w:ascii="Calibri" w:hAnsi="Calibri" w:eastAsia="Calibri"/>
          <w:color w:val="66788A"/>
          <w:sz w:val="14"/>
        </w:rPr>
        <w:t>Source: committed report_allocation_example_weights.csv.</w:t>
      </w:r>
    </w:p>
    <w:p>
      <w:r>
        <w:br w:type="page"/>
      </w:r>
    </w:p>
    <w:p>
      <w:pPr>
        <w:pStyle w:val="Caption"/>
      </w:pPr>
      <w:r>
        <w:rPr>
          <w:rFonts w:ascii="Calibri" w:hAnsi="Calibri" w:eastAsia="Calibri"/>
          <w:color w:val="17324D"/>
          <w:sz w:val="17"/>
        </w:rPr>
        <w:t>Appendix Table D2. Illustrative allocation metrics</w:t>
      </w:r>
    </w:p>
    <w:tbl>
      <w:tblPr>
        <w:tblStyle w:val="TableGrid"/>
        <w:tblW w:type="dxa" w:w="10080"/>
        <w:jc w:val="left"/>
        <w:tblLayout w:type="fixed"/>
        <w:tblLook w:firstColumn="1" w:firstRow="1" w:lastColumn="0" w:lastRow="0" w:noHBand="0" w:noVBand="1" w:val="04A0"/>
        <w:tblInd w:type="dxa" w:w="120"/>
        <w:tblBorders>
          <w:top w:val="single" w:sz="4" w:color="D7E0E8"/>
          <w:left w:val="single" w:sz="4" w:color="D7E0E8"/>
          <w:bottom w:val="single" w:sz="4" w:color="D7E0E8"/>
          <w:right w:val="single" w:sz="4" w:color="D7E0E8"/>
          <w:insideH w:val="single" w:sz="4" w:color="D7E0E8"/>
          <w:insideV w:val="single" w:sz="4" w:color="D7E0E8"/>
        </w:tblBorders>
      </w:tblPr>
      <w:tblGrid>
        <w:gridCol w:w="5200"/>
        <w:gridCol w:w="4880"/>
      </w:tblGrid>
      <w:tr>
        <w:trPr>
          <w:tblHeader w:val="true"/>
        </w:trPr>
        <w:tc>
          <w:tcPr>
            <w:tcW w:type="dxa" w:w="5200"/>
            <w:shd w:fill="17324D"/>
            <w:tcMar>
              <w:top w:w="80" w:type="dxa"/>
              <w:start w:w="120" w:type="dxa"/>
              <w:bottom w:w="80" w:type="dxa"/>
              <w:end w:w="120" w:type="dxa"/>
            </w:tcMar>
            <w:vAlign w:val="center"/>
          </w:tcPr>
          <w:p>
            <w:pPr>
              <w:jc w:val="center"/>
            </w:pPr>
            <w:r/>
            <w:r>
              <w:rPr>
                <w:rFonts w:ascii="Calibri" w:hAnsi="Calibri" w:eastAsia="Calibri"/>
                <w:b/>
                <w:color w:val="FFFFFF"/>
                <w:sz w:val="14"/>
              </w:rPr>
              <w:t>Metric</w:t>
            </w:r>
          </w:p>
        </w:tc>
        <w:tc>
          <w:tcPr>
            <w:tcW w:type="dxa" w:w="4880"/>
            <w:shd w:fill="17324D"/>
            <w:tcMar>
              <w:top w:w="80" w:type="dxa"/>
              <w:start w:w="120" w:type="dxa"/>
              <w:bottom w:w="80" w:type="dxa"/>
              <w:end w:w="120" w:type="dxa"/>
            </w:tcMar>
            <w:vAlign w:val="center"/>
          </w:tcPr>
          <w:p>
            <w:pPr>
              <w:jc w:val="center"/>
            </w:pPr>
            <w:r/>
            <w:r>
              <w:rPr>
                <w:rFonts w:ascii="Calibri" w:hAnsi="Calibri" w:eastAsia="Calibri"/>
                <w:b/>
                <w:color w:val="FFFFFF"/>
                <w:sz w:val="14"/>
              </w:rPr>
              <w:t>Value</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Simulation</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Illustrative equal-weight four-fund allocation</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Method</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Buy &amp; Hold</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Common First Date</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2021-01-04</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Common Last Date</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2023-12-29</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Observations</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753</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Periods Per Year</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252</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Excluded Nonfinite Dates</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Cumulative Return</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0.3313467147</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Annualised Return</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0.1493763267</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Annualised Volatility</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0.3259476117</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Sharpe</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0.4582832373</w:t>
            </w:r>
          </w:p>
        </w:tc>
      </w:tr>
      <w:tr>
        <w:tc>
          <w:tcPr>
            <w:tcW w:type="dxa" w:w="5200"/>
            <w:tcMar>
              <w:top w:w="80" w:type="dxa"/>
              <w:start w:w="120" w:type="dxa"/>
              <w:bottom w:w="80" w:type="dxa"/>
              <w:end w:w="120" w:type="dxa"/>
            </w:tcMar>
            <w:vAlign w:val="center"/>
          </w:tcPr>
          <w:p>
            <w:pPr>
              <w:jc w:val="left"/>
            </w:pPr>
            <w:r>
              <w:rPr>
                <w:rFonts w:ascii="Calibri" w:hAnsi="Calibri" w:eastAsia="Calibri"/>
                <w:color w:val="1F2933"/>
                <w:sz w:val="14"/>
              </w:rPr>
              <w:t>Max Drawdown</w:t>
            </w:r>
          </w:p>
        </w:tc>
        <w:tc>
          <w:tcPr>
            <w:tcW w:type="dxa" w:w="4880"/>
            <w:tcMar>
              <w:top w:w="80" w:type="dxa"/>
              <w:start w:w="120" w:type="dxa"/>
              <w:bottom w:w="80" w:type="dxa"/>
              <w:end w:w="120" w:type="dxa"/>
            </w:tcMar>
            <w:vAlign w:val="center"/>
          </w:tcPr>
          <w:p>
            <w:pPr>
              <w:jc w:val="right"/>
            </w:pPr>
            <w:r>
              <w:rPr>
                <w:rFonts w:ascii="Calibri" w:hAnsi="Calibri" w:eastAsia="Calibri"/>
                <w:color w:val="1F2933"/>
                <w:sz w:val="14"/>
              </w:rPr>
              <w:t>-0.5059418559</w:t>
            </w:r>
          </w:p>
        </w:tc>
      </w:tr>
    </w:tbl>
    <w:p>
      <w:pPr>
        <w:pStyle w:val="SourceNote"/>
      </w:pPr>
      <w:r>
        <w:rPr>
          <w:rFonts w:ascii="Calibri" w:hAnsi="Calibri" w:eastAsia="Calibri"/>
          <w:color w:val="66788A"/>
          <w:sz w:val="14"/>
        </w:rPr>
        <w:t>Source: committed report_allocation_example_metrics.csv.</w:t>
      </w:r>
    </w:p>
    <w:sectPr w:rsidR="00FC693F" w:rsidRPr="0006063C" w:rsidSect="00034616">
      <w:footerReference w:type="default" r:id="rId27"/>
      <w:pgSz w:w="11906" w:h="16838"/>
      <w:pgMar w:top="850" w:right="907" w:bottom="850"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66788A"/>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50" w:line="250"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F6B9A"/>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F6B9A"/>
      <w:sz w:val="24"/>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50" w:lineRule="auto"/>
      <w:ind w:left="605" w:hanging="288"/>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6" w:line="250" w:lineRule="auto"/>
      <w:ind w:left="605" w:hanging="288"/>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40" w:after="20"/>
    </w:pPr>
    <w:rPr>
      <w:rFonts w:ascii="Calibri" w:hAnsi="Calibri"/>
      <w:b/>
      <w:bCs/>
      <w:i w:val="0"/>
      <w:color w:val="17324D"/>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keepLines/>
      <w:spacing w:before="20" w:after="60"/>
    </w:pPr>
    <w:rPr>
      <w:rFonts w:ascii="Calibri" w:hAnsi="Calibri"/>
      <w:i/>
      <w:color w:val="66788A"/>
      <w:sz w:val="14"/>
    </w:rPr>
  </w:style>
  <w:style w:type="paragraph" w:customStyle="1" w:styleId="ExhibitNote">
    <w:name w:val="Exhibit Note"/>
    <w:pPr>
      <w:spacing w:after="50"/>
      <w:ind w:left="259"/>
    </w:pPr>
    <w:rPr>
      <w:rFonts w:ascii="Calibri" w:hAnsi="Calibri"/>
      <w:i/>
      <w:color w:val="66788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footer" Target="footer4.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footer" Target="footer5.xm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footer" Target="footer6.xml"/><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footer" Target="footer7.xml"/><Relationship Id="rId2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Cross-Asset Allocation Lens — FINS5545 Project B Final Report</dc:title>
  <dc:subject>Systematic multi-asset funds with news-sentiment analytics</dc:subject>
  <dc:creator/>
  <cp:keywords>FINS5545, Project B, out-of-sample, portfolio, sentiment, Streamlit</cp:keywords>
  <dc:description>generated by python-docx</dc:description>
  <cp:lastModifiedBy/>
  <cp:revision>1</cp:revision>
  <dcterms:created xsi:type="dcterms:W3CDTF">2013-12-23T23:15:00Z</dcterms:created>
  <dcterms:modified xsi:type="dcterms:W3CDTF">2013-12-23T23:15:00Z</dcterms:modified>
  <cp:category/>
</cp:coreProperties>
</file>