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A5D46"/>
          <w:sz w:val="24"/>
        </w:rPr>
        <w:t>THE GREEN ENTREPRENEUR (TGE)</w:t>
      </w:r>
    </w:p>
    <w:p>
      <w:pPr>
        <w:pStyle w:val="Title"/>
        <w:jc w:val="center"/>
      </w:pPr>
      <w:r>
        <w:t>Environment Configuration Plan</w:t>
      </w:r>
    </w:p>
    <w:p>
      <w:pPr>
        <w:jc w:val="center"/>
      </w:pPr>
      <w:r>
        <w:rPr>
          <w:b/>
        </w:rPr>
        <w:t>TGE-006 — Plan 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</w:tcPr>
          <w:p>
            <w:r>
              <w:t>The Green Entrepreneur (TGE) Management System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968"/>
          </w:tcPr>
          <w:p>
            <w:r>
              <w:t>Record the environment configuration approach based on repository review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Draft prepared; pending team agreement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968"/>
          </w:tcPr>
          <w:p>
            <w:r>
              <w:t>TGE-001 — Verify the Existing GitHub Repository; TGE-002 — Confirm the Monorepo Structure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968"/>
          </w:tcPr>
          <w:p>
            <w:r>
              <w:t>Planning only; no configuration files are changed by this task</w:t>
            </w:r>
          </w:p>
        </w:tc>
      </w:tr>
    </w:tbl>
    <w:p>
      <w:pPr>
        <w:pStyle w:val="Heading1"/>
      </w:pPr>
      <w:r>
        <w:t>1. Objective</w:t>
      </w:r>
    </w:p>
    <w:p>
      <w:r>
        <w:t>Agree on how development environments and configuration variables will be managed securely and consistently across the TGE frontend, backend, database, testing, and deployment environments.</w:t>
      </w:r>
    </w:p>
    <w:p>
      <w:r>
        <w:t>This plan records the approach based on the repository review. It is not an instruction to make code or configuration changes immediately.</w:t>
      </w:r>
    </w:p>
    <w:p>
      <w:pPr>
        <w:pStyle w:val="Heading1"/>
      </w:pPr>
      <w:r>
        <w:t>2. Repository Review Findings</w:t>
      </w:r>
    </w:p>
    <w:p>
      <w:pPr>
        <w:pStyle w:val="ListBullet"/>
      </w:pPr>
      <w:r>
        <w:t>The repository contains a Next.js frontend under client/, an Express/TypeScript backend under server/, and a Prisma/PostgreSQL configuration under database/.</w:t>
      </w:r>
    </w:p>
    <w:p>
      <w:pPr>
        <w:pStyle w:val="ListBullet"/>
      </w:pPr>
      <w:r>
        <w:t>server/src/server.ts calls dotenv.config() and reads PORT, with a default of 4000, and CLIENT_URL, with a default of http://localhost:3000.</w:t>
      </w:r>
    </w:p>
    <w:p>
      <w:pPr>
        <w:pStyle w:val="ListBullet"/>
      </w:pPr>
      <w:r>
        <w:t>database/prisma7.config.ts imports dotenv/config and reads DATABASE_URL.</w:t>
      </w:r>
    </w:p>
    <w:p>
      <w:pPr>
        <w:pStyle w:val="ListBullet"/>
      </w:pPr>
      <w:r>
        <w:t>Git check-ignore confirms that database/.env is ignored by database/.gitignore.</w:t>
      </w:r>
    </w:p>
    <w:p>
      <w:pPr>
        <w:pStyle w:val="ListBullet"/>
      </w:pPr>
      <w:r>
        <w:t>The root .gitignore excludes node_modules/, .next/, dist/, .env, and .env.* and allows .env.example files.</w:t>
      </w:r>
    </w:p>
    <w:p>
      <w:pPr>
        <w:pStyle w:val="ListBullet"/>
      </w:pPr>
      <w:r>
        <w:t>The frontend source search did not identify current API URL or NEXT_PUBLIC_ environment-variable references. This may change when API integration is implemented.</w:t>
      </w:r>
    </w:p>
    <w:p>
      <w:pPr>
        <w:pStyle w:val="ListBullet"/>
      </w:pPr>
      <w:r>
        <w:t>The file search found client/.gitignore, database/.gitignore, and database/.env. It did not show a server/.env or .env.example file in client/, server/, or database/.</w:t>
      </w:r>
    </w:p>
    <w:p>
      <w:pPr>
        <w:pStyle w:val="ListBullet"/>
      </w:pPr>
      <w:r>
        <w:t>The contents of database/.env were not inspected. This review therefore does not verify its values or confirm that no secret was previously committed.</w:t>
      </w:r>
    </w:p>
    <w:p>
      <w:pPr>
        <w:pStyle w:val="Heading1"/>
      </w:pPr>
      <w:r>
        <w:t>3. Configuration Variables Identified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 and handling</w:t>
            </w:r>
          </w:p>
        </w:tc>
      </w:tr>
      <w:tr>
        <w:tc>
          <w:tcPr>
            <w:tcW w:type="dxa" w:w="3312"/>
          </w:tcPr>
          <w:p>
            <w:r>
              <w:t>PORT</w:t>
            </w:r>
          </w:p>
        </w:tc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Optional HTTP port; current fallback is 4000.</w:t>
            </w:r>
          </w:p>
        </w:tc>
      </w:tr>
      <w:tr>
        <w:tc>
          <w:tcPr>
            <w:tcW w:type="dxa" w:w="3312"/>
          </w:tcPr>
          <w:p>
            <w:r>
              <w:t>CLIENT_URL</w:t>
            </w:r>
          </w:p>
        </w:tc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Allowed frontend origin for CORS; current fallback is http://localhost:3000.</w:t>
            </w:r>
          </w:p>
        </w:tc>
      </w:tr>
      <w:tr>
        <w:tc>
          <w:tcPr>
            <w:tcW w:type="dxa" w:w="3312"/>
          </w:tcPr>
          <w:p>
            <w:r>
              <w:t>DATABASE_URL</w:t>
            </w:r>
          </w:p>
        </w:tc>
        <w:tc>
          <w:tcPr>
            <w:tcW w:type="dxa" w:w="3312"/>
          </w:tcPr>
          <w:p>
            <w:r>
              <w:t>Database / Prisma</w:t>
            </w:r>
          </w:p>
        </w:tc>
        <w:tc>
          <w:tcPr>
            <w:tcW w:type="dxa" w:w="3312"/>
          </w:tcPr>
          <w:p>
            <w:r>
              <w:t>PostgreSQL connection URL read by Prisma configuration; treat it as secret if it contains credentials.</w:t>
            </w:r>
          </w:p>
        </w:tc>
      </w:tr>
      <w:tr>
        <w:tc>
          <w:tcPr>
            <w:tcW w:type="dxa" w:w="3312"/>
          </w:tcPr>
          <w:p>
            <w:r>
              <w:t>Frontend API URL</w:t>
            </w:r>
          </w:p>
        </w:tc>
        <w:tc>
          <w:tcPr>
            <w:tcW w:type="dxa" w:w="3312"/>
          </w:tcPr>
          <w:p>
            <w:r>
              <w:t>Frontend, when needed</w:t>
            </w:r>
          </w:p>
        </w:tc>
        <w:tc>
          <w:tcPr>
            <w:tcW w:type="dxa" w:w="3312"/>
          </w:tcPr>
          <w:p>
            <w:r>
              <w:t>No current reference was identified in inspected frontend source. Define only when API integration requires it.</w:t>
            </w:r>
          </w:p>
        </w:tc>
      </w:tr>
      <w:tr>
        <w:tc>
          <w:tcPr>
            <w:tcW w:type="dxa" w:w="3312"/>
          </w:tcPr>
          <w:p>
            <w:r>
              <w:t>Authentication/service secrets</w:t>
            </w:r>
          </w:p>
        </w:tc>
        <w:tc>
          <w:tcPr>
            <w:tcW w:type="dxa" w:w="3312"/>
          </w:tcPr>
          <w:p>
            <w:r>
              <w:t>Backend, when needed</w:t>
            </w:r>
          </w:p>
        </w:tc>
        <w:tc>
          <w:tcPr>
            <w:tcW w:type="dxa" w:w="3312"/>
          </w:tcPr>
          <w:p>
            <w:r>
              <w:t>Confirm exact variable names from implemented authentication and service code; do not invent names or commit values.</w:t>
            </w:r>
          </w:p>
        </w:tc>
      </w:tr>
    </w:tbl>
    <w:p>
      <w:pPr>
        <w:pStyle w:val="Heading1"/>
      </w:pPr>
      <w:r>
        <w:t>4. Environment Separation</w:t>
      </w:r>
    </w:p>
    <w:p>
      <w:pPr>
        <w:pStyle w:val="ListBullet"/>
      </w:pPr>
      <w:r>
        <w:t>Local development: use each developer's local configuration and an approved development database or service.</w:t>
      </w:r>
    </w:p>
    <w:p>
      <w:pPr>
        <w:pStyle w:val="ListBullet"/>
      </w:pPr>
      <w:r>
        <w:t>Testing: use a separate test database and test-specific settings; tests must not accidentally target production data.</w:t>
      </w:r>
    </w:p>
    <w:p>
      <w:pPr>
        <w:pStyle w:val="ListBullet"/>
      </w:pPr>
      <w:r>
        <w:t>Staging or deployment: configure environment-specific values through the hosting platform's environment or secret settings.</w:t>
      </w:r>
    </w:p>
    <w:p>
      <w:pPr>
        <w:pStyle w:val="ListBullet"/>
      </w:pPr>
      <w:r>
        <w:t>Production: use production-only credentials and least-privilege database access. Do not reuse development secrets by default.</w:t>
      </w:r>
    </w:p>
    <w:p>
      <w:pPr>
        <w:pStyle w:val="ListBullet"/>
      </w:pPr>
      <w:r>
        <w:t>Keep environment-specific URLs, ports, and credentials out of source code where configuration is appropriate.</w:t>
      </w:r>
    </w:p>
    <w:p>
      <w:r>
        <w:t>Values may differ between environments, while variable names and meaning should remain consistent unless a documented reason requires otherwise.</w:t>
      </w:r>
    </w:p>
    <w:p>
      <w:pPr>
        <w:pStyle w:val="Heading1"/>
      </w:pPr>
      <w:r>
        <w:t>5. Secret Handling and Git Safety</w:t>
      </w:r>
    </w:p>
    <w:p>
      <w:pPr>
        <w:pStyle w:val="ListBullet"/>
      </w:pPr>
      <w:r>
        <w:t>Never commit real passwords, API keys, private tokens, signing secrets, or database credentials.</w:t>
      </w:r>
    </w:p>
    <w:p>
      <w:pPr>
        <w:pStyle w:val="ListBullet"/>
      </w:pPr>
      <w:r>
        <w:t>Keep real local environment files excluded from Git. Preserve and review existing root and nested ignore rules when the repository layout changes.</w:t>
      </w:r>
    </w:p>
    <w:p>
      <w:pPr>
        <w:pStyle w:val="ListBullet"/>
      </w:pPr>
      <w:r>
        <w:t>Store deployed secrets in the deployment platform's environment-variable or secret-management settings, with access limited to people and services that need them.</w:t>
      </w:r>
    </w:p>
    <w:p>
      <w:pPr>
        <w:pStyle w:val="ListBullet"/>
      </w:pPr>
      <w:r>
        <w:t>Use separate credentials for local development, testing, and production.</w:t>
      </w:r>
    </w:p>
    <w:p>
      <w:pPr>
        <w:pStyle w:val="ListBullet"/>
      </w:pPr>
      <w:r>
        <w:t>If a secret is accidentally committed, revoke or rotate it and follow the team's incident procedure; removing it from the latest file alone is not sufficient.</w:t>
      </w:r>
    </w:p>
    <w:p>
      <w:pPr>
        <w:pStyle w:val="ListBullet"/>
      </w:pPr>
      <w:r>
        <w:t>Do not paste real environment-file contents into chat, tickets, logs, or pull requests.</w:t>
      </w:r>
    </w:p>
    <w:p>
      <w:pPr>
        <w:pStyle w:val="Heading1"/>
      </w:pPr>
      <w:r>
        <w:t>6. Example Environment Files</w:t>
      </w:r>
    </w:p>
    <w:p>
      <w:r>
        <w:t>The proposed approach is to maintain safe example files containing only required variable names and fake placeholders:</w:t>
      </w:r>
    </w:p>
    <w:p>
      <w:pPr>
        <w:pStyle w:val="ListBullet"/>
      </w:pPr>
      <w:r>
        <w:t>client/.env.example — only frontend variables actually required by the frontend.</w:t>
      </w:r>
    </w:p>
    <w:p>
      <w:pPr>
        <w:pStyle w:val="ListBullet"/>
      </w:pPr>
      <w:r>
        <w:t>server/.env.example — backend settings such as PORT and CLIENT_URL, plus additional variables only when confirmed by the code.</w:t>
      </w:r>
    </w:p>
    <w:p>
      <w:pPr>
        <w:pStyle w:val="ListBullet"/>
      </w:pPr>
      <w:r>
        <w:t>database/.env.example — DATABASE_URL with a clearly fake placeholder, if the team confirms this is the desired location for the Prisma configuration's environment file.</w:t>
      </w:r>
    </w:p>
    <w:p>
      <w:r>
        <w:t>Before creating example files, confirm the environment-loading behaviour of the installed Next.js and Prisma versions. Add comments explaining each variable. Example files must not contain working credentials, and real .env files must remain ignored.</w:t>
      </w:r>
    </w:p>
    <w:p>
      <w:pPr>
        <w:pStyle w:val="Heading1"/>
      </w:pPr>
      <w:r>
        <w:t>7. Naming and Documentation</w:t>
      </w:r>
    </w:p>
    <w:p>
      <w:pPr>
        <w:pStyle w:val="ListBullet"/>
      </w:pPr>
      <w:r>
        <w:t>Use clear, consistent uppercase names with underscores, consistent with PORT, CLIENT_URL, and DATABASE_URL.</w:t>
      </w:r>
    </w:p>
    <w:p>
      <w:pPr>
        <w:pStyle w:val="ListBullet"/>
      </w:pPr>
      <w:r>
        <w:t>Document each variable's purpose, which application reads it, whether it is required, a safe example format, and which environments need it.</w:t>
      </w:r>
    </w:p>
    <w:p>
      <w:pPr>
        <w:pStyle w:val="ListBullet"/>
      </w:pPr>
      <w:r>
        <w:t>Never put secrets in variables prefixed with NEXT_PUBLIC_, because these values can be exposed in browser-side bundles.</w:t>
      </w:r>
    </w:p>
    <w:p>
      <w:pPr>
        <w:pStyle w:val="ListBullet"/>
      </w:pPr>
      <w:r>
        <w:t>Do not create variables speculatively. Add them when required by approved architecture or implemented features.</w:t>
      </w:r>
    </w:p>
    <w:p>
      <w:pPr>
        <w:pStyle w:val="ListBullet"/>
      </w:pPr>
      <w:r>
        <w:t>Update the configuration reference whenever variables are added, renamed, or removed.</w:t>
      </w:r>
    </w:p>
    <w:p>
      <w:pPr>
        <w:pStyle w:val="Heading1"/>
      </w:pPr>
      <w:r>
        <w:t>8. Review and Change Control</w:t>
      </w:r>
    </w:p>
    <w:p>
      <w:pPr>
        <w:pStyle w:val="ListBullet"/>
      </w:pPr>
      <w:r>
        <w:t>Review existing configuration and affected source code before changing environment handling.</w:t>
      </w:r>
    </w:p>
    <w:p>
      <w:pPr>
        <w:pStyle w:val="ListBullet"/>
      </w:pPr>
      <w:r>
        <w:t>Discuss changes affecting both developers, deployment, security, or database access before implementation.</w:t>
      </w:r>
    </w:p>
    <w:p>
      <w:pPr>
        <w:pStyle w:val="ListBullet"/>
      </w:pPr>
      <w:r>
        <w:t>Use a pull request or the team's agreed review process for shared configuration changes.</w:t>
      </w:r>
    </w:p>
    <w:p>
      <w:pPr>
        <w:pStyle w:val="ListBullet"/>
      </w:pPr>
      <w:r>
        <w:t>Verify that the application starts with documented local settings and that required variables are present.</w:t>
      </w:r>
    </w:p>
    <w:p>
      <w:pPr>
        <w:pStyle w:val="ListBullet"/>
      </w:pPr>
      <w:r>
        <w:t>Make missing required configuration fail clearly rather than silently using an unsafe value.</w:t>
      </w:r>
    </w:p>
    <w:p>
      <w:pPr>
        <w:pStyle w:val="ListBullet"/>
      </w:pPr>
      <w:r>
        <w:t>Ensure automated checks do not depend on real production secrets and use dedicated test configuration.</w:t>
      </w:r>
    </w:p>
    <w:p>
      <w:r>
        <w:t>This task does not create example files, edit .gitignore, change dotenv loading, or alter deployment settings. Such changes should be separate implementation work after the team agrees on this plan.</w:t>
      </w:r>
    </w:p>
    <w:p>
      <w:pPr>
        <w:pStyle w:val="Heading1"/>
      </w:pPr>
      <w:r>
        <w:t>9. Outstanding Decisions</w:t>
      </w:r>
    </w:p>
    <w:p>
      <w:pPr>
        <w:pStyle w:val="ListBullet"/>
      </w:pPr>
      <w:r>
        <w:t>Both developers must review and approve this plan.</w:t>
      </w:r>
    </w:p>
    <w:p>
      <w:pPr>
        <w:pStyle w:val="ListBullet"/>
      </w:pPr>
      <w:r>
        <w:t>Confirm whether to maintain one .env.example per application area or a smaller shared set, based on how the installed tools load environment files.</w:t>
      </w:r>
    </w:p>
    <w:p>
      <w:pPr>
        <w:pStyle w:val="ListBullet"/>
      </w:pPr>
      <w:r>
        <w:t>Confirm the intended local and test PostgreSQL database setup.</w:t>
      </w:r>
    </w:p>
    <w:p>
      <w:pPr>
        <w:pStyle w:val="ListBullet"/>
      </w:pPr>
      <w:r>
        <w:t>Confirm exact authentication and service-secret variable names when the relevant backend code is reviewed.</w:t>
      </w:r>
    </w:p>
    <w:p>
      <w:pPr>
        <w:pStyle w:val="ListBullet"/>
      </w:pPr>
      <w:r>
        <w:t>Identify the deployment platform and its secret-management process when deployment is planned.</w:t>
      </w:r>
    </w:p>
    <w:p>
      <w:pPr>
        <w:pStyle w:val="ListBullet"/>
      </w:pPr>
      <w:r>
        <w:t>Review nested .gitignore rules if needed; do not remove or override working ignore rules without reason.</w:t>
      </w:r>
    </w:p>
    <w:p>
      <w:pPr>
        <w:pStyle w:val="ListBullet"/>
      </w:pPr>
      <w:r>
        <w:t>Agree on how to respond if a secret is accidentally committed.</w:t>
      </w:r>
    </w:p>
    <w:p>
      <w:pPr>
        <w:pStyle w:val="Heading1"/>
      </w:pPr>
      <w:r>
        <w:t>10. Definition of Done</w:t>
      </w:r>
    </w:p>
    <w:p>
      <w:pPr>
        <w:pStyle w:val="ListBullet"/>
      </w:pPr>
      <w:r>
        <w:t>Required current environment variables and their purposes are documented.</w:t>
      </w:r>
    </w:p>
    <w:p>
      <w:pPr>
        <w:pStyle w:val="ListBullet"/>
      </w:pPr>
      <w:r>
        <w:t>Frontend, backend, and database configuration needs are reviewed.</w:t>
      </w:r>
    </w:p>
    <w:p>
      <w:pPr>
        <w:pStyle w:val="ListBullet"/>
      </w:pPr>
      <w:r>
        <w:t>Local, test, and deployment differences are described.</w:t>
      </w:r>
    </w:p>
    <w:p>
      <w:pPr>
        <w:pStyle w:val="ListBullet"/>
      </w:pPr>
      <w:r>
        <w:t>Secret handling and Git ignore practices are documented.</w:t>
      </w:r>
    </w:p>
    <w:p>
      <w:pPr>
        <w:pStyle w:val="ListBullet"/>
      </w:pPr>
      <w:r>
        <w:t>The example-file approach and naming standards are agreed.</w:t>
      </w:r>
    </w:p>
    <w:p>
      <w:pPr>
        <w:pStyle w:val="ListBullet"/>
      </w:pPr>
      <w:r>
        <w:t>Outstanding configuration requirements are recorded.</w:t>
      </w:r>
    </w:p>
    <w:p>
      <w:pPr>
        <w:pStyle w:val="ListBullet"/>
      </w:pPr>
      <w:r>
        <w:t>Both developers have reviewed and agreed on this plan.</w:t>
      </w:r>
    </w:p>
    <w:p>
      <w:r>
        <w:t>Status at preparation: repository review is complete based on the commands provided; this document remains pending team agreement. No configuration changes have been made.</w:t>
      </w:r>
    </w:p>
    <w:p>
      <w:pPr>
        <w:pStyle w:val="Heading1"/>
      </w:pPr>
      <w:r>
        <w:t>11.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12"/>
          </w:tcPr>
          <w:p>
            <w:r>
              <w:t>Developer 1</w:t>
            </w:r>
          </w:p>
        </w:tc>
        <w:tc>
          <w:tcPr>
            <w:tcW w:type="dxa" w:w="3312"/>
          </w:tcPr>
          <w:p>
            <w:r>
              <w:t>Pending team review</w:t>
            </w:r>
          </w:p>
        </w:tc>
        <w:tc>
          <w:tcPr>
            <w:tcW w:type="dxa" w:w="3312"/>
          </w:tcPr>
          <w:p>
            <w:r>
              <w:t>To be recorded</w:t>
            </w:r>
          </w:p>
        </w:tc>
      </w:tr>
      <w:tr>
        <w:tc>
          <w:tcPr>
            <w:tcW w:type="dxa" w:w="3312"/>
          </w:tcPr>
          <w:p>
            <w:r>
              <w:t>Developer 2</w:t>
            </w:r>
          </w:p>
        </w:tc>
        <w:tc>
          <w:tcPr>
            <w:tcW w:type="dxa" w:w="3312"/>
          </w:tcPr>
          <w:p>
            <w:r>
              <w:t>Pending team review</w:t>
            </w:r>
          </w:p>
        </w:tc>
        <w:tc>
          <w:tcPr>
            <w:tcW w:type="dxa" w:w="3312"/>
          </w:tcPr>
          <w:p>
            <w:r>
              <w:t>To be recorded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TGE Management System | TGE-006 Environment Configuration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