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353" w:type="dxa"/>
        <w:jc w:val="left"/>
        <w:tblInd w:w="-4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53"/>
      </w:tblGrid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37" w:right="184"/>
              <w:jc w:val="center"/>
              <w:rPr>
                <w:sz w:val="24"/>
              </w:rPr>
            </w:pPr>
            <w:r>
              <w:rPr>
                <w:rStyle w:val="S1"/>
                <w:sz w:val="24"/>
                <w:szCs w:val="24"/>
                <w:lang w:bidi="ar-SA"/>
              </w:rPr>
              <w:t xml:space="preserve">Устав </w:t>
              <w:br/>
              <w:t>товарищества с ограниченной ответственностью «{company_name}</w:t>
            </w:r>
            <w:r>
              <w:rPr>
                <w:b/>
                <w:bCs/>
                <w:color w:themeColor="text1" w:val="000000"/>
                <w:sz w:val="24"/>
                <w:szCs w:val="24"/>
                <w:shd w:fill="FFFFFF" w:val="clear"/>
                <w:lang w:bidi="ar-SA"/>
              </w:rPr>
              <w:t>»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37"/>
              <w:jc w:val="center"/>
              <w:rPr>
                <w:sz w:val="24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1. Общие положения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606"/>
              <w:contextualSpacing/>
              <w:jc w:val="both"/>
              <w:rPr/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с ограниченной ответственностью «</w:t>
            </w:r>
            <w:r>
              <w:rPr>
                <w:rStyle w:val="S0"/>
                <w:sz w:val="22"/>
                <w:szCs w:val="22"/>
                <w:lang w:val="fr-BE" w:bidi="ar-SA"/>
              </w:rPr>
              <w:t>{company_name}</w:t>
            </w:r>
            <w:r>
              <w:rPr>
                <w:rStyle w:val="S0"/>
                <w:sz w:val="22"/>
                <w:szCs w:val="22"/>
                <w:lang w:bidi="ar-SA"/>
              </w:rPr>
              <w:t>»</w:t>
            </w:r>
            <w:r>
              <w:rPr>
                <w:color w:themeColor="text1" w:val="000000"/>
                <w:sz w:val="22"/>
                <w:szCs w:val="22"/>
                <w:lang w:bidi="ar-SA"/>
              </w:rPr>
              <w:t xml:space="preserve"> </w:t>
            </w:r>
            <w:r>
              <w:rPr>
                <w:rStyle w:val="S0"/>
                <w:sz w:val="22"/>
                <w:szCs w:val="22"/>
                <w:lang w:bidi="ar-SA"/>
              </w:rPr>
              <w:t>является юридическим лицом, зарегистрированным и действующим в соответствии с действующим законодательством Республики Казахстан (далее по тексту «</w:t>
            </w:r>
            <w:r>
              <w:rPr>
                <w:rStyle w:val="S0"/>
                <w:sz w:val="22"/>
                <w:szCs w:val="22"/>
                <w:lang w:val="fr-BE" w:bidi="ar-SA"/>
              </w:rPr>
              <w:t> </w:t>
            </w: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Товарищество</w:t>
            </w:r>
            <w:r>
              <w:rPr>
                <w:rStyle w:val="S0"/>
                <w:sz w:val="22"/>
                <w:szCs w:val="22"/>
                <w:lang w:val="fr-BE" w:bidi="ar-SA"/>
              </w:rPr>
              <w:t> </w:t>
            </w:r>
            <w:r>
              <w:rPr>
                <w:rStyle w:val="S0"/>
                <w:sz w:val="22"/>
                <w:szCs w:val="22"/>
                <w:lang w:bidi="ar-SA"/>
              </w:rPr>
              <w:t>»).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606"/>
              <w:contextualSpacing/>
              <w:jc w:val="both"/>
              <w:rPr/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приобретает права юридического лица с момента его государственной регистрации, имеет самостоятельный баланс, банковские счета, может от своего имени приобретать и осуществлять имущественные и личные неимущественные права, нести обязанность, быть истцом и ответчиком в суде.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606"/>
              <w:contextualSpacing/>
              <w:jc w:val="both"/>
              <w:rPr/>
            </w:pPr>
            <w:r>
              <w:rPr>
                <w:rStyle w:val="S0"/>
                <w:sz w:val="22"/>
                <w:szCs w:val="22"/>
                <w:lang w:bidi="ar-SA"/>
              </w:rPr>
              <w:t>Участниками Товарищества (далее по тексту «</w:t>
            </w: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Участники</w:t>
            </w:r>
            <w:r>
              <w:rPr>
                <w:rStyle w:val="S0"/>
                <w:sz w:val="22"/>
                <w:szCs w:val="22"/>
                <w:lang w:bidi="ar-SA"/>
              </w:rPr>
              <w:t>») являются: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bidi w:val="0"/>
              <w:spacing w:lineRule="auto" w:line="240" w:before="0" w:after="0"/>
              <w:ind w:hanging="283" w:left="567" w:right="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4"/>
                <w:szCs w:val="24"/>
                <w:lang w:bidi="ar-SA"/>
              </w:rPr>
              <w:t>{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#is_legal_entity1}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36" w:leader="none"/>
              </w:tabs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«{name1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}» БИН: {passport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1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}, юридический адрес: {iin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1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}, банковские реквизиты: {namedata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1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}, данные руководителя: {registry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1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 xml:space="preserve">}, далее по тексту – «Участник 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1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».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{/is_legal_entity1}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bidi w:val="0"/>
              <w:spacing w:lineRule="auto" w:line="240" w:before="0" w:after="0"/>
              <w:ind w:hanging="283" w:left="567" w:right="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{#is_individual1}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{name1}, паспортные данные и орган выдачи: {passport1}, ИИН: {iin1}, далее по тексту – «Участник 1».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{/is_individual1}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bidi w:val="0"/>
              <w:spacing w:lineRule="auto" w:line="240" w:before="0" w:after="0"/>
              <w:ind w:hanging="283" w:left="567" w:right="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{#is_entrepreneur1}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Индивидуальный Предприниматель «{name1}», свидетельство о регистрации ИП: {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registry1}, адрес регистрации ИП: {address1}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, ИИН: {iin1},  далее по тексту – « Участник 1 ».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{/is_entrepreneur1}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1173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bidi w:val="0"/>
              <w:spacing w:lineRule="auto" w:line="240" w:before="0" w:after="0"/>
              <w:ind w:hanging="283" w:left="567" w:right="0"/>
              <w:contextualSpacing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{#is_legal_entity2}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36" w:leader="none"/>
              </w:tabs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«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{name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}» БИН: {passport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}, юридический адрес: {iin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}, банковские реквизиты: {namedata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} данные руководителя: {registry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}</w:t>
            </w:r>
            <w:r>
              <w:rPr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, далее по тексту – « Участник 2 ».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{/is_legal_entity2}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bidi w:val="0"/>
              <w:spacing w:lineRule="auto" w:line="240" w:before="0" w:after="0"/>
              <w:ind w:hanging="283" w:left="567" w:right="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{#is_individual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{name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}, паспортные данные и орган выдачи: {passport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}, ИИН: {iin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 xml:space="preserve">}, далее по тексту – «Участник 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sz w:val="22"/>
                <w:szCs w:val="22"/>
                <w:lang w:bidi="ar-SA"/>
              </w:rPr>
              <w:t>».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color w:themeColor="text1" w:val="000000"/>
                <w:sz w:val="22"/>
                <w:szCs w:val="22"/>
                <w:shd w:fill="FFFFFF" w:val="clear"/>
                <w:lang w:bidi="ar-SA"/>
              </w:rPr>
              <w:t>{/is_individual</w:t>
            </w:r>
            <w:r>
              <w:rPr>
                <w:rStyle w:val="S0"/>
                <w:color w:themeColor="text1" w:val="000000"/>
                <w:sz w:val="22"/>
                <w:szCs w:val="22"/>
                <w:shd w:fill="FFFFFF" w:val="clear"/>
                <w:lang w:bidi="ar-SA"/>
              </w:rPr>
              <w:t>2</w:t>
            </w:r>
            <w:r>
              <w:rPr>
                <w:rStyle w:val="S0"/>
                <w:color w:themeColor="text1" w:val="000000"/>
                <w:sz w:val="22"/>
                <w:szCs w:val="22"/>
                <w:shd w:fill="FFFFFF" w:val="clear"/>
                <w:lang w:bidi="ar-SA"/>
              </w:rPr>
              <w:t>}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bidi w:val="0"/>
              <w:spacing w:lineRule="auto" w:line="240" w:before="0" w:after="0"/>
              <w:ind w:hanging="283" w:left="567" w:right="0"/>
              <w:contextualSpacing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{#is_entrepreneur2}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/>
            </w:pP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Индивидуальный Предприниматель «{name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}», свидетельство о регистрации ИП: {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registry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}, адрес регистрации ИП: {address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val="000000"/>
                <w:sz w:val="22"/>
                <w:szCs w:val="22"/>
                <w:shd w:fill="auto" w:val="clear"/>
                <w:lang w:bidi="ar-SA"/>
              </w:rPr>
              <w:t>}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, ИИН: {iin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 xml:space="preserve">},  далее по тексту – « Участник 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2</w:t>
            </w: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bidi="ar-SA"/>
              </w:rPr>
              <w:t>».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567" w:right="34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0"/>
                <w:rFonts w:ascii="Times New Roman" w:hAnsi="Times New Roman"/>
                <w:color w:themeColor="text1" w:val="000000"/>
                <w:sz w:val="22"/>
                <w:szCs w:val="22"/>
                <w:shd w:fill="FFFFFF" w:val="clear"/>
                <w:lang w:val="ru-RU" w:bidi="ar-SA"/>
              </w:rPr>
              <w:t>{/is_entrepreneur2}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1326"/>
              <w:contextualSpacing/>
              <w:jc w:val="both"/>
              <w:rPr>
                <w:color w:themeColor="text1" w:val="000000"/>
                <w:shd w:fill="FFFFFF" w:val="clear"/>
                <w:lang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606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Полное наименование Товарищества </w:t>
            </w:r>
            <w:r>
              <w:rPr>
                <w:sz w:val="22"/>
                <w:szCs w:val="22"/>
                <w:lang w:val="fr-BE" w:bidi="ar-SA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на казахском языке: {company_name_kz_full} жаупкерш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>л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>г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 xml:space="preserve"> шектеул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 xml:space="preserve"> сер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>ктест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 xml:space="preserve">к (коротко «{company_name_kz_short}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ЖШС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val="fr-BE" w:bidi="ar-SA"/>
              </w:rPr>
              <w:t> 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»</w:t>
            </w:r>
            <w:r>
              <w:rPr>
                <w:sz w:val="22"/>
                <w:szCs w:val="22"/>
                <w:lang w:bidi="ar-SA"/>
              </w:rPr>
              <w:t>);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 xml:space="preserve">на русском языке: Товарищество с ограниченной ответственностью {company_name_ru_full} 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val="fr-BE"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 xml:space="preserve">(коротко </w:t>
            </w:r>
            <w:r>
              <w:rPr>
                <w:sz w:val="22"/>
                <w:szCs w:val="22"/>
                <w:lang w:val="fr-BE" w:bidi="ar-SA"/>
              </w:rPr>
              <w:t>« </w:t>
            </w:r>
            <w:r>
              <w:rPr>
                <w:sz w:val="22"/>
                <w:szCs w:val="22"/>
                <w:lang w:bidi="ar-SA"/>
              </w:rPr>
              <w:t>ТОО {company_name_ru_short}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val="fr-BE" w:bidi="ar-SA"/>
              </w:rPr>
              <w:t>»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bidi="ar-SA"/>
              </w:rPr>
              <w:t>)</w:t>
            </w:r>
            <w:r>
              <w:rPr>
                <w:sz w:val="22"/>
                <w:szCs w:val="22"/>
                <w:lang w:bidi="ar-SA"/>
              </w:rPr>
              <w:t>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на</w:t>
            </w:r>
            <w:r>
              <w:rPr>
                <w:sz w:val="22"/>
                <w:szCs w:val="22"/>
                <w:lang w:val="en-US"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>английском</w:t>
            </w:r>
            <w:r>
              <w:rPr>
                <w:sz w:val="22"/>
                <w:szCs w:val="22"/>
                <w:lang w:val="en-US"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>языке</w:t>
            </w:r>
            <w:r>
              <w:rPr>
                <w:sz w:val="22"/>
                <w:szCs w:val="22"/>
                <w:lang w:val="en-US" w:bidi="ar-SA"/>
              </w:rPr>
              <w:t>: {company_name_en_full} Limited Liability Partnership (</w:t>
            </w:r>
            <w:r>
              <w:rPr>
                <w:sz w:val="22"/>
                <w:szCs w:val="22"/>
                <w:lang w:bidi="ar-SA"/>
              </w:rPr>
              <w:t>коротко</w:t>
            </w:r>
            <w:r>
              <w:rPr>
                <w:sz w:val="22"/>
                <w:szCs w:val="22"/>
                <w:lang w:val="en-US" w:bidi="ar-SA"/>
              </w:rPr>
              <w:t xml:space="preserve"> “{company_name_en_short}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val="en-US" w:bidi="ar-SA"/>
              </w:rPr>
              <w:t xml:space="preserve">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val="en-US" w:bidi="ar-SA"/>
              </w:rPr>
              <w:t>Limited Liability Partnership”</w:t>
            </w:r>
            <w:r>
              <w:rPr>
                <w:sz w:val="22"/>
                <w:szCs w:val="22"/>
                <w:lang w:val="en-US" w:bidi="ar-SA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Местом нахождения Товарищества является: {company_location}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Товарищество создается на {company_duration}.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2. Юридический статус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приобретает права юридического лица с момента его государственной регистрации в территориальном Департаменте Министерства юстиции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отвечает по своим обязательствам всем принадлежащим ему имуществом и не отвечает по обязательствам Участников. Участники Товарищества не отвечают по его обязательствам и несут риск убытков, связанных с деятельностью Товарищества в пределах стоимости внесенных ими вкладов, за исключением случаев предусмотренных законодательством Республики Казахстан.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3. Права и обязанности участников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9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Участники Товарищества вправе: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участвовать в управлении делами товарищества;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голосовать на общем собрании Участников в соответствии с условиями и положениями учредительных документов Товарищества и законодательства Республики Казахстан;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получать информацию о деятельности Товарищества и знакомиться с его финансовой отчётностью, а также всей иной документацией;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получать доход деятельности Товарищества </w:t>
            </w:r>
            <w:r>
              <w:rPr>
                <w:sz w:val="22"/>
                <w:szCs w:val="22"/>
                <w:lang w:val="fr-FR" w:bidi="ar-SA"/>
              </w:rPr>
              <w:t>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иметь право избирать и быть избранными в органы Товарищества 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знакомиться с результатами ревизий и аудиторских проверок финансово хозяйственной деятельности Товарищества 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получать в случае ликвидации Товарищества часть его имущества, соответствующую их доле в имуществе Товарищества, оставшегося после расчетов с кредиторами, или его стоимость;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прекратить участие в Товариществе путем отчуждения своей доли, в порядке, предусмотренным законодательством Республики Казахстан;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182" w:leader="none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оспаривать в судебном порядке решения органов Товарищества, нарушающие их права, предусмотренные законодательством Республики Казахстан и (или) уставом Товарищества.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603" w:left="603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Участники Товарищества обязаны: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соблюдать требования учредительного договора;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вносить вклады в уставный капитал Товарищества в порядке, размерах и в сроки, предусмотренные учредительными документами Товарищества;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не разглашать сведения, которые товариществом объявлены коммерческой тайной Товарищества;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письменно извещать исполнительный орган, а также центральный депозитарий в случае ведения реестра участников товарищества об изменении сведений, предусмотренных пунктом 6.7 настоящего устава.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603" w:left="603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Участники Товарищества могут нести и другие обязанности, предусмотренные учредительным договором и законодательством Республики Казахстан.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4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 xml:space="preserve">  </w:t>
            </w:r>
            <w:r>
              <w:rPr>
                <w:rStyle w:val="S1"/>
                <w:sz w:val="22"/>
                <w:szCs w:val="22"/>
                <w:lang w:bidi="ar-SA"/>
              </w:rPr>
              <w:t>Глава 4. Уставный капитал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/>
            </w:pPr>
            <w:r>
              <w:rPr>
                <w:rStyle w:val="S0"/>
                <w:sz w:val="22"/>
                <w:szCs w:val="22"/>
                <w:lang w:bidi="ar-SA"/>
              </w:rPr>
              <w:t>Имущество товарищества образуется путем вкладов его Участников, доходов, полученных Товариществом, а также иных источников, не запрещенных законодательством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/>
            </w:pPr>
            <w:r>
              <w:rPr>
                <w:rStyle w:val="S0"/>
                <w:sz w:val="22"/>
                <w:szCs w:val="22"/>
                <w:lang w:bidi="ar-SA"/>
              </w:rPr>
              <w:t xml:space="preserve">Уставный капитал Товарищества </w:t>
            </w:r>
            <w:r>
              <w:rPr>
                <w:rStyle w:val="S0"/>
                <w:sz w:val="22"/>
                <w:szCs w:val="22"/>
                <w:lang w:val="fr-FR" w:bidi="ar-SA"/>
              </w:rPr>
              <w:t>c</w:t>
            </w:r>
            <w:r>
              <w:rPr>
                <w:rStyle w:val="S0"/>
                <w:sz w:val="22"/>
                <w:szCs w:val="22"/>
                <w:lang w:bidi="ar-SA"/>
              </w:rPr>
              <w:t xml:space="preserve">оставляет {charter_capital}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тенге, сформированный вкладом его Участников, и пропорциональный доле каждого Участника в Товариществе.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Участники Товарищества имеют следующие доли участия в Товариществе :</w:t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tbl>
            <w:tblPr>
              <w:tblStyle w:val="TableGrid"/>
              <w:tblW w:w="3531" w:type="dxa"/>
              <w:jc w:val="left"/>
              <w:tblInd w:w="59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765"/>
              <w:gridCol w:w="1765"/>
            </w:tblGrid>
            <w:tr>
              <w:trPr/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bidi w:val="0"/>
                    <w:spacing w:lineRule="auto" w:line="240" w:before="0" w:after="0"/>
                    <w:ind w:hanging="0" w:left="0" w:right="0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bidi="ar-SA"/>
                    </w:rPr>
                    <w:t>Участник 1</w:t>
                  </w:r>
                </w:p>
              </w:tc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bidi w:val="0"/>
                    <w:spacing w:lineRule="auto" w:line="240" w:before="0" w:after="0"/>
                    <w:ind w:hanging="57" w:left="113" w:right="113"/>
                    <w:contextualSpacing/>
                    <w:jc w:val="both"/>
                    <w:rPr>
                      <w:sz w:val="22"/>
                      <w:szCs w:val="22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themeColor="text1" w:val="000000"/>
                      <w:sz w:val="22"/>
                      <w:szCs w:val="22"/>
                      <w:shd w:fill="auto" w:val="clear"/>
                      <w:lang w:bidi="ar-SA"/>
                    </w:rPr>
                    <w:t>{participant_1_share}%</w:t>
                  </w:r>
                </w:p>
              </w:tc>
            </w:tr>
            <w:tr>
              <w:trPr/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bidi w:val="0"/>
                    <w:spacing w:lineRule="auto" w:line="240" w:before="0" w:after="0"/>
                    <w:ind w:hanging="0" w:left="0" w:right="0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bidi="ar-SA"/>
                    </w:rPr>
                    <w:t>Участник 2</w:t>
                  </w:r>
                </w:p>
              </w:tc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bidi w:val="0"/>
                    <w:spacing w:lineRule="auto" w:line="240" w:before="0" w:after="0"/>
                    <w:ind w:hanging="57" w:left="113" w:right="113"/>
                    <w:contextualSpacing/>
                    <w:jc w:val="both"/>
                    <w:rPr>
                      <w:sz w:val="22"/>
                      <w:szCs w:val="22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themeColor="text1" w:val="000000"/>
                      <w:sz w:val="22"/>
                      <w:szCs w:val="22"/>
                      <w:shd w:fill="auto" w:val="clear"/>
                      <w:lang w:bidi="ar-SA"/>
                    </w:rPr>
                    <w:t>{participant_2_share}%</w:t>
                  </w:r>
                </w:p>
              </w:tc>
            </w:tr>
          </w:tbl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 xml:space="preserve">Участник 1 вносит свой вклад в Уставный капитал в {#is_legal_entity3}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денежной форме на сумму {name</w:t>
            </w:r>
            <w:r>
              <w:rPr>
                <w:color w:themeColor="text1" w:val="000000"/>
                <w:sz w:val="22"/>
                <w:szCs w:val="22"/>
                <w:u w:val="none"/>
                <w:shd w:fill="FFFFFF" w:val="clear"/>
                <w:lang w:bidi="ar-SA"/>
              </w:rPr>
              <w:t>3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} тенге.{/is_legal_entity3} {#is_individual3} виде {passport3} на сумму {name3} тенге.</w:t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{/is_individual3}</w:t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Участник 2 вносит свой вклад в Уставный капитал в {#is_legal_entity4}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денежной форме на сумму {name4} тенге.{/is_legal_entity4} {#is_individual4}виде {passport4} на сумму {name4} тенге.{/is_individual4}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jc w:val="both"/>
              <w:rPr>
                <w:color w:themeColor="text1" w:val="000000"/>
                <w:sz w:val="22"/>
                <w:szCs w:val="22"/>
                <w:shd w:fill="FFFFFF" w:val="clear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Увеличение</w:t>
            </w:r>
            <w:r>
              <w:rPr>
                <w:sz w:val="22"/>
                <w:szCs w:val="22"/>
                <w:lang w:bidi="ar-SA"/>
              </w:rPr>
              <w:t xml:space="preserve"> уставного капитала без изменения размера долей Участников Товарищества может осуществляться путем:</w:t>
            </w:r>
          </w:p>
          <w:p>
            <w:pPr>
              <w:pStyle w:val="Pj"/>
              <w:widowControl/>
              <w:numPr>
                <w:ilvl w:val="0"/>
                <w:numId w:val="8"/>
              </w:numPr>
              <w:tabs>
                <w:tab w:val="clear" w:pos="708"/>
                <w:tab w:val="left" w:pos="1733" w:leader="none"/>
              </w:tabs>
              <w:suppressAutoHyphens w:val="true"/>
              <w:spacing w:beforeAutospacing="0" w:before="0" w:afterAutospacing="0" w:after="0"/>
              <w:ind w:hanging="567" w:left="1170"/>
              <w:jc w:val="both"/>
              <w:textAlignment w:val="baseline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bidi="ar-SA"/>
              </w:rPr>
              <w:t>дополнительных пропорциональных вкладов, производимых всеми Участниками Товарищества;</w:t>
            </w:r>
          </w:p>
          <w:p>
            <w:pPr>
              <w:pStyle w:val="Pj"/>
              <w:widowControl/>
              <w:numPr>
                <w:ilvl w:val="0"/>
                <w:numId w:val="8"/>
              </w:numPr>
              <w:tabs>
                <w:tab w:val="clear" w:pos="708"/>
                <w:tab w:val="left" w:pos="1733" w:leader="none"/>
              </w:tabs>
              <w:suppressAutoHyphens w:val="true"/>
              <w:spacing w:beforeAutospacing="0" w:before="0" w:afterAutospacing="0" w:after="0"/>
              <w:ind w:hanging="567" w:left="1170"/>
              <w:jc w:val="both"/>
              <w:textAlignment w:val="baseline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bidi="ar-SA"/>
              </w:rPr>
              <w:t>увеличения размера уставного капитала за счет собственного капитала Товарищества, в том числе за счет его резервного капитала.</w:t>
            </w:r>
          </w:p>
          <w:p>
            <w:pPr>
              <w:pStyle w:val="Normal"/>
              <w:widowControl/>
              <w:tabs>
                <w:tab w:val="clear" w:pos="708"/>
                <w:tab w:val="left" w:pos="604" w:leader="none"/>
                <w:tab w:val="left" w:pos="2105" w:leader="none"/>
              </w:tabs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При увеличении уставного капитала Товарищества путем 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6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внесения одним или несколькими Участниками дополнительных вкладов при согласии на это всех остальных Участников;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6"/>
              <w:contextualSpacing/>
              <w:jc w:val="both"/>
              <w:rPr/>
            </w:pPr>
            <w:r>
              <w:rPr>
                <w:sz w:val="22"/>
                <w:szCs w:val="22"/>
                <w:shd w:fill="FFFFFF" w:val="clear"/>
                <w:lang w:bidi="ar-SA"/>
              </w:rPr>
              <w:t>принятия в состав Товарищества новых участников</w:t>
            </w:r>
            <w:r>
              <w:rPr>
                <w:rStyle w:val="Apple-converted-space"/>
                <w:sz w:val="22"/>
                <w:szCs w:val="22"/>
                <w:lang w:bidi="ar-SA"/>
              </w:rPr>
              <w:t>,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59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размер такого вклада определяется с учетом размера их предыдущего взноса в собственный капитал Товарищества и необходимостью перерасчета долей всех Участников в уставном капитале.</w:t>
            </w:r>
          </w:p>
          <w:p>
            <w:pPr>
              <w:pStyle w:val="ListParagraph"/>
              <w:ind w:hanging="567" w:left="1134"/>
              <w:jc w:val="both"/>
              <w:rPr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  <w:lang w:val="ru-RU"/>
              </w:rPr>
              <w:t>Участник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Решение по увеличению уставного капитала Товарищества принимается по общему согласию всего его Участников.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 xml:space="preserve">Уменьшение уставного капитала Товарищества </w:t>
            </w:r>
            <w:r>
              <w:rPr>
                <w:sz w:val="22"/>
                <w:szCs w:val="22"/>
                <w:shd w:fill="FFFFFF" w:val="clear"/>
                <w:lang w:bidi="ar-SA"/>
              </w:rPr>
              <w:t>может осуществляться путем :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пропорционального уменьшения размера вкладов всех Участников Товарищества ;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путем полного или частичного погашения долей отдельных Участников, после чего доли остальных участников соразмерно изменяются.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bidi="ar-SA"/>
              </w:rPr>
              <w:t>Глава 5. Органы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>Органами Товарищества признаются </w:t>
            </w:r>
            <w:r>
              <w:rPr>
                <w:sz w:val="22"/>
                <w:szCs w:val="22"/>
                <w:lang w:val="fr-FR" w:bidi="ar-SA"/>
              </w:rPr>
              <w:t>:</w:t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Высшим органом Товарищества является Общее собрание его Участников (далее по тексту – «</w:t>
            </w:r>
            <w:r>
              <w:rPr>
                <w:b/>
                <w:bCs/>
                <w:sz w:val="22"/>
                <w:szCs w:val="22"/>
                <w:lang w:bidi="ar-SA"/>
              </w:rPr>
              <w:t>Общее собрание</w:t>
            </w:r>
            <w:r>
              <w:rPr>
                <w:sz w:val="22"/>
                <w:szCs w:val="22"/>
                <w:lang w:bidi="ar-SA"/>
              </w:rPr>
              <w:t>»);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Исполнительным органом Товарищества является Директор ;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Контролирующим органом Товарищества является {control_body}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63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При необходимости, Товарищество правомочно создавать иные органы.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0"/>
                <w:b/>
                <w:bCs/>
                <w:sz w:val="22"/>
                <w:szCs w:val="22"/>
              </w:rPr>
            </w:pP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Глава 6. Общее собрание Участников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0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Общее собрание Участников Товарищества созывается в качестве очередного или внеочередного общего собрания Участников.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Все Участники Товарищества имеют право присутствовать на общем собрании Участников, принимать участие в обсуждении вопросов повестки дня и голосовать при принятии решений.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Положения устава Товарищества и любых других документов, решений, ограничивающие указанные права Участников Товарищества, ничтожны.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Любой из Участников Товарищества может участвовать в общем собрании лично или через представителя.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{executive_structure}.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{executive_members_count}.</w:t>
            </w:r>
          </w:p>
        </w:tc>
      </w:tr>
      <w:tr>
        <w:trPr>
          <w:trHeight w:val="119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К исключительной компетенции общего собрания Участников Товарищества относятся: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изменение устава Товарищества, включая изменение размера его уставного капитала, места нахождения и фирменного наименования, или утверждение устава Товарищества в новой редакции;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образование исполнительного органа Товарищества и досрочное прекращение его полномочий или полномочий отдельного члена исполнительного органа, а также принятие решения о передаче Товарищества или его имущества в доверительное управление и определение условий такой передачи;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утверждение финансовой отчетности и распределение чистого дохода;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об участии Товарищества в иных хозяйственных Товариществах, а также в некоммерческих организациях;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 реорганизации или ликвидации Товарищества;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 принудительном выкупе доли у участника Товарищества;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 залоге всего имущества Товарищества;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а также иные компетенции в соответствии с законодательством Республики Казахстан.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630"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Общее собрание вправе принять к рассмотрению любой вопрос, связанный с деятельностью Товарищества.</w:t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lang w:bidi="ar-SA"/>
              </w:rPr>
            </w:pP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7. Исполнительный орган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bidi="ar-SA"/>
              </w:rPr>
            </w:pPr>
            <w:r>
              <w:rPr>
                <w:b/>
                <w:bCs/>
                <w:sz w:val="22"/>
                <w:szCs w:val="22"/>
                <w:lang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Исполнительным органом является {executive_structure}, который подотчетен Общему собранию Участников и организуют выполнение его решений. {#isDirecеtion}</w:t>
            </w:r>
            <w:r>
              <w:rPr>
                <w:b w:val="false"/>
                <w:i w:val="false"/>
                <w:sz w:val="22"/>
                <w:szCs w:val="22"/>
              </w:rPr>
              <w:t>Дирекция состоит из {executive_members_count}</w:t>
            </w:r>
            <w:r>
              <w:rPr>
                <w:sz w:val="22"/>
                <w:szCs w:val="22"/>
              </w:rPr>
              <w:t xml:space="preserve"> членов . Во главе дирекции стоит Директор. </w:t>
            </w:r>
            <w:r>
              <w:rPr>
                <w:rStyle w:val="S0"/>
                <w:sz w:val="22"/>
                <w:szCs w:val="22"/>
                <w:lang w:bidi="ar-SA"/>
              </w:rPr>
              <w:t>{/isDirecеtion}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К компетенции дирекции относятся все вопросы обеспечения деятельности Товарищества, не относящиеся к компетенции общего собрания.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Полномочия Исполнительного органа Товарищества: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без доверенности действует от имени Товарищества;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выдает доверенности на право представлять Товарищество, в том числе доверенности с правом передоверия;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в отношении работников Товарищества издает приказы о назначении их на должность, об их переводе и увольнении, определяет системы оплаты труда, устанавливает размеры должностных окладов и персональных надбавок, решает вопросы премирования, принимает меры поощрения и налагает дисциплинарные взыскания;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осуществляет иные полномочия в соответствии с законодательством Республики Казахстан.</w:t>
            </w:r>
          </w:p>
          <w:p>
            <w:pPr>
              <w:pStyle w:val="Pj"/>
              <w:widowControl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rFonts w:ascii="Times New Roman" w:hAnsi="Times New Roman"/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Исполнительный орган Товарищества обязан информировать всех Участников Товарищества:</w:t>
            </w:r>
          </w:p>
          <w:p>
            <w:pPr>
              <w:pStyle w:val="Pj"/>
              <w:widowControl/>
              <w:numPr>
                <w:ilvl w:val="0"/>
                <w:numId w:val="17"/>
              </w:numPr>
              <w:suppressAutoHyphens w:val="true"/>
              <w:spacing w:beforeAutospacing="0" w:before="0" w:afterAutospacing="0" w:after="0"/>
              <w:ind w:hanging="433" w:left="1036"/>
              <w:jc w:val="both"/>
              <w:textAlignment w:val="baseline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 возбуждении в суде дела по корпоративному спору;</w:t>
            </w:r>
          </w:p>
          <w:p>
            <w:pPr>
              <w:pStyle w:val="Pj"/>
              <w:widowControl/>
              <w:numPr>
                <w:ilvl w:val="0"/>
                <w:numId w:val="17"/>
              </w:numPr>
              <w:suppressAutoHyphens w:val="true"/>
              <w:spacing w:beforeAutospacing="0" w:before="0" w:afterAutospacing="0" w:after="240"/>
              <w:ind w:hanging="433" w:left="1036"/>
              <w:jc w:val="both"/>
              <w:textAlignment w:val="baseline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 инициировании Участником Товарищества любого порядка разрешения безвыходной ситуации.</w:t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8. Распределение чистого дохода товарищества между его Участниками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«</w:t>
            </w:r>
            <w:r>
              <w:rPr>
                <w:rStyle w:val="S0"/>
                <w:sz w:val="22"/>
                <w:szCs w:val="22"/>
                <w:lang w:val="fr-FR" w:bidi="ar-SA"/>
              </w:rPr>
              <w:t> </w:t>
            </w:r>
            <w:r>
              <w:rPr>
                <w:rStyle w:val="S0"/>
                <w:sz w:val="22"/>
                <w:szCs w:val="22"/>
                <w:lang w:bidi="ar-SA"/>
              </w:rPr>
              <w:t>Чистым доходом</w:t>
            </w:r>
            <w:r>
              <w:rPr>
                <w:rStyle w:val="S0"/>
                <w:sz w:val="22"/>
                <w:szCs w:val="22"/>
                <w:lang w:val="fr-FR" w:bidi="ar-SA"/>
              </w:rPr>
              <w:t> </w:t>
            </w:r>
            <w:r>
              <w:rPr>
                <w:rStyle w:val="S0"/>
                <w:sz w:val="22"/>
                <w:szCs w:val="22"/>
                <w:lang w:bidi="ar-SA"/>
              </w:rPr>
              <w:t>» Товарищества признается совокупный годовой доход за вычетом налогов и других обязательных платежей в бюджет, подлежащих уплате по итогам года, согласно действующему законодательству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Распределение между Участниками Товарищества чистого дохода, полученного Товариществом по результатам его деятельности за год, производится в соответствии с решением очередного общего собрания участников Товарищества, посвященного утверждению результатов деятельности Товарищества за соответствующий год.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Общее собрание вправе также принять решение об исключении чистого дохода или его части из распределения между участниками товарищества.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bidi="ar-SA"/>
              </w:rPr>
              <w:t>Решение о распределении дохода между Участниками Товарищества принимается на общем собрании, каждый Участник имеет право на долю дохода, пропорциональную его доле в уставном капитале товарищества. Товарищество обязано выплатить соответствующую сумму каждому участнику в течение 1 (одного) месяца с момента принятия решения о распределении чистого дохода.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0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9. Реорганизация и ликвидация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25" w:left="490"/>
              <w:contextualSpacing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Реорганизация товарищества с ограниченной ответственностью (слияние, присоединение, разделение, выделение, преобразование) может быть осуществлена добровольно по решению общего собрания Участников Товарищества, которое производиться в соответствии с законодательством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25" w:left="490"/>
              <w:contextualSpacing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Товарищество может быть ликвидировано по решению общего собрания его Участников, а также по решению суда в случаях, предусмотренных законодательством Республики Казахстан.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10. Заключительные положения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488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в своей деятельности руководствуется настоящим Уставом и законодательством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488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Настоящий Устав вступает в силу с момента государственной регистрации Товарищества в уполномоченных органов Республики Казахстан.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-7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Участники товарищества: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68"/>
              <w:gridCol w:w="5068"/>
            </w:tblGrid>
            <w:tr>
              <w:trPr/>
              <w:tc>
                <w:tcPr>
                  <w:tcW w:w="5068" w:type="dxa"/>
                  <w:tcBorders/>
                </w:tcPr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rStyle w:val="S0"/>
                      <w:sz w:val="22"/>
                      <w:szCs w:val="22"/>
                    </w:rPr>
                    <w:t>Участник 1</w:t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rStyle w:val="S0"/>
                      <w:sz w:val="22"/>
                      <w:szCs w:val="22"/>
                    </w:rPr>
                    <w:t>{participants_details1}</w:t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2105" w:leader="none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5068" w:type="dxa"/>
                  <w:tcBorders/>
                </w:tcPr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rStyle w:val="S0"/>
                      <w:sz w:val="22"/>
                      <w:szCs w:val="22"/>
                    </w:rPr>
                    <w:t>Участник 2</w:t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{participants_details2}</w:t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2105" w:leader="none"/>
                    </w:tabs>
                    <w:ind w:left="37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2105" w:leader="none"/>
                    </w:tabs>
                    <w:ind w:left="37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6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2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5">
    <w:lvl w:ilvl="0">
      <w:start w:val="1"/>
      <w:numFmt w:val="decimal"/>
      <w:lvlText w:val="3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7">
    <w:lvl w:ilvl="0">
      <w:start w:val="1"/>
      <w:numFmt w:val="decimal"/>
      <w:lvlText w:val="4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47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9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1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3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5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7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9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1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37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7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9" w:hanging="180"/>
      </w:pPr>
      <w:rPr/>
    </w:lvl>
  </w:abstractNum>
  <w:abstractNum w:abstractNumId="11">
    <w:lvl w:ilvl="0">
      <w:start w:val="1"/>
      <w:numFmt w:val="decimal"/>
      <w:lvlText w:val="7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6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13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0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16">
    <w:lvl w:ilvl="0">
      <w:start w:val="1"/>
      <w:numFmt w:val="decimal"/>
      <w:lvlText w:val="7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8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19">
    <w:lvl w:ilvl="0">
      <w:start w:val="1"/>
      <w:numFmt w:val="decimal"/>
      <w:lvlText w:val="9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10.%1."/>
      <w:lvlJc w:val="left"/>
      <w:pPr>
        <w:tabs>
          <w:tab w:val="num" w:pos="0"/>
        </w:tabs>
        <w:ind w:left="79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22">
    <w:lvl w:ilvl="0">
      <w:start w:val="2"/>
      <w:numFmt w:val="decimal"/>
      <w:lvlText w:val="3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326"/>
        </w:tabs>
        <w:ind w:left="132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86"/>
        </w:tabs>
        <w:ind w:left="168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46"/>
        </w:tabs>
        <w:ind w:left="204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6"/>
        </w:tabs>
        <w:ind w:left="240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66"/>
        </w:tabs>
        <w:ind w:left="276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26"/>
        </w:tabs>
        <w:ind w:left="312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86"/>
        </w:tabs>
        <w:ind w:left="348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46"/>
        </w:tabs>
        <w:ind w:left="384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06"/>
        </w:tabs>
        <w:ind w:left="420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0" w:customStyle="1">
    <w:name w:val="s0"/>
    <w:basedOn w:val="DefaultParagraphFont"/>
    <w:qFormat/>
    <w:rsid w:val="00fe2fac"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character" w:styleId="S1" w:customStyle="1">
    <w:name w:val="s1"/>
    <w:basedOn w:val="DefaultParagraphFont"/>
    <w:qFormat/>
    <w:rsid w:val="00fe2fac"/>
    <w:rPr>
      <w:rFonts w:ascii="Times New Roman" w:hAnsi="Times New Roman" w:cs="Times New Roman"/>
      <w:b/>
      <w:bCs/>
      <w:color w:val="000000"/>
    </w:rPr>
  </w:style>
  <w:style w:type="character" w:styleId="Apple-converted-space" w:customStyle="1">
    <w:name w:val="apple-converted-space"/>
    <w:basedOn w:val="DefaultParagraphFont"/>
    <w:qFormat/>
    <w:rsid w:val="00fe2fa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b345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b345f"/>
    <w:rPr>
      <w:rFonts w:ascii="Times New Roman" w:hAnsi="Times New Roman" w:eastAsia="" w:cs="Times New Roman" w:eastAsiaTheme="minorEastAsia"/>
      <w:color w:val="000000"/>
      <w:kern w:val="0"/>
      <w:sz w:val="20"/>
      <w:szCs w:val="20"/>
      <w:lang w:val="ru-RU" w:eastAsia="ru-RU"/>
      <w14:ligatures w14:val="none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b345f"/>
    <w:rPr>
      <w:rFonts w:ascii="Times New Roman" w:hAnsi="Times New Roman" w:eastAsia="" w:cs="Times New Roman" w:eastAsiaTheme="minorEastAsia"/>
      <w:b/>
      <w:bCs/>
      <w:color w:val="000000"/>
      <w:kern w:val="0"/>
      <w:sz w:val="20"/>
      <w:szCs w:val="20"/>
      <w:lang w:val="ru-RU" w:eastAsia="ru-RU"/>
      <w14:ligatures w14:val="no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e2fac"/>
    <w:pPr>
      <w:widowControl/>
      <w:suppressAutoHyphens w:val="true"/>
      <w:spacing w:before="0" w:after="0"/>
      <w:ind w:hanging="567" w:left="1173"/>
      <w:contextualSpacing/>
      <w:jc w:val="both"/>
    </w:pPr>
    <w:rPr/>
  </w:style>
  <w:style w:type="paragraph" w:styleId="Pj" w:customStyle="1">
    <w:name w:val="pj"/>
    <w:basedOn w:val="Normal"/>
    <w:qFormat/>
    <w:rsid w:val="00fe2fac"/>
    <w:pPr>
      <w:spacing w:beforeAutospacing="1" w:afterAutospacing="1"/>
    </w:pPr>
    <w:rPr>
      <w:rFonts w:eastAsia="Times New Roman"/>
      <w:color w:val="auto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b345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b345f"/>
    <w:pPr/>
    <w:rPr>
      <w:b/>
      <w:bCs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2fac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1Doc/1.5.0.$MacOSX_AARCH64 LibreOffice_project/2f9b6e7260225c6c2c1401d17cb7be8dc4e3347b</Application>
  <AppVersion>15.0000</AppVersion>
  <Pages>5</Pages>
  <Words>1429</Words>
  <Characters>10756</Characters>
  <CharactersWithSpaces>11980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2024-02-07T16:01:00Z</dcterms:created>
  <dc:creator>Mustafina, Aizada</dc:creator>
  <dc:description/>
  <dc:language>ru-RU</dc:language>
  <cp:lastModifiedBy/>
  <dcterms:modified xsi:type="dcterms:W3CDTF">2025-03-30T15:53:05Z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e3f30-d2b2-4715-a624-5b86d9f6e1f7_ActionId">
    <vt:lpwstr>9c3256cf-6265-4c43-92cc-287239f644dc</vt:lpwstr>
  </property>
  <property fmtid="{D5CDD505-2E9C-101B-9397-08002B2CF9AE}" pid="3" name="MSIP_Label_3a6e3f30-d2b2-4715-a624-5b86d9f6e1f7_ContentBits">
    <vt:lpwstr>0</vt:lpwstr>
  </property>
  <property fmtid="{D5CDD505-2E9C-101B-9397-08002B2CF9AE}" pid="4" name="MSIP_Label_3a6e3f30-d2b2-4715-a624-5b86d9f6e1f7_Enabled">
    <vt:lpwstr>true</vt:lpwstr>
  </property>
  <property fmtid="{D5CDD505-2E9C-101B-9397-08002B2CF9AE}" pid="5" name="MSIP_Label_3a6e3f30-d2b2-4715-a624-5b86d9f6e1f7_Method">
    <vt:lpwstr>Standard</vt:lpwstr>
  </property>
  <property fmtid="{D5CDD505-2E9C-101B-9397-08002B2CF9AE}" pid="6" name="MSIP_Label_3a6e3f30-d2b2-4715-a624-5b86d9f6e1f7_Name">
    <vt:lpwstr>defa4170-0d19-0005-0004-bc88714345d2</vt:lpwstr>
  </property>
  <property fmtid="{D5CDD505-2E9C-101B-9397-08002B2CF9AE}" pid="7" name="MSIP_Label_3a6e3f30-d2b2-4715-a624-5b86d9f6e1f7_SetDate">
    <vt:lpwstr>2024-02-07T16:07:39Z</vt:lpwstr>
  </property>
  <property fmtid="{D5CDD505-2E9C-101B-9397-08002B2CF9AE}" pid="8" name="MSIP_Label_3a6e3f30-d2b2-4715-a624-5b86d9f6e1f7_SiteId">
    <vt:lpwstr>e59fa28a-32ed-49ac-a5a0-9c46118cfecf</vt:lpwstr>
  </property>
</Properties>
</file>