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signment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 (15%)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CSE 5120 – Introduction to Artificial Intelligence – Fall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Submitted to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6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Department of Computer Science and Engineering</w:t>
        <w:br w:type="textWrapping"/>
        <w:t xml:space="preserve">California State University, San Bernardino, California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Cameron Hartling (007735059)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November 15,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70c0"/>
        </w:rPr>
        <w:sectPr>
          <w:foot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007735059@coyote.csusb.edu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disadvantaged communities dataset lists California cities and various data that might contribute to how disadvantaged the cities are. The data is labeled with the DAC Category which I will be using as the target variable. All of the variables afterwards will be used as the attributes.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'disadvantaged_communities.csv'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loaded in the data using the pandas read_csv() function.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cleaned the data by removing all of the rows that had missing values.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OrdinalEncoder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OrdinalEncoder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"CES 4.0 Percentile Range"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"DAC category"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"CES 4.0 Percentile Range"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"DAC category"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encode the categorical variables into ordinal integers I used the OrdinalEncoder from the sklearn library.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stratify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split the variables into a training set of 80% of the rows and a test set of 20% of the rows.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standardized the data by using the standard scalar.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svm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SVC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svc_model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SVC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gamma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svc_model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svc_model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SVM classifier is made using the radial basis function.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accuracy scores of the two methods were SVM at 0.3507 and Random Forest at 0.6537. This shows that the Random Forest model was a better fit than the SVM model.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720" w:right="-340" w:hanging="36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