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9295F" w14:textId="77777777" w:rsidR="00D35A68" w:rsidRDefault="00000000">
      <w:pPr>
        <w:spacing w:after="60" w:line="360" w:lineRule="auto"/>
        <w:jc w:val="center"/>
      </w:pPr>
      <w:proofErr w:type="spellStart"/>
      <w:r>
        <w:rPr>
          <w:rFonts w:eastAsia="Times New Roman"/>
          <w:b/>
          <w:bCs/>
          <w:sz w:val="36"/>
          <w:szCs w:val="36"/>
        </w:rPr>
        <w:t>Jiatong</w:t>
      </w:r>
      <w:proofErr w:type="spellEnd"/>
      <w:r>
        <w:rPr>
          <w:rFonts w:eastAsia="Times New Roman"/>
          <w:b/>
          <w:bCs/>
          <w:sz w:val="36"/>
          <w:szCs w:val="36"/>
        </w:rPr>
        <w:t xml:space="preserve"> Liu</w:t>
      </w:r>
    </w:p>
    <w:p w14:paraId="5E1CC6EC" w14:textId="301BF4A4" w:rsidR="003D4B20" w:rsidRPr="003D4B20" w:rsidRDefault="00000000" w:rsidP="003D4B20">
      <w:pPr>
        <w:spacing w:after="80" w:line="360" w:lineRule="auto"/>
        <w:jc w:val="center"/>
        <w:rPr>
          <w:rFonts w:hint="eastAsia"/>
        </w:rPr>
      </w:pPr>
      <w:r w:rsidRPr="003D4B20">
        <w:rPr>
          <w:rFonts w:eastAsia="Times New Roman"/>
          <w:sz w:val="22"/>
          <w:szCs w:val="22"/>
        </w:rPr>
        <w:t xml:space="preserve">+33 767 802 </w:t>
      </w:r>
      <w:proofErr w:type="gramStart"/>
      <w:r w:rsidRPr="003D4B20">
        <w:rPr>
          <w:rFonts w:eastAsia="Times New Roman"/>
          <w:sz w:val="22"/>
          <w:szCs w:val="22"/>
        </w:rPr>
        <w:t>455  |</w:t>
      </w:r>
      <w:proofErr w:type="gramEnd"/>
      <w:r w:rsidRPr="003D4B20">
        <w:rPr>
          <w:rFonts w:eastAsia="Times New Roman"/>
          <w:sz w:val="22"/>
          <w:szCs w:val="22"/>
        </w:rPr>
        <w:t xml:space="preserve">  </w:t>
      </w:r>
      <w:hyperlink r:id="rId5" w:history="1">
        <w:r w:rsidR="003D4B20" w:rsidRPr="003D4B20">
          <w:rPr>
            <w:rStyle w:val="a5"/>
            <w:rFonts w:eastAsia="Times New Roman"/>
            <w:sz w:val="22"/>
            <w:szCs w:val="22"/>
          </w:rPr>
          <w:t>jiatong.liu.23@ucl.ac.uk</w:t>
        </w:r>
      </w:hyperlink>
      <w:r w:rsidR="003D4B20" w:rsidRPr="003D4B20">
        <w:rPr>
          <w:rFonts w:hint="eastAsia"/>
        </w:rPr>
        <w:t xml:space="preserve"> </w:t>
      </w:r>
      <w:r w:rsidR="003D4B20" w:rsidRPr="003D4B20">
        <w:t>| jia</w:t>
      </w:r>
      <w:r w:rsidR="003D4B20">
        <w:t>tong.liu@sciencespo.fr</w:t>
      </w:r>
    </w:p>
    <w:p w14:paraId="4C2736D7" w14:textId="77777777" w:rsidR="00D35A68" w:rsidRDefault="00000000" w:rsidP="003D4B20">
      <w:pPr>
        <w:pBdr>
          <w:bottom w:val="single" w:sz="4" w:space="2" w:color="000000"/>
        </w:pBdr>
        <w:spacing w:before="200" w:after="80" w:line="276" w:lineRule="auto"/>
      </w:pPr>
      <w:r>
        <w:rPr>
          <w:rFonts w:eastAsia="Times New Roman"/>
          <w:b/>
          <w:bCs/>
        </w:rPr>
        <w:t>EDUCATION</w:t>
      </w:r>
    </w:p>
    <w:p w14:paraId="176FAF7F" w14:textId="5E52768A" w:rsidR="00D35A68" w:rsidRDefault="00000000" w:rsidP="003D4B20">
      <w:pPr>
        <w:tabs>
          <w:tab w:val="right" w:pos="9026"/>
        </w:tabs>
        <w:spacing w:before="160" w:after="40" w:line="276" w:lineRule="auto"/>
      </w:pPr>
      <w:r>
        <w:rPr>
          <w:rFonts w:eastAsia="Times New Roman"/>
          <w:b/>
          <w:bCs/>
        </w:rPr>
        <w:t>University College London</w:t>
      </w:r>
      <w:r>
        <w:rPr>
          <w:rFonts w:eastAsia="Times New Roman"/>
          <w:i/>
          <w:iCs/>
        </w:rPr>
        <w:tab/>
        <w:t>2023 – 202</w:t>
      </w:r>
      <w:r w:rsidR="003D4B20">
        <w:rPr>
          <w:rFonts w:eastAsia="Times New Roman"/>
          <w:i/>
          <w:iCs/>
        </w:rPr>
        <w:t>7</w:t>
      </w:r>
    </w:p>
    <w:p w14:paraId="32AC695D" w14:textId="77777777" w:rsidR="00D35A68" w:rsidRDefault="00000000" w:rsidP="003D4B20">
      <w:pPr>
        <w:spacing w:after="40" w:line="276" w:lineRule="auto"/>
      </w:pPr>
      <w:r>
        <w:rPr>
          <w:rFonts w:eastAsia="Times New Roman"/>
          <w:i/>
          <w:iCs/>
        </w:rPr>
        <w:t>BSc Economics with a Year Abroad</w:t>
      </w:r>
    </w:p>
    <w:p w14:paraId="1B52E08A" w14:textId="77777777" w:rsidR="00D35A68" w:rsidRPr="003D4B20" w:rsidRDefault="00000000" w:rsidP="003D4B20">
      <w:pPr>
        <w:tabs>
          <w:tab w:val="right" w:pos="9026"/>
        </w:tabs>
        <w:spacing w:before="160" w:after="40" w:line="276" w:lineRule="auto"/>
        <w:rPr>
          <w:lang w:val="fr-FR"/>
        </w:rPr>
      </w:pPr>
      <w:r w:rsidRPr="003D4B20">
        <w:rPr>
          <w:rFonts w:eastAsia="Times New Roman"/>
          <w:b/>
          <w:bCs/>
          <w:lang w:val="fr-FR"/>
        </w:rPr>
        <w:t>Sciences Po, Le Havre Campus</w:t>
      </w:r>
      <w:r w:rsidRPr="003D4B20">
        <w:rPr>
          <w:rFonts w:eastAsia="Times New Roman"/>
          <w:i/>
          <w:iCs/>
          <w:lang w:val="fr-FR"/>
        </w:rPr>
        <w:tab/>
        <w:t>2025 – 2026</w:t>
      </w:r>
    </w:p>
    <w:p w14:paraId="557CDA1C" w14:textId="3ECB45BA" w:rsidR="00D35A68" w:rsidRDefault="00000000" w:rsidP="003D4B20">
      <w:pPr>
        <w:spacing w:after="40" w:line="276" w:lineRule="auto"/>
        <w:rPr>
          <w:rFonts w:eastAsia="Times New Roman"/>
          <w:i/>
          <w:iCs/>
        </w:rPr>
      </w:pPr>
      <w:r>
        <w:rPr>
          <w:rFonts w:eastAsia="Times New Roman"/>
          <w:i/>
          <w:iCs/>
        </w:rPr>
        <w:t>Year Abroad Exchange</w:t>
      </w:r>
    </w:p>
    <w:p w14:paraId="07398E33" w14:textId="77777777" w:rsidR="003D4B20" w:rsidRDefault="003D4B20" w:rsidP="003D4B20">
      <w:pPr>
        <w:spacing w:after="40" w:line="276" w:lineRule="auto"/>
      </w:pPr>
    </w:p>
    <w:p w14:paraId="31C8450E" w14:textId="77777777" w:rsidR="00D35A68" w:rsidRDefault="00000000" w:rsidP="003D4B20">
      <w:pPr>
        <w:pBdr>
          <w:bottom w:val="single" w:sz="4" w:space="2" w:color="000000"/>
        </w:pBdr>
        <w:spacing w:before="200" w:after="80" w:line="276" w:lineRule="auto"/>
      </w:pPr>
      <w:r>
        <w:rPr>
          <w:rFonts w:eastAsia="Times New Roman"/>
          <w:b/>
          <w:bCs/>
        </w:rPr>
        <w:t>WORK EXPERIENCE</w:t>
      </w:r>
    </w:p>
    <w:p w14:paraId="0BB0CC63" w14:textId="0B14DB77" w:rsidR="003D4B20" w:rsidRPr="003D4B20" w:rsidRDefault="003D4B20" w:rsidP="003D4B20">
      <w:pPr>
        <w:tabs>
          <w:tab w:val="right" w:pos="9026"/>
        </w:tabs>
        <w:spacing w:before="160" w:after="40" w:line="276" w:lineRule="auto"/>
        <w:rPr>
          <w:rFonts w:hint="eastAsia"/>
        </w:rPr>
      </w:pPr>
      <w:r>
        <w:rPr>
          <w:rFonts w:eastAsia="Times New Roman" w:hint="eastAsia"/>
          <w:b/>
          <w:bCs/>
        </w:rPr>
        <w:t>T</w:t>
      </w:r>
      <w:r>
        <w:rPr>
          <w:rFonts w:eastAsia="Times New Roman"/>
          <w:b/>
          <w:bCs/>
        </w:rPr>
        <w:t xml:space="preserve">hink Tank Policy </w:t>
      </w:r>
      <w:r>
        <w:rPr>
          <w:rFonts w:eastAsia="Times New Roman" w:hint="eastAsia"/>
          <w:b/>
          <w:bCs/>
        </w:rPr>
        <w:t>Research</w:t>
      </w:r>
      <w:r>
        <w:rPr>
          <w:rFonts w:eastAsia="Times New Roman"/>
          <w:b/>
          <w:bCs/>
        </w:rPr>
        <w:t xml:space="preserve"> </w:t>
      </w:r>
      <w:r>
        <w:rPr>
          <w:rFonts w:eastAsia="Times New Roman" w:hint="eastAsia"/>
          <w:b/>
          <w:bCs/>
        </w:rPr>
        <w:t>Intern</w:t>
      </w:r>
      <w:r>
        <w:rPr>
          <w:rFonts w:eastAsia="Times New Roman"/>
          <w:b/>
          <w:bCs/>
        </w:rPr>
        <w:tab/>
      </w:r>
      <w:r>
        <w:rPr>
          <w:rFonts w:eastAsia="Times New Roman"/>
          <w:i/>
          <w:iCs/>
        </w:rPr>
        <w:t>2025 – Present</w:t>
      </w:r>
    </w:p>
    <w:p w14:paraId="79A1DAD8" w14:textId="5839DC74" w:rsidR="003D4B20" w:rsidRPr="003D4B20" w:rsidRDefault="00000000" w:rsidP="003D4B20">
      <w:pPr>
        <w:tabs>
          <w:tab w:val="right" w:pos="9026"/>
        </w:tabs>
        <w:spacing w:before="160" w:after="40" w:line="276" w:lineRule="auto"/>
        <w:rPr>
          <w:rFonts w:eastAsia="Times New Roman"/>
          <w:i/>
          <w:iCs/>
        </w:rPr>
      </w:pPr>
      <w:r w:rsidRPr="003D4B20">
        <w:rPr>
          <w:rFonts w:eastAsia="Times New Roman"/>
          <w:i/>
          <w:iCs/>
        </w:rPr>
        <w:t>The Asian Institute</w:t>
      </w:r>
      <w:r w:rsidR="003D4B20">
        <w:rPr>
          <w:rFonts w:eastAsia="Times New Roman"/>
          <w:i/>
          <w:iCs/>
        </w:rPr>
        <w:t xml:space="preserve"> </w:t>
      </w:r>
      <w:r w:rsidRPr="003D4B20">
        <w:rPr>
          <w:rFonts w:eastAsia="Times New Roman" w:hint="eastAsia"/>
          <w:i/>
          <w:iCs/>
        </w:rPr>
        <w:tab/>
      </w:r>
    </w:p>
    <w:p w14:paraId="12ED55F4" w14:textId="7CCA5813" w:rsidR="00D35A68" w:rsidRDefault="00000000" w:rsidP="003D4B20">
      <w:pPr>
        <w:tabs>
          <w:tab w:val="right" w:pos="9026"/>
        </w:tabs>
        <w:spacing w:before="160" w:after="40" w:line="276" w:lineRule="auto"/>
      </w:pPr>
      <w:r>
        <w:rPr>
          <w:rFonts w:eastAsia="Times New Roman"/>
        </w:rPr>
        <w:t>Produce structured literature reviews and evidence syntheses on Japan's silver economy, covering demographic trends, pension reform, and long-term care financing.</w:t>
      </w:r>
    </w:p>
    <w:p w14:paraId="36073CCB" w14:textId="77777777" w:rsidR="00D35A68" w:rsidRDefault="00000000" w:rsidP="003D4B20">
      <w:pPr>
        <w:pStyle w:val="a4"/>
        <w:numPr>
          <w:ilvl w:val="0"/>
          <w:numId w:val="2"/>
        </w:numPr>
        <w:spacing w:before="20" w:after="20" w:line="276" w:lineRule="auto"/>
      </w:pPr>
      <w:r>
        <w:rPr>
          <w:rFonts w:eastAsia="Times New Roman"/>
        </w:rPr>
        <w:t>Conduct country-level and sector-level policy analysis on EV industry development, regulatory frameworks, and green transition policy across East Asian markets.</w:t>
      </w:r>
    </w:p>
    <w:p w14:paraId="4EB418B4" w14:textId="77777777" w:rsidR="00D35A68" w:rsidRDefault="00000000" w:rsidP="003D4B20">
      <w:pPr>
        <w:pStyle w:val="a4"/>
        <w:numPr>
          <w:ilvl w:val="0"/>
          <w:numId w:val="2"/>
        </w:numPr>
        <w:spacing w:before="20" w:after="20" w:line="276" w:lineRule="auto"/>
      </w:pPr>
      <w:r>
        <w:rPr>
          <w:rFonts w:eastAsia="Times New Roman"/>
        </w:rPr>
        <w:t>Translate research findings into policy-oriented outputs and briefings for practitioner audiences.</w:t>
      </w:r>
    </w:p>
    <w:p w14:paraId="6E248CE0" w14:textId="77777777" w:rsidR="00D35A68" w:rsidRPr="003D4B20" w:rsidRDefault="00000000" w:rsidP="003D4B20">
      <w:pPr>
        <w:pStyle w:val="a4"/>
        <w:numPr>
          <w:ilvl w:val="0"/>
          <w:numId w:val="2"/>
        </w:numPr>
        <w:spacing w:before="20" w:after="20" w:line="276" w:lineRule="auto"/>
      </w:pPr>
      <w:r>
        <w:rPr>
          <w:rFonts w:eastAsia="Times New Roman"/>
        </w:rPr>
        <w:t>Contribute to internal research meetings and assist with preparation of policy documents.</w:t>
      </w:r>
    </w:p>
    <w:p w14:paraId="163C3EFB" w14:textId="77777777" w:rsidR="003D4B20" w:rsidRDefault="003D4B20" w:rsidP="003D4B20">
      <w:pPr>
        <w:spacing w:before="20" w:after="20" w:line="276" w:lineRule="auto"/>
        <w:rPr>
          <w:rFonts w:hint="eastAsia"/>
        </w:rPr>
      </w:pPr>
    </w:p>
    <w:p w14:paraId="0B3D6544" w14:textId="3A4C91C4" w:rsidR="00D35A68" w:rsidRDefault="00000000" w:rsidP="003D4B20">
      <w:pPr>
        <w:pBdr>
          <w:bottom w:val="single" w:sz="4" w:space="2" w:color="000000"/>
        </w:pBdr>
        <w:spacing w:before="200" w:after="80" w:line="276" w:lineRule="auto"/>
      </w:pPr>
      <w:r>
        <w:rPr>
          <w:rFonts w:eastAsia="Times New Roman"/>
          <w:b/>
          <w:bCs/>
        </w:rPr>
        <w:t>RESEARCH EXPERIENCE</w:t>
      </w:r>
    </w:p>
    <w:p w14:paraId="4D6286CB" w14:textId="77777777" w:rsidR="00D35A68" w:rsidRDefault="00000000" w:rsidP="003D4B20">
      <w:pPr>
        <w:tabs>
          <w:tab w:val="right" w:pos="9026"/>
        </w:tabs>
        <w:spacing w:before="160" w:after="40" w:line="276" w:lineRule="auto"/>
      </w:pPr>
      <w:r>
        <w:rPr>
          <w:rFonts w:eastAsia="Times New Roman"/>
          <w:b/>
          <w:bCs/>
        </w:rPr>
        <w:t>Independent Research Project</w:t>
      </w:r>
      <w:r>
        <w:rPr>
          <w:rFonts w:eastAsia="Times New Roman"/>
          <w:i/>
          <w:iCs/>
        </w:rPr>
        <w:tab/>
        <w:t>November 2025</w:t>
      </w:r>
    </w:p>
    <w:p w14:paraId="57D9F036" w14:textId="77777777" w:rsidR="00D35A68" w:rsidRDefault="00000000" w:rsidP="003D4B20">
      <w:pPr>
        <w:spacing w:after="40" w:line="276" w:lineRule="auto"/>
      </w:pPr>
      <w:r>
        <w:rPr>
          <w:rFonts w:eastAsia="Times New Roman"/>
          <w:i/>
          <w:iCs/>
        </w:rPr>
        <w:t xml:space="preserve">Institutional Divergence between China and Europe: Shanxi </w:t>
      </w:r>
      <w:proofErr w:type="spellStart"/>
      <w:r>
        <w:rPr>
          <w:rFonts w:eastAsia="Times New Roman"/>
          <w:i/>
          <w:iCs/>
        </w:rPr>
        <w:t>Piaohao</w:t>
      </w:r>
      <w:proofErr w:type="spellEnd"/>
      <w:r>
        <w:rPr>
          <w:rFonts w:eastAsia="Times New Roman"/>
          <w:i/>
          <w:iCs/>
        </w:rPr>
        <w:t xml:space="preserve"> and German Universal Banks (1842–1913)</w:t>
      </w:r>
    </w:p>
    <w:p w14:paraId="5EE138FB" w14:textId="77777777" w:rsidR="00D35A68" w:rsidRDefault="00000000" w:rsidP="003D4B20">
      <w:pPr>
        <w:pStyle w:val="a4"/>
        <w:numPr>
          <w:ilvl w:val="0"/>
          <w:numId w:val="2"/>
        </w:numPr>
        <w:spacing w:before="20" w:after="20" w:line="276" w:lineRule="auto"/>
      </w:pPr>
      <w:r>
        <w:rPr>
          <w:rFonts w:eastAsia="Times New Roman"/>
        </w:rPr>
        <w:t>Conducted comparative historical analysis applying a political economy framework to examine how state-finance relationships shaped divergent institutional outcomes under authoritarian political structures.</w:t>
      </w:r>
    </w:p>
    <w:p w14:paraId="0153EE92" w14:textId="77777777" w:rsidR="00D35A68" w:rsidRDefault="00000000" w:rsidP="003D4B20">
      <w:pPr>
        <w:pStyle w:val="a4"/>
        <w:numPr>
          <w:ilvl w:val="0"/>
          <w:numId w:val="2"/>
        </w:numPr>
        <w:spacing w:before="20" w:after="20" w:line="276" w:lineRule="auto"/>
      </w:pPr>
      <w:proofErr w:type="spellStart"/>
      <w:r>
        <w:rPr>
          <w:rFonts w:eastAsia="Times New Roman"/>
        </w:rPr>
        <w:t>Synthesised</w:t>
      </w:r>
      <w:proofErr w:type="spellEnd"/>
      <w:r>
        <w:rPr>
          <w:rFonts w:eastAsia="Times New Roman"/>
        </w:rPr>
        <w:t xml:space="preserve"> evidence across archival studies, quantitative datasets, and theoretical literature to develop an original argument; revised the paper into a policy-oriented writing sample for think tank applications.</w:t>
      </w:r>
    </w:p>
    <w:p w14:paraId="0BF41469" w14:textId="77777777" w:rsidR="00D35A68" w:rsidRDefault="00000000" w:rsidP="003D4B20">
      <w:pPr>
        <w:tabs>
          <w:tab w:val="right" w:pos="9026"/>
        </w:tabs>
        <w:spacing w:before="160" w:after="40" w:line="276" w:lineRule="auto"/>
      </w:pPr>
      <w:r>
        <w:rPr>
          <w:rFonts w:eastAsia="Times New Roman"/>
          <w:b/>
          <w:bCs/>
        </w:rPr>
        <w:t>Explore Econ Conference Paper (Co-Author, presented)</w:t>
      </w:r>
      <w:r>
        <w:rPr>
          <w:rFonts w:eastAsia="Times New Roman"/>
          <w:i/>
          <w:iCs/>
        </w:rPr>
        <w:tab/>
        <w:t>May 2025</w:t>
      </w:r>
    </w:p>
    <w:p w14:paraId="2DBFAA8E" w14:textId="77777777" w:rsidR="00D35A68" w:rsidRDefault="00000000" w:rsidP="003D4B20">
      <w:pPr>
        <w:spacing w:after="40" w:line="276" w:lineRule="auto"/>
      </w:pPr>
      <w:r>
        <w:rPr>
          <w:rFonts w:eastAsia="Times New Roman"/>
          <w:i/>
          <w:iCs/>
        </w:rPr>
        <w:t>Effectiveness of the Collateral Channel as a Monetary Policy Transmission Mechanism in Emerging Market Economies</w:t>
      </w:r>
    </w:p>
    <w:p w14:paraId="2CFEE796" w14:textId="77777777" w:rsidR="00D35A68" w:rsidRDefault="00000000" w:rsidP="003D4B20">
      <w:pPr>
        <w:pStyle w:val="a4"/>
        <w:numPr>
          <w:ilvl w:val="0"/>
          <w:numId w:val="2"/>
        </w:numPr>
        <w:spacing w:before="20" w:after="20" w:line="276" w:lineRule="auto"/>
      </w:pPr>
      <w:r>
        <w:rPr>
          <w:rFonts w:eastAsia="Times New Roman"/>
        </w:rPr>
        <w:t>Cleaned and managed cross-country macroeconomic panel datasets in Stata and Excel; contributed to empirical regression analysis and mathematical derivation of key mechanisms.</w:t>
      </w:r>
    </w:p>
    <w:p w14:paraId="4A072717" w14:textId="77777777" w:rsidR="00D35A68" w:rsidRDefault="00000000" w:rsidP="003D4B20">
      <w:pPr>
        <w:pStyle w:val="a4"/>
        <w:numPr>
          <w:ilvl w:val="0"/>
          <w:numId w:val="2"/>
        </w:numPr>
        <w:spacing w:before="20" w:after="20" w:line="276" w:lineRule="auto"/>
      </w:pPr>
      <w:r>
        <w:rPr>
          <w:rFonts w:eastAsia="Times New Roman"/>
        </w:rPr>
        <w:t>Conducted systematic literature reviews across leading economics journals; selected to present findings at the Explore Econ conference.</w:t>
      </w:r>
    </w:p>
    <w:p w14:paraId="5EB73805" w14:textId="3565BA69" w:rsidR="00D35A68" w:rsidRDefault="00000000" w:rsidP="003D4B20">
      <w:pPr>
        <w:tabs>
          <w:tab w:val="right" w:pos="9026"/>
        </w:tabs>
        <w:spacing w:before="160" w:after="40" w:line="276" w:lineRule="auto"/>
      </w:pPr>
      <w:r>
        <w:rPr>
          <w:rFonts w:eastAsia="Times New Roman"/>
          <w:b/>
          <w:bCs/>
        </w:rPr>
        <w:t>Committee Member and Research Assistant</w:t>
      </w:r>
      <w:r w:rsidR="003D4B20" w:rsidRPr="003D4B20">
        <w:rPr>
          <w:rFonts w:eastAsia="Times New Roman"/>
          <w:i/>
          <w:iCs/>
        </w:rPr>
        <w:t xml:space="preserve"> </w:t>
      </w:r>
      <w:r w:rsidR="003D4B20">
        <w:rPr>
          <w:rFonts w:eastAsia="Times New Roman"/>
          <w:i/>
          <w:iCs/>
        </w:rPr>
        <w:tab/>
      </w:r>
      <w:r w:rsidR="003D4B20">
        <w:rPr>
          <w:rFonts w:eastAsia="Times New Roman"/>
          <w:i/>
          <w:iCs/>
        </w:rPr>
        <w:t>May 2025</w:t>
      </w:r>
      <w:r w:rsidR="003D4B20">
        <w:br/>
      </w:r>
      <w:r w:rsidR="003D4B20" w:rsidRPr="003D4B20">
        <w:rPr>
          <w:rFonts w:eastAsia="Times New Roman"/>
          <w:i/>
          <w:iCs/>
        </w:rPr>
        <w:t xml:space="preserve">UCL Explore Econ 2025 </w:t>
      </w:r>
      <w:proofErr w:type="spellStart"/>
      <w:r w:rsidR="003D4B20" w:rsidRPr="003D4B20">
        <w:rPr>
          <w:rFonts w:eastAsia="Times New Roman"/>
          <w:i/>
          <w:iCs/>
        </w:rPr>
        <w:t>Conference</w:t>
      </w:r>
      <w:r>
        <w:rPr>
          <w:rFonts w:eastAsia="Times New Roman"/>
        </w:rPr>
        <w:t>Served</w:t>
      </w:r>
      <w:proofErr w:type="spellEnd"/>
      <w:r>
        <w:rPr>
          <w:rFonts w:eastAsia="Times New Roman"/>
        </w:rPr>
        <w:t xml:space="preserve"> as Research Assistant to Professor </w:t>
      </w:r>
      <w:proofErr w:type="spellStart"/>
      <w:r>
        <w:rPr>
          <w:rFonts w:eastAsia="Times New Roman"/>
        </w:rPr>
        <w:t>Ramin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Nassehi</w:t>
      </w:r>
      <w:proofErr w:type="spellEnd"/>
      <w:r>
        <w:rPr>
          <w:rFonts w:eastAsia="Times New Roman"/>
        </w:rPr>
        <w:t>, supporting paper review and selection processes across submitted conference papers.</w:t>
      </w:r>
    </w:p>
    <w:p w14:paraId="35ECF69A" w14:textId="77777777" w:rsidR="00D35A68" w:rsidRDefault="00000000" w:rsidP="003D4B20">
      <w:pPr>
        <w:pStyle w:val="a4"/>
        <w:numPr>
          <w:ilvl w:val="0"/>
          <w:numId w:val="2"/>
        </w:numPr>
        <w:spacing w:before="20" w:after="20" w:line="276" w:lineRule="auto"/>
      </w:pPr>
      <w:r>
        <w:rPr>
          <w:rFonts w:eastAsia="Times New Roman"/>
        </w:rPr>
        <w:lastRenderedPageBreak/>
        <w:t>Coordinated communication between committee members and shortlisted authors; provided on-site academic coordination and logistics.</w:t>
      </w:r>
    </w:p>
    <w:p w14:paraId="5EBD432B" w14:textId="2680DD5A" w:rsidR="00D35A68" w:rsidRDefault="00000000" w:rsidP="003D4B20">
      <w:pPr>
        <w:tabs>
          <w:tab w:val="right" w:pos="9026"/>
        </w:tabs>
        <w:spacing w:before="160" w:after="40" w:line="276" w:lineRule="auto"/>
      </w:pPr>
      <w:r>
        <w:rPr>
          <w:rFonts w:eastAsia="Times New Roman"/>
          <w:b/>
          <w:bCs/>
        </w:rPr>
        <w:t xml:space="preserve">UK COVID-19 Policy </w:t>
      </w:r>
      <w:proofErr w:type="gramStart"/>
      <w:r>
        <w:rPr>
          <w:rFonts w:eastAsia="Times New Roman"/>
          <w:b/>
          <w:bCs/>
        </w:rPr>
        <w:t xml:space="preserve">Evaluation  </w:t>
      </w:r>
      <w:r>
        <w:rPr>
          <w:rFonts w:eastAsia="Times New Roman"/>
          <w:i/>
          <w:iCs/>
        </w:rPr>
        <w:tab/>
      </w:r>
      <w:proofErr w:type="gramEnd"/>
      <w:r>
        <w:rPr>
          <w:rFonts w:eastAsia="Times New Roman"/>
          <w:i/>
          <w:iCs/>
        </w:rPr>
        <w:t>November 2023</w:t>
      </w:r>
    </w:p>
    <w:p w14:paraId="1DC69E91" w14:textId="77777777" w:rsidR="00D35A68" w:rsidRDefault="00000000" w:rsidP="003D4B20">
      <w:pPr>
        <w:pStyle w:val="a4"/>
        <w:numPr>
          <w:ilvl w:val="0"/>
          <w:numId w:val="2"/>
        </w:numPr>
        <w:spacing w:before="20" w:after="20" w:line="276" w:lineRule="auto"/>
      </w:pPr>
      <w:r>
        <w:rPr>
          <w:rFonts w:eastAsia="Times New Roman"/>
        </w:rPr>
        <w:t>Assessed the effectiveness of UK pandemic control policies using OLS regression with a one-month time lag, modelling new infection rates against a constructed policy stringency index with a full set of control variables.</w:t>
      </w:r>
    </w:p>
    <w:p w14:paraId="67BDE143" w14:textId="77777777" w:rsidR="00D35A68" w:rsidRDefault="00000000" w:rsidP="003D4B20">
      <w:pPr>
        <w:pStyle w:val="a4"/>
        <w:numPr>
          <w:ilvl w:val="0"/>
          <w:numId w:val="2"/>
        </w:numPr>
        <w:spacing w:before="20" w:after="20" w:line="276" w:lineRule="auto"/>
      </w:pPr>
      <w:r>
        <w:rPr>
          <w:rFonts w:eastAsia="Times New Roman"/>
        </w:rPr>
        <w:t>Conducted robustness checks to validate findings; led group data management and coordination.</w:t>
      </w:r>
    </w:p>
    <w:p w14:paraId="7A77B734" w14:textId="6AE6FA4B" w:rsidR="00D35A68" w:rsidRDefault="00000000" w:rsidP="003D4B20">
      <w:pPr>
        <w:tabs>
          <w:tab w:val="right" w:pos="9026"/>
        </w:tabs>
        <w:spacing w:before="160" w:after="40" w:line="276" w:lineRule="auto"/>
      </w:pPr>
      <w:r>
        <w:rPr>
          <w:rFonts w:eastAsia="Times New Roman"/>
          <w:b/>
          <w:bCs/>
        </w:rPr>
        <w:t xml:space="preserve">Geopolitics of the Cost-of-Living </w:t>
      </w:r>
      <w:proofErr w:type="gramStart"/>
      <w:r>
        <w:rPr>
          <w:rFonts w:eastAsia="Times New Roman"/>
          <w:b/>
          <w:bCs/>
        </w:rPr>
        <w:t xml:space="preserve">Crisis  </w:t>
      </w:r>
      <w:r>
        <w:rPr>
          <w:rFonts w:eastAsia="Times New Roman"/>
          <w:i/>
          <w:iCs/>
        </w:rPr>
        <w:tab/>
      </w:r>
      <w:proofErr w:type="gramEnd"/>
      <w:r>
        <w:rPr>
          <w:rFonts w:eastAsia="Times New Roman"/>
          <w:i/>
          <w:iCs/>
        </w:rPr>
        <w:t>May 2024</w:t>
      </w:r>
    </w:p>
    <w:p w14:paraId="5DBC4D5C" w14:textId="77777777" w:rsidR="00D35A68" w:rsidRDefault="00000000" w:rsidP="003D4B20">
      <w:pPr>
        <w:pStyle w:val="a4"/>
        <w:numPr>
          <w:ilvl w:val="0"/>
          <w:numId w:val="2"/>
        </w:numPr>
        <w:spacing w:before="20" w:after="20" w:line="276" w:lineRule="auto"/>
      </w:pPr>
      <w:proofErr w:type="spellStart"/>
      <w:r>
        <w:rPr>
          <w:rFonts w:eastAsia="Times New Roman"/>
        </w:rPr>
        <w:t>Analysed</w:t>
      </w:r>
      <w:proofErr w:type="spellEnd"/>
      <w:r>
        <w:rPr>
          <w:rFonts w:eastAsia="Times New Roman"/>
        </w:rPr>
        <w:t xml:space="preserve"> geopolitical and macroeconomic drivers of the global cost-of-living crisis using IMF, OECD, and World Bank data; produced structured policy analysis situating inflationary dynamics in their post-pandemic context.</w:t>
      </w:r>
    </w:p>
    <w:p w14:paraId="1BF0ABD9" w14:textId="77777777" w:rsidR="00D35A68" w:rsidRDefault="00000000" w:rsidP="003D4B20">
      <w:pPr>
        <w:pBdr>
          <w:bottom w:val="single" w:sz="4" w:space="2" w:color="000000"/>
        </w:pBdr>
        <w:spacing w:before="200" w:after="80" w:line="276" w:lineRule="auto"/>
      </w:pPr>
      <w:r>
        <w:rPr>
          <w:rFonts w:eastAsia="Times New Roman"/>
          <w:b/>
          <w:bCs/>
        </w:rPr>
        <w:t>SKILLS AND LANGUAGES</w:t>
      </w:r>
    </w:p>
    <w:p w14:paraId="7AFD6D1C" w14:textId="13A153EE" w:rsidR="00D35A68" w:rsidRDefault="00000000" w:rsidP="003D4B20">
      <w:pPr>
        <w:spacing w:after="40" w:line="276" w:lineRule="auto"/>
      </w:pPr>
      <w:r>
        <w:rPr>
          <w:rFonts w:eastAsia="Times New Roman"/>
          <w:b/>
          <w:bCs/>
        </w:rPr>
        <w:t xml:space="preserve">Software:  </w:t>
      </w:r>
      <w:r>
        <w:rPr>
          <w:rFonts w:eastAsia="Times New Roman"/>
        </w:rPr>
        <w:t>Stata, Excel</w:t>
      </w:r>
      <w:r w:rsidR="003D4B20">
        <w:rPr>
          <w:rFonts w:eastAsia="Times New Roman"/>
        </w:rPr>
        <w:t>, Tableau.</w:t>
      </w:r>
    </w:p>
    <w:p w14:paraId="674FBDBC" w14:textId="03C4B01F" w:rsidR="00D35A68" w:rsidRDefault="00000000" w:rsidP="003D4B20">
      <w:pPr>
        <w:spacing w:after="40" w:line="276" w:lineRule="auto"/>
      </w:pPr>
      <w:r>
        <w:rPr>
          <w:rFonts w:eastAsia="Times New Roman"/>
          <w:b/>
          <w:bCs/>
        </w:rPr>
        <w:t xml:space="preserve">Languages:  </w:t>
      </w:r>
      <w:r>
        <w:rPr>
          <w:rFonts w:eastAsia="Times New Roman"/>
        </w:rPr>
        <w:t>Mandarin (</w:t>
      </w:r>
      <w:proofErr w:type="gramStart"/>
      <w:r>
        <w:rPr>
          <w:rFonts w:eastAsia="Times New Roman"/>
        </w:rPr>
        <w:t xml:space="preserve">native)   </w:t>
      </w:r>
      <w:proofErr w:type="gramEnd"/>
      <w:r>
        <w:rPr>
          <w:rFonts w:eastAsia="Times New Roman"/>
        </w:rPr>
        <w:t xml:space="preserve">English (C1)   </w:t>
      </w:r>
    </w:p>
    <w:p w14:paraId="1334B306" w14:textId="77777777" w:rsidR="00D35A68" w:rsidRDefault="00000000" w:rsidP="003D4B20">
      <w:pPr>
        <w:spacing w:after="40" w:line="276" w:lineRule="auto"/>
      </w:pPr>
      <w:r>
        <w:rPr>
          <w:rFonts w:eastAsia="Times New Roman"/>
          <w:b/>
          <w:bCs/>
        </w:rPr>
        <w:t xml:space="preserve">Right to work:  </w:t>
      </w:r>
      <w:r>
        <w:rPr>
          <w:rFonts w:eastAsia="Times New Roman"/>
        </w:rPr>
        <w:t>UCL Student visa — full-time work permitted during university vacation periods; available full-time from July 2026</w:t>
      </w:r>
    </w:p>
    <w:sectPr w:rsidR="00D35A68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0873EE"/>
    <w:multiLevelType w:val="hybridMultilevel"/>
    <w:tmpl w:val="94C61E16"/>
    <w:lvl w:ilvl="0" w:tplc="901612C6">
      <w:start w:val="1"/>
      <w:numFmt w:val="bullet"/>
      <w:lvlText w:val="●"/>
      <w:lvlJc w:val="left"/>
      <w:pPr>
        <w:ind w:left="720" w:hanging="360"/>
      </w:pPr>
    </w:lvl>
    <w:lvl w:ilvl="1" w:tplc="B20E3470">
      <w:start w:val="1"/>
      <w:numFmt w:val="bullet"/>
      <w:lvlText w:val="○"/>
      <w:lvlJc w:val="left"/>
      <w:pPr>
        <w:ind w:left="1440" w:hanging="360"/>
      </w:pPr>
    </w:lvl>
    <w:lvl w:ilvl="2" w:tplc="3406407C">
      <w:start w:val="1"/>
      <w:numFmt w:val="bullet"/>
      <w:lvlText w:val="■"/>
      <w:lvlJc w:val="left"/>
      <w:pPr>
        <w:ind w:left="2160" w:hanging="360"/>
      </w:pPr>
    </w:lvl>
    <w:lvl w:ilvl="3" w:tplc="4FC0DC1E">
      <w:start w:val="1"/>
      <w:numFmt w:val="bullet"/>
      <w:lvlText w:val="●"/>
      <w:lvlJc w:val="left"/>
      <w:pPr>
        <w:ind w:left="2880" w:hanging="360"/>
      </w:pPr>
    </w:lvl>
    <w:lvl w:ilvl="4" w:tplc="EE12A874">
      <w:start w:val="1"/>
      <w:numFmt w:val="bullet"/>
      <w:lvlText w:val="○"/>
      <w:lvlJc w:val="left"/>
      <w:pPr>
        <w:ind w:left="3600" w:hanging="360"/>
      </w:pPr>
    </w:lvl>
    <w:lvl w:ilvl="5" w:tplc="F732F1EE">
      <w:start w:val="1"/>
      <w:numFmt w:val="bullet"/>
      <w:lvlText w:val="■"/>
      <w:lvlJc w:val="left"/>
      <w:pPr>
        <w:ind w:left="4320" w:hanging="360"/>
      </w:pPr>
    </w:lvl>
    <w:lvl w:ilvl="6" w:tplc="C19CF318">
      <w:start w:val="1"/>
      <w:numFmt w:val="bullet"/>
      <w:lvlText w:val="●"/>
      <w:lvlJc w:val="left"/>
      <w:pPr>
        <w:ind w:left="5040" w:hanging="360"/>
      </w:pPr>
    </w:lvl>
    <w:lvl w:ilvl="7" w:tplc="839A2A04">
      <w:start w:val="1"/>
      <w:numFmt w:val="bullet"/>
      <w:lvlText w:val="●"/>
      <w:lvlJc w:val="left"/>
      <w:pPr>
        <w:ind w:left="5760" w:hanging="360"/>
      </w:pPr>
    </w:lvl>
    <w:lvl w:ilvl="8" w:tplc="576080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283515"/>
    <w:multiLevelType w:val="hybridMultilevel"/>
    <w:tmpl w:val="5B181D40"/>
    <w:lvl w:ilvl="0" w:tplc="908A868A">
      <w:start w:val="1"/>
      <w:numFmt w:val="bullet"/>
      <w:lvlText w:val="•"/>
      <w:lvlJc w:val="left"/>
      <w:pPr>
        <w:ind w:left="400" w:hanging="220"/>
      </w:pPr>
    </w:lvl>
    <w:lvl w:ilvl="1" w:tplc="CF769E34">
      <w:numFmt w:val="decimal"/>
      <w:lvlText w:val=""/>
      <w:lvlJc w:val="left"/>
    </w:lvl>
    <w:lvl w:ilvl="2" w:tplc="B13CF534">
      <w:numFmt w:val="decimal"/>
      <w:lvlText w:val=""/>
      <w:lvlJc w:val="left"/>
    </w:lvl>
    <w:lvl w:ilvl="3" w:tplc="7DBAE352">
      <w:numFmt w:val="decimal"/>
      <w:lvlText w:val=""/>
      <w:lvlJc w:val="left"/>
    </w:lvl>
    <w:lvl w:ilvl="4" w:tplc="6CA8E93C">
      <w:numFmt w:val="decimal"/>
      <w:lvlText w:val=""/>
      <w:lvlJc w:val="left"/>
    </w:lvl>
    <w:lvl w:ilvl="5" w:tplc="1F487A06">
      <w:numFmt w:val="decimal"/>
      <w:lvlText w:val=""/>
      <w:lvlJc w:val="left"/>
    </w:lvl>
    <w:lvl w:ilvl="6" w:tplc="CF3E3662">
      <w:numFmt w:val="decimal"/>
      <w:lvlText w:val=""/>
      <w:lvlJc w:val="left"/>
    </w:lvl>
    <w:lvl w:ilvl="7" w:tplc="A7A4C6D2">
      <w:numFmt w:val="decimal"/>
      <w:lvlText w:val=""/>
      <w:lvlJc w:val="left"/>
    </w:lvl>
    <w:lvl w:ilvl="8" w:tplc="EDD24738">
      <w:numFmt w:val="decimal"/>
      <w:lvlText w:val=""/>
      <w:lvlJc w:val="left"/>
    </w:lvl>
  </w:abstractNum>
  <w:num w:numId="1" w16cid:durableId="145703095">
    <w:abstractNumId w:val="0"/>
    <w:lvlOverride w:ilvl="0">
      <w:startOverride w:val="1"/>
    </w:lvlOverride>
  </w:num>
  <w:num w:numId="2" w16cid:durableId="4378731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37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A68"/>
    <w:rsid w:val="003D4B20"/>
    <w:rsid w:val="009D1229"/>
    <w:rsid w:val="00D3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402B1D"/>
  <w15:docId w15:val="{B10B7043-779E-C14B-AB95-6C5C9C6C3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color w:val="000000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Unresolved Mention"/>
    <w:basedOn w:val="a0"/>
    <w:uiPriority w:val="99"/>
    <w:semiHidden/>
    <w:unhideWhenUsed/>
    <w:rsid w:val="003D4B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iatong.liu.23@ucl.ac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Jiatong Liu</cp:lastModifiedBy>
  <cp:revision>2</cp:revision>
  <dcterms:created xsi:type="dcterms:W3CDTF">2026-03-27T14:12:00Z</dcterms:created>
  <dcterms:modified xsi:type="dcterms:W3CDTF">2026-03-27T14:41:00Z</dcterms:modified>
</cp:coreProperties>
</file>