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задании 2 обязательным является построение графов отношений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заданиях 7, 8 и 9 необходимо ответить на все три вопроса. Причем, в заданиях 7 и 8 исследовать свойства отношения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матрице отношения, а в задании 9 – по теореме о необходимом и достаточном признаке транзитивности.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задании 10 укажите свойства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ч.у.м.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л.у.м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., а затем сформулируйте вывод.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задании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укажите свойства каждого отношения 1) – 4) и постройте соответствующие графы.</w:t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257B2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257B2"/>
    <w:pPr>
      <w:spacing w:after="200" w:line="276" w:lineRule="auto"/>
      <w:ind w:left="720"/>
      <w:contextualSpacing w:val="1"/>
    </w:pPr>
    <w:rPr>
      <w:rFonts w:eastAsiaTheme="minorEastAsia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D4pc23EkVAELNB+2M93qVLMv8w==">AMUW2mWCh9DrhqISBeKixGXu2auwnFX52ihc8sstNuTpT7F2TLlc5Rpk3Ez/PEv2XRIUR1H+9xpyhlyv1j3XuUnEzN8YdBgQCtnzcP+WybJgNP2N2Evpkku1fmTnL/e83TLYfDwhjEIL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2021-09-26T13:34:00Z</dcterms:created>
  <dc:creator>Irina</dc:creator>
</cp:coreProperties>
</file>