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Основы теории надежности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№4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«Перечень угроз и опасностей»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477533" cy="85897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533" cy="85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Мухамеджанов Санжар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mqc4yo5iplv3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mqc4yo5iplv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u32xwcgha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knxuwi9t5g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tsldmqvm3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Схема FTA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0bpk2gau8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Описание системы и схема FTA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zrqswbz19k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Перечень угроз и опасностей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vfuccw8x9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Анализ мер безопасности и снижения рисков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Цель работы – Идентификация и анализ угроз и опасностей системы, их причин, последствий и методов контроля. Определение мер для перевода системы в безопасное состояние при отказах. Учет программных ошибок и внешних взаимосвязей. Применение методов нормирования рисков (GAMAB, ALARP, MEM) для дальнейшего анализа.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pageBreakBefore w:val="1"/>
        <w:spacing w:after="240" w:before="240" w:lineRule="auto"/>
        <w:ind w:left="709" w:right="567"/>
        <w:jc w:val="center"/>
        <w:rPr>
          <w:vertAlign w:val="baseline"/>
        </w:rPr>
      </w:pPr>
      <w:bookmarkStart w:colFirst="0" w:colLast="0" w:name="_heading=h.6su32xwcghav" w:id="2"/>
      <w:bookmarkEnd w:id="2"/>
      <w:r w:rsidDel="00000000" w:rsidR="00000000" w:rsidRPr="00000000">
        <w:rPr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Перечень угроз и опасностей должен описывать характеристику каждой опасности системы (подсистемы), причины, которые могут вызвать опасность, опасные события и последствия их возникновения, а также методы и мероприятия, контролирующие правильность выполнения ответственных функций и переводящие систему в безопасное состояние.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Дополнительно для каждого опасного события можно описать метод нормирования (GAMAB, ALARP, MEM). который будет применяться на следующем этапе жизненного цикла функциональной безопасности – анализ (оценка) рисков.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Анализируя деревья опасностей (FTA), которые проектировались в лабораторной работе №2, должны выделить опасности системы.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При не обнаружении опасностей наступает опасное событие, которое считается отказом защитных мер системы.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Необходимо учитывать связь с внешними системами (соседними подсистемами).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Программные ошибки также влияют на работу функций. Для проверки правильной работы программных компонентов необходимо использовать контролирующие функции, которые переводят систему в безопасное состояние в случае наступления отказа. Здесь необходимо определить, что будет являться для рассматриваемой системы безопасным состоянием.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pageBreakBefore w:val="1"/>
        <w:spacing w:after="240" w:before="240" w:lineRule="auto"/>
        <w:ind w:left="709" w:right="567"/>
        <w:jc w:val="center"/>
        <w:rPr>
          <w:vertAlign w:val="baseline"/>
        </w:rPr>
      </w:pPr>
      <w:bookmarkStart w:colFirst="0" w:colLast="0" w:name="_heading=h.yknxuwi9t5gf" w:id="3"/>
      <w:bookmarkEnd w:id="3"/>
      <w:r w:rsidDel="00000000" w:rsidR="00000000" w:rsidRPr="00000000">
        <w:rPr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2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numPr>
          <w:ilvl w:val="0"/>
          <w:numId w:val="2"/>
        </w:numPr>
        <w:spacing w:after="240" w:before="240" w:lineRule="auto"/>
        <w:ind w:left="720" w:right="567" w:hanging="360"/>
        <w:rPr/>
      </w:pPr>
      <w:bookmarkStart w:colFirst="0" w:colLast="0" w:name="_heading=h.jwtsldmqvm3u" w:id="4"/>
      <w:bookmarkEnd w:id="4"/>
      <w:r w:rsidDel="00000000" w:rsidR="00000000" w:rsidRPr="00000000">
        <w:rPr>
          <w:vertAlign w:val="baseline"/>
          <w:rtl w:val="0"/>
        </w:rPr>
        <w:t xml:space="preserve">Схема FTA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400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1 - Схема FTA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numPr>
          <w:ilvl w:val="0"/>
          <w:numId w:val="2"/>
        </w:numPr>
        <w:spacing w:after="240" w:before="240" w:lineRule="auto"/>
        <w:ind w:left="720" w:right="567" w:hanging="360"/>
        <w:rPr/>
      </w:pPr>
      <w:bookmarkStart w:colFirst="0" w:colLast="0" w:name="_heading=h.10bpk2gau8bq" w:id="5"/>
      <w:bookmarkEnd w:id="5"/>
      <w:r w:rsidDel="00000000" w:rsidR="00000000" w:rsidRPr="00000000">
        <w:rPr>
          <w:rtl w:val="0"/>
        </w:rPr>
        <w:t xml:space="preserve">Описание системы и схема FTA</w:t>
      </w:r>
    </w:p>
    <w:p w:rsidR="00000000" w:rsidDel="00000000" w:rsidP="00000000" w:rsidRDefault="00000000" w:rsidRPr="00000000" w14:paraId="00000057">
      <w:pPr>
        <w:keepNext w:val="1"/>
        <w:keepLines w:val="1"/>
        <w:spacing w:after="240" w:before="240" w:lineRule="auto"/>
        <w:ind w:firstLine="720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Анализируемая система — это простая система освещения, в которой лампа может перестать гореть по разным причинам. Для анализа используется метод FTA (Fault Tree Analysis), позволяющий выявить корневые причины отказа верхнего события «ЛАМПА НЕ ГОРИТ».</w:t>
      </w:r>
    </w:p>
    <w:p w:rsidR="00000000" w:rsidDel="00000000" w:rsidP="00000000" w:rsidRDefault="00000000" w:rsidRPr="00000000" w14:paraId="00000058">
      <w:pPr>
        <w:keepNext w:val="1"/>
        <w:keepLines w:val="1"/>
        <w:spacing w:after="240" w:before="240" w:lineRule="auto"/>
        <w:ind w:firstLine="0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Схема включает четыре основные группы причин:</w:t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G1 - Отказ источника питания</w:t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G2 - Отказ преобразователя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G3 - Отказ проводки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3"/>
        </w:numPr>
        <w:spacing w:after="240" w:before="0" w:beforeAutospacing="0" w:lineRule="auto"/>
        <w:ind w:left="720" w:hanging="360"/>
        <w:jc w:val="left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G4 - Отказ самой лампы</w:t>
      </w:r>
    </w:p>
    <w:p w:rsidR="00000000" w:rsidDel="00000000" w:rsidP="00000000" w:rsidRDefault="00000000" w:rsidRPr="00000000" w14:paraId="0000005D">
      <w:pPr>
        <w:keepNext w:val="1"/>
        <w:keepLines w:val="1"/>
        <w:spacing w:after="240" w:before="240" w:lineRule="auto"/>
        <w:ind w:firstLine="0"/>
        <w:rPr/>
      </w:pPr>
      <w:bookmarkStart w:colFirst="0" w:colLast="0" w:name="_heading=h.y0pwb1cckx32" w:id="6"/>
      <w:bookmarkEnd w:id="6"/>
      <w:r w:rsidDel="00000000" w:rsidR="00000000" w:rsidRPr="00000000">
        <w:rPr>
          <w:rtl w:val="0"/>
        </w:rPr>
        <w:t xml:space="preserve">Каждая группа включает промежуточные события и корневые причины.</w:t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heading=h.yzrqswbz19kj" w:id="7"/>
      <w:bookmarkEnd w:id="7"/>
      <w:r w:rsidDel="00000000" w:rsidR="00000000" w:rsidRPr="00000000">
        <w:rPr>
          <w:rtl w:val="0"/>
        </w:rPr>
        <w:t xml:space="preserve">Перечень угроз и опасностей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05"/>
        <w:gridCol w:w="2160"/>
        <w:gridCol w:w="2145"/>
        <w:gridCol w:w="1770"/>
        <w:tblGridChange w:id="0">
          <w:tblGrid>
            <w:gridCol w:w="1665"/>
            <w:gridCol w:w="1605"/>
            <w:gridCol w:w="2160"/>
            <w:gridCol w:w="2145"/>
            <w:gridCol w:w="177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240" w:before="240" w:lineRule="auto"/>
              <w:ind w:firstLine="0"/>
              <w:jc w:val="center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Угроза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240" w:before="240" w:lineRule="auto"/>
              <w:ind w:firstLine="0"/>
              <w:jc w:val="center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Последствия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240" w:before="240" w:lineRule="auto"/>
              <w:ind w:firstLine="0"/>
              <w:jc w:val="center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Причины возникновения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240" w:before="240" w:lineRule="auto"/>
              <w:ind w:firstLine="0"/>
              <w:jc w:val="center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Контроль исполнения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240" w:before="240" w:lineRule="auto"/>
              <w:ind w:firstLine="0"/>
              <w:jc w:val="center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Действия при возникновении отказа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Отключение питания (G1)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Лампа не горит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Отключение электроснабжения (BE1.1)</w:t>
            </w:r>
          </w:p>
          <w:p w:rsidR="00000000" w:rsidDel="00000000" w:rsidP="00000000" w:rsidRDefault="00000000" w:rsidRPr="00000000" w14:paraId="00000067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Отказ главного реле (BE1.2)</w:t>
            </w:r>
          </w:p>
          <w:p w:rsidR="00000000" w:rsidDel="00000000" w:rsidP="00000000" w:rsidRDefault="00000000" w:rsidRPr="00000000" w14:paraId="00000068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3. Перегорание предохранителя (BE1.3)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Регулярная проверка системы электропитания</w:t>
            </w:r>
          </w:p>
          <w:p w:rsidR="00000000" w:rsidDel="00000000" w:rsidP="00000000" w:rsidRDefault="00000000" w:rsidRPr="00000000" w14:paraId="0000006A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Установка резервного источника питания (UPS)</w:t>
            </w:r>
          </w:p>
          <w:p w:rsidR="00000000" w:rsidDel="00000000" w:rsidP="00000000" w:rsidRDefault="00000000" w:rsidRPr="00000000" w14:paraId="0000006B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3. Мониторинг входного напряжения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Активация резервного источника питания</w:t>
            </w:r>
          </w:p>
          <w:p w:rsidR="00000000" w:rsidDel="00000000" w:rsidP="00000000" w:rsidRDefault="00000000" w:rsidRPr="00000000" w14:paraId="0000006D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Проверка подстанции и реле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Отказ преобразователя (G2)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Лампа не горит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Заклинивание выключателя (BE2.1)</w:t>
            </w:r>
          </w:p>
          <w:p w:rsidR="00000000" w:rsidDel="00000000" w:rsidP="00000000" w:rsidRDefault="00000000" w:rsidRPr="00000000" w14:paraId="00000071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Сбой запасного источника (BE2.2)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Периодическая проверка устройств преобразования</w:t>
            </w:r>
          </w:p>
          <w:p w:rsidR="00000000" w:rsidDel="00000000" w:rsidP="00000000" w:rsidRDefault="00000000" w:rsidRPr="00000000" w14:paraId="00000073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Вывод предупреждения об ошибке на систему мониторинга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Замена неисправного выключателя</w:t>
            </w:r>
          </w:p>
          <w:p w:rsidR="00000000" w:rsidDel="00000000" w:rsidP="00000000" w:rsidRDefault="00000000" w:rsidRPr="00000000" w14:paraId="00000075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Проверка исправности преобразователя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Отказ проводки (G3)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Лампа не горит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Обрыв провода (BE3.1, BE3.2)</w:t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Короткое замыкание из-за воды (BE4.1)</w:t>
            </w:r>
          </w:p>
          <w:p w:rsidR="00000000" w:rsidDel="00000000" w:rsidP="00000000" w:rsidRDefault="00000000" w:rsidRPr="00000000" w14:paraId="0000007A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3. Повреждение проводов грызунами (BE4.2)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Использование изолированных проводов высокого качества</w:t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Регулярная проверка целостности проводки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Осмотр и восстановление цепи проводки</w:t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Изоляция поврежденных участков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Отказ лампы (G4)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Лампа не горит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Перегорание лампы (BE5)</w:t>
            </w:r>
          </w:p>
          <w:p w:rsidR="00000000" w:rsidDel="00000000" w:rsidP="00000000" w:rsidRDefault="00000000" w:rsidRPr="00000000" w14:paraId="00000082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Несоответствующий патрон (BE5.1)</w:t>
            </w:r>
          </w:p>
          <w:p w:rsidR="00000000" w:rsidDel="00000000" w:rsidP="00000000" w:rsidRDefault="00000000" w:rsidRPr="00000000" w14:paraId="00000083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3. Повреждение нити накала (BE6)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Проверка качества лампы перед установкой</w:t>
            </w:r>
          </w:p>
          <w:p w:rsidR="00000000" w:rsidDel="00000000" w:rsidP="00000000" w:rsidRDefault="00000000" w:rsidRPr="00000000" w14:paraId="00000085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Использование сертифицированных ламп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1. Замена лампы</w:t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spacing w:after="240" w:before="240" w:lineRule="auto"/>
              <w:ind w:firstLine="0"/>
              <w:rPr/>
            </w:pPr>
            <w:bookmarkStart w:colFirst="0" w:colLast="0" w:name="_heading=h.fvfuccw8x9o0" w:id="8"/>
            <w:bookmarkEnd w:id="8"/>
            <w:r w:rsidDel="00000000" w:rsidR="00000000" w:rsidRPr="00000000">
              <w:rPr>
                <w:rtl w:val="0"/>
              </w:rPr>
              <w:t xml:space="preserve">2. Проверка контактов патрона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keepNext w:val="1"/>
        <w:keepLines w:val="1"/>
        <w:numPr>
          <w:ilvl w:val="0"/>
          <w:numId w:val="2"/>
        </w:numPr>
        <w:spacing w:after="240" w:before="240" w:lineRule="auto"/>
        <w:ind w:left="720" w:hanging="360"/>
        <w:rPr/>
      </w:pPr>
      <w:bookmarkStart w:colFirst="0" w:colLast="0" w:name="_heading=h.fvfuccw8x9o0" w:id="8"/>
      <w:bookmarkEnd w:id="8"/>
      <w:r w:rsidDel="00000000" w:rsidR="00000000" w:rsidRPr="00000000">
        <w:rPr>
          <w:rtl w:val="0"/>
        </w:rPr>
        <w:t xml:space="preserve"> Анализ мер безопасности и снижения рисков</w:t>
      </w:r>
    </w:p>
    <w:p w:rsidR="00000000" w:rsidDel="00000000" w:rsidP="00000000" w:rsidRDefault="00000000" w:rsidRPr="00000000" w14:paraId="00000089">
      <w:pPr>
        <w:keepNext w:val="1"/>
        <w:keepLines w:val="1"/>
        <w:spacing w:after="240" w:before="240" w:lineRule="auto"/>
        <w:ind w:firstLine="0"/>
        <w:rPr/>
      </w:pPr>
      <w:bookmarkStart w:colFirst="0" w:colLast="0" w:name="_heading=h.772a8w1qxnzf" w:id="9"/>
      <w:bookmarkEnd w:id="9"/>
      <w:r w:rsidDel="00000000" w:rsidR="00000000" w:rsidRPr="00000000">
        <w:rPr>
          <w:rtl w:val="0"/>
        </w:rPr>
        <w:t xml:space="preserve">На основе схемы и перечня угроз предлагаются следующие меры для повышения надежности системы и предотвращения отказов:</w:t>
      </w:r>
    </w:p>
    <w:p w:rsidR="00000000" w:rsidDel="00000000" w:rsidP="00000000" w:rsidRDefault="00000000" w:rsidRPr="00000000" w14:paraId="0000008A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bookmarkStart w:colFirst="0" w:colLast="0" w:name="_heading=h.772a8w1qxnzf" w:id="9"/>
      <w:bookmarkEnd w:id="9"/>
      <w:r w:rsidDel="00000000" w:rsidR="00000000" w:rsidRPr="00000000">
        <w:rPr>
          <w:b w:val="1"/>
          <w:rtl w:val="0"/>
        </w:rPr>
        <w:t xml:space="preserve">Для источника питания (G1):</w:t>
      </w:r>
      <w:r w:rsidDel="00000000" w:rsidR="00000000" w:rsidRPr="00000000">
        <w:rPr>
          <w:rtl w:val="0"/>
        </w:rPr>
        <w:t xml:space="preserve"> использование резервного питания и системы мониторинга.</w:t>
      </w:r>
    </w:p>
    <w:p w:rsidR="00000000" w:rsidDel="00000000" w:rsidP="00000000" w:rsidRDefault="00000000" w:rsidRPr="00000000" w14:paraId="0000008B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bookmarkStart w:colFirst="0" w:colLast="0" w:name="_heading=h.772a8w1qxnzf" w:id="9"/>
      <w:bookmarkEnd w:id="9"/>
      <w:r w:rsidDel="00000000" w:rsidR="00000000" w:rsidRPr="00000000">
        <w:rPr>
          <w:b w:val="1"/>
          <w:rtl w:val="0"/>
        </w:rPr>
        <w:t xml:space="preserve">Для преобразователя (G2):</w:t>
      </w:r>
      <w:r w:rsidDel="00000000" w:rsidR="00000000" w:rsidRPr="00000000">
        <w:rPr>
          <w:rtl w:val="0"/>
        </w:rPr>
        <w:t xml:space="preserve"> регулярная проверка выключателей и преобразователей.</w:t>
      </w:r>
    </w:p>
    <w:p w:rsidR="00000000" w:rsidDel="00000000" w:rsidP="00000000" w:rsidRDefault="00000000" w:rsidRPr="00000000" w14:paraId="0000008C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bookmarkStart w:colFirst="0" w:colLast="0" w:name="_heading=h.772a8w1qxnzf" w:id="9"/>
      <w:bookmarkEnd w:id="9"/>
      <w:r w:rsidDel="00000000" w:rsidR="00000000" w:rsidRPr="00000000">
        <w:rPr>
          <w:b w:val="1"/>
          <w:rtl w:val="0"/>
        </w:rPr>
        <w:t xml:space="preserve">Для проводки (G3):</w:t>
      </w:r>
      <w:r w:rsidDel="00000000" w:rsidR="00000000" w:rsidRPr="00000000">
        <w:rPr>
          <w:rtl w:val="0"/>
        </w:rPr>
        <w:t xml:space="preserve"> применение влагозащищенных проводов и диагностика состояния изоляции.</w:t>
      </w:r>
    </w:p>
    <w:p w:rsidR="00000000" w:rsidDel="00000000" w:rsidP="00000000" w:rsidRDefault="00000000" w:rsidRPr="00000000" w14:paraId="0000008D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bookmarkStart w:colFirst="0" w:colLast="0" w:name="_heading=h.772a8w1qxnzf" w:id="9"/>
      <w:bookmarkEnd w:id="9"/>
      <w:r w:rsidDel="00000000" w:rsidR="00000000" w:rsidRPr="00000000">
        <w:rPr>
          <w:b w:val="1"/>
          <w:rtl w:val="0"/>
        </w:rPr>
        <w:t xml:space="preserve">Для лампы (G4):</w:t>
      </w:r>
      <w:r w:rsidDel="00000000" w:rsidR="00000000" w:rsidRPr="00000000">
        <w:rPr>
          <w:rtl w:val="0"/>
        </w:rPr>
        <w:t xml:space="preserve"> использование качественных ламп и проверка правильности установки.</w:t>
      </w:r>
    </w:p>
    <w:p w:rsidR="00000000" w:rsidDel="00000000" w:rsidP="00000000" w:rsidRDefault="00000000" w:rsidRPr="00000000" w14:paraId="0000008E">
      <w:pPr>
        <w:keepNext w:val="1"/>
        <w:keepLines w:val="1"/>
        <w:spacing w:after="240" w:before="240" w:lineRule="auto"/>
        <w:ind w:left="0" w:firstLine="0"/>
        <w:rPr/>
      </w:pPr>
      <w:bookmarkStart w:colFirst="0" w:colLast="0" w:name="_heading=h.772a8w1qxnz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В данной лабораторной работе был проведен анализ отказов системы освещения с использованием метода FTA, выявлены угрозы, их причины, меры контроля и возможные способы устранения неисправностей. Такой подход помогает оценить риски и повысить надежность работы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95">
    <w:pPr>
      <w:ind w:firstLine="0"/>
      <w:jc w:val="center"/>
      <w:rPr/>
    </w:pPr>
    <w:r w:rsidDel="00000000" w:rsidR="00000000" w:rsidRPr="00000000">
      <w:rPr>
        <w:rtl w:val="0"/>
      </w:rPr>
      <w:t xml:space="preserve">2025 г.</w:t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1"/>
      <w:tabs>
        <w:tab w:val="center" w:leader="none" w:pos="4677"/>
        <w:tab w:val="right" w:leader="none" w:pos="9355"/>
      </w:tabs>
      <w:spacing w:after="60" w:before="120" w:line="276" w:lineRule="auto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vryJeqhueh6bn/zCw3Z3LSaaA==">CgMxLjAyDmgubXFjNHlvNWlwbHYzMghoLmdqZGd4czIOaC42c3UzMnh3Y2doYXYyDmgueWtueHV3aTl0NWdmMg5oLmp3dHNsZG1xdm0zdTIOaC4xMGJwazJnYXU4YnEyDmgueTBwd2IxY2NreDMyMg5oLnkwcHdiMWNja3gzMjIOaC55MHB3YjFjY2t4MzIyDmgueTBwd2IxY2NreDMyMg5oLnkwcHdiMWNja3gzMjIOaC55MHB3YjFjY2t4MzIyDmgueTBwd2IxY2NreDMyMg5oLnl6cnFzd2J6MTlraj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5mdmZ1Y2N3OHg5bzAyDmguZnZmdWNjdzh4OW8wMg5oLmZ2ZnVjY3c4eDlvMDIOaC43NzJhOHcxcXhuemYyDmguNzcyYTh3MXF4bnpmMg5oLjc3MmE4dzFxeG56ZjIOaC43NzJhOHcxcXhuemYyDmguNzcyYTh3MXF4bnpmMg5oLjc3MmE4dzFxeG56ZjIIaC50eWpjd3Q4AHIhMWJRa2VuM2JvVmt4Y0hwaUhQLVBxZC1kdDJmNHVYcU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