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jc w:val="center"/>
        <w:rPr/>
      </w:pPr>
      <w:bookmarkStart w:colFirst="0" w:colLast="0" w:name="_32sx9ocq5zk8" w:id="0"/>
      <w:bookmarkEnd w:id="0"/>
      <w:r w:rsidDel="00000000" w:rsidR="00000000" w:rsidRPr="00000000">
        <w:rPr>
          <w:rtl w:val="0"/>
        </w:rPr>
        <w:t xml:space="preserve">Лабораторная работа № 7</w:t>
      </w:r>
    </w:p>
    <w:p w:rsidR="00000000" w:rsidDel="00000000" w:rsidP="00000000" w:rsidRDefault="00000000" w:rsidRPr="00000000" w14:paraId="00000002">
      <w:pPr>
        <w:pStyle w:val="Heading1"/>
        <w:jc w:val="center"/>
        <w:rPr/>
      </w:pPr>
      <w:bookmarkStart w:colFirst="0" w:colLast="0" w:name="_ehu8oohdt2g" w:id="1"/>
      <w:bookmarkEnd w:id="1"/>
      <w:r w:rsidDel="00000000" w:rsidR="00000000" w:rsidRPr="00000000">
        <w:rPr>
          <w:rtl w:val="0"/>
        </w:rPr>
        <w:t xml:space="preserve">Сканирование уязвимостей</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u w:val="single"/>
        </w:rPr>
      </w:pPr>
      <w:bookmarkStart w:colFirst="0" w:colLast="0" w:name="_wa09hjwfjbs3" w:id="2"/>
      <w:bookmarkEnd w:id="2"/>
      <w:r w:rsidDel="00000000" w:rsidR="00000000" w:rsidRPr="00000000">
        <w:rPr>
          <w:u w:val="single"/>
          <w:rtl w:val="0"/>
        </w:rPr>
        <w:t xml:space="preserve">Цель работы</w:t>
      </w:r>
    </w:p>
    <w:p w:rsidR="00000000" w:rsidDel="00000000" w:rsidP="00000000" w:rsidRDefault="00000000" w:rsidRPr="00000000" w14:paraId="00000005">
      <w:pPr>
        <w:rPr/>
      </w:pPr>
      <w:r w:rsidDel="00000000" w:rsidR="00000000" w:rsidRPr="00000000">
        <w:rPr>
          <w:rtl w:val="0"/>
        </w:rPr>
        <w:t xml:space="preserve">Используя сетевой сканер nmap и сканер уязвимостей nessus,</w:t>
      </w:r>
      <w:r w:rsidDel="00000000" w:rsidR="00000000" w:rsidRPr="00000000">
        <w:rPr>
          <w:rtl w:val="0"/>
        </w:rPr>
        <w:t xml:space="preserve"> изучить основные методы анализа сетевой инфраструктуры . </w:t>
      </w:r>
    </w:p>
    <w:p w:rsidR="00000000" w:rsidDel="00000000" w:rsidP="00000000" w:rsidRDefault="00000000" w:rsidRPr="00000000" w14:paraId="00000006">
      <w:pPr>
        <w:pStyle w:val="Heading3"/>
        <w:rPr>
          <w:u w:val="single"/>
        </w:rPr>
      </w:pPr>
      <w:bookmarkStart w:colFirst="0" w:colLast="0" w:name="_ry1c8itupylo" w:id="3"/>
      <w:bookmarkEnd w:id="3"/>
      <w:r w:rsidDel="00000000" w:rsidR="00000000" w:rsidRPr="00000000">
        <w:rPr>
          <w:u w:val="single"/>
          <w:rtl w:val="0"/>
        </w:rPr>
        <w:t xml:space="preserve">Задачи</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Подключиться </w:t>
      </w:r>
      <w:r w:rsidDel="00000000" w:rsidR="00000000" w:rsidRPr="00000000">
        <w:rPr>
          <w:rtl w:val="0"/>
        </w:rPr>
        <w:t xml:space="preserve"> к тестовому стенду, используя подключение Wi-Fi (параметры подключения взять из результатов выполнения ЛР6)</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Выполнить сканирование сети, на основе результатов сканирования сформировать карту сети</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Исследовать узлы сети на предмет открытых портов</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Выполнить сканирование уязвимостей для сервисов на открытых портах. </w:t>
      </w:r>
    </w:p>
    <w:p w:rsidR="00000000" w:rsidDel="00000000" w:rsidP="00000000" w:rsidRDefault="00000000" w:rsidRPr="00000000" w14:paraId="0000000B">
      <w:pPr>
        <w:pStyle w:val="Heading3"/>
        <w:rPr>
          <w:u w:val="single"/>
        </w:rPr>
      </w:pPr>
      <w:bookmarkStart w:colFirst="0" w:colLast="0" w:name="_es4gh1iypf9y" w:id="4"/>
      <w:bookmarkEnd w:id="4"/>
      <w:r w:rsidDel="00000000" w:rsidR="00000000" w:rsidRPr="00000000">
        <w:rPr>
          <w:u w:val="single"/>
          <w:rtl w:val="0"/>
        </w:rPr>
        <w:t xml:space="preserve">Сетевая схема</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438775" cy="278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387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rPr>
          <w:u w:val="single"/>
        </w:rPr>
      </w:pPr>
      <w:bookmarkStart w:colFirst="0" w:colLast="0" w:name="_z3puhid6shv3" w:id="5"/>
      <w:bookmarkEnd w:id="5"/>
      <w:r w:rsidDel="00000000" w:rsidR="00000000" w:rsidRPr="00000000">
        <w:rPr>
          <w:u w:val="single"/>
          <w:rtl w:val="0"/>
        </w:rPr>
        <w:t xml:space="preserve">Содержание работы</w:t>
      </w:r>
    </w:p>
    <w:p w:rsidR="00000000" w:rsidDel="00000000" w:rsidP="00000000" w:rsidRDefault="00000000" w:rsidRPr="00000000" w14:paraId="0000000F">
      <w:pPr>
        <w:numPr>
          <w:ilvl w:val="0"/>
          <w:numId w:val="6"/>
        </w:numPr>
        <w:spacing w:after="0" w:afterAutospacing="0"/>
        <w:ind w:left="720" w:hanging="360"/>
        <w:rPr>
          <w:u w:val="none"/>
        </w:rPr>
      </w:pPr>
      <w:r w:rsidDel="00000000" w:rsidR="00000000" w:rsidRPr="00000000">
        <w:rPr>
          <w:rtl w:val="0"/>
        </w:rPr>
        <w:t xml:space="preserve">Подключиться к тестовому стенду, определить IP адрес и подсеть для сканирования.</w:t>
      </w:r>
    </w:p>
    <w:p w:rsidR="00000000" w:rsidDel="00000000" w:rsidP="00000000" w:rsidRDefault="00000000" w:rsidRPr="00000000" w14:paraId="00000010">
      <w:pPr>
        <w:numPr>
          <w:ilvl w:val="0"/>
          <w:numId w:val="6"/>
        </w:numPr>
        <w:shd w:fill="ffffff" w:val="clear"/>
        <w:spacing w:after="0" w:afterAutospacing="0" w:before="0" w:beforeAutospacing="0" w:lineRule="auto"/>
        <w:ind w:left="720" w:hanging="360"/>
      </w:pPr>
      <w:r w:rsidDel="00000000" w:rsidR="00000000" w:rsidRPr="00000000">
        <w:rPr>
          <w:rtl w:val="0"/>
        </w:rPr>
        <w:t xml:space="preserve">Nmap поддерживает CIDR адресацию. Необходимо добавить /</w:t>
      </w:r>
      <w:r w:rsidDel="00000000" w:rsidR="00000000" w:rsidRPr="00000000">
        <w:rPr>
          <w:i w:val="1"/>
          <w:rtl w:val="0"/>
        </w:rPr>
        <w:t xml:space="preserve">&lt;кол-во бит&gt;</w:t>
      </w:r>
      <w:r w:rsidDel="00000000" w:rsidR="00000000" w:rsidRPr="00000000">
        <w:rPr>
          <w:rtl w:val="0"/>
        </w:rPr>
        <w:t xml:space="preserve"> к IP адресу или сетевому имени и Nmap просканирует каждый IP адрес, для которого первые </w:t>
      </w:r>
      <w:r w:rsidDel="00000000" w:rsidR="00000000" w:rsidRPr="00000000">
        <w:rPr>
          <w:i w:val="1"/>
          <w:rtl w:val="0"/>
        </w:rPr>
        <w:t xml:space="preserve">&lt;кол-во бит&gt;</w:t>
      </w:r>
      <w:r w:rsidDel="00000000" w:rsidR="00000000" w:rsidRPr="00000000">
        <w:rPr>
          <w:rtl w:val="0"/>
        </w:rPr>
        <w:t xml:space="preserve"> такие же как и у заданного хоста. Например, 192.168.10.0/24 просканирует 256 хостов между 192.168.10.0 (бинарное: 11000000 10101000 00001010 00000000) и 192.168.10.255 (бинарное: 11000000 10101000 00001010 11111111) включительно. 192.168.10.40/24 сделает абсолютно то же самое. </w:t>
      </w:r>
    </w:p>
    <w:p w:rsidR="00000000" w:rsidDel="00000000" w:rsidP="00000000" w:rsidRDefault="00000000" w:rsidRPr="00000000" w14:paraId="00000011">
      <w:pPr>
        <w:numPr>
          <w:ilvl w:val="0"/>
          <w:numId w:val="6"/>
        </w:numPr>
        <w:shd w:fill="ffffff" w:val="clear"/>
        <w:spacing w:after="240" w:before="0" w:beforeAutospacing="0" w:lineRule="auto"/>
        <w:ind w:left="720" w:hanging="360"/>
        <w:rPr>
          <w:u w:val="none"/>
        </w:rPr>
      </w:pPr>
      <w:r w:rsidDel="00000000" w:rsidR="00000000" w:rsidRPr="00000000">
        <w:rPr>
          <w:highlight w:val="white"/>
          <w:rtl w:val="0"/>
        </w:rPr>
        <w:t xml:space="preserve">Одна из важнейших задач при исследовании любой сети это сократить (иногда довольно большой) набор IP диапазонов до списка активных или интересных для исследования хостов. Задачу обнаружения хостов иногда называют пинг сканированием (ping scan), однако она намного превосходит использование обычных ICMP запросов ассоциирующихся с вездесущими ping утилитами. Пользователи могут полностью пропустить шаг пинг сканирования с помощью опции сканирования с целью составления списка (-sL) или просто отключив его (-PN), или сканировать сеть с помощью произвольных комбинаций мультипортовых TCP SYN/ACK, UDP и ICMP запросов. Целью всех этих запросов является получение ответов, указывающих, что IP адрес в настоящее время активен (используется хостом или сетевым устройством). Опции -P* (определяющие тип пинг сканирования) могут комбинироваться. Вы можете увеличить шансы обхода строго брандмауэра посылая множество запросов различных типов, используя различные TCP порты/флаги и ICMP коды. Также имейте в виду, что даже если вы определите различные -P* опции, по умолчанию применительно к целям локальной сети будет производиться и ARP сканирование (-PR), т.к. оно почти всегда быстрее и более эффективно. </w:t>
      </w:r>
    </w:p>
    <w:p w:rsidR="00000000" w:rsidDel="00000000" w:rsidP="00000000" w:rsidRDefault="00000000" w:rsidRPr="00000000" w14:paraId="00000012">
      <w:pPr>
        <w:shd w:fill="ffffff" w:val="clear"/>
        <w:spacing w:after="240" w:before="240" w:lineRule="auto"/>
        <w:rPr>
          <w:b w:val="1"/>
          <w:highlight w:val="white"/>
        </w:rPr>
      </w:pPr>
      <w:r w:rsidDel="00000000" w:rsidR="00000000" w:rsidRPr="00000000">
        <w:rPr>
          <w:b w:val="1"/>
          <w:highlight w:val="white"/>
          <w:rtl w:val="0"/>
        </w:rPr>
        <w:t xml:space="preserve">Возможные  -P* опции:</w:t>
      </w:r>
    </w:p>
    <w:p w:rsidR="00000000" w:rsidDel="00000000" w:rsidP="00000000" w:rsidRDefault="00000000" w:rsidRPr="00000000" w14:paraId="00000013">
      <w:pPr>
        <w:shd w:fill="ffffff" w:val="clear"/>
        <w:spacing w:after="240" w:before="240" w:lineRule="auto"/>
        <w:ind w:left="850.3937007874017" w:firstLine="0"/>
        <w:rPr>
          <w:highlight w:val="white"/>
        </w:rPr>
      </w:pPr>
      <w:r w:rsidDel="00000000" w:rsidR="00000000" w:rsidRPr="00000000">
        <w:rPr>
          <w:highlight w:val="white"/>
          <w:rtl w:val="0"/>
        </w:rPr>
        <w:t xml:space="preserve">-sL (Сканирование с целью составления списка)</w:t>
      </w:r>
    </w:p>
    <w:p w:rsidR="00000000" w:rsidDel="00000000" w:rsidP="00000000" w:rsidRDefault="00000000" w:rsidRPr="00000000" w14:paraId="00000014">
      <w:pPr>
        <w:shd w:fill="ffffff" w:val="clear"/>
        <w:spacing w:after="240" w:before="240" w:lineRule="auto"/>
        <w:ind w:left="850.3937007874017" w:firstLine="0"/>
        <w:rPr>
          <w:highlight w:val="white"/>
        </w:rPr>
      </w:pPr>
      <w:r w:rsidDel="00000000" w:rsidR="00000000" w:rsidRPr="00000000">
        <w:rPr>
          <w:highlight w:val="white"/>
          <w:rtl w:val="0"/>
        </w:rPr>
        <w:t xml:space="preserve">-sP (Ping сканирование)</w:t>
      </w:r>
    </w:p>
    <w:p w:rsidR="00000000" w:rsidDel="00000000" w:rsidP="00000000" w:rsidRDefault="00000000" w:rsidRPr="00000000" w14:paraId="00000015">
      <w:pPr>
        <w:shd w:fill="ffffff" w:val="clear"/>
        <w:spacing w:after="240" w:before="240" w:lineRule="auto"/>
        <w:ind w:left="850.3937007874017" w:firstLine="0"/>
        <w:rPr>
          <w:highlight w:val="white"/>
        </w:rPr>
      </w:pPr>
      <w:r w:rsidDel="00000000" w:rsidR="00000000" w:rsidRPr="00000000">
        <w:rPr>
          <w:highlight w:val="white"/>
          <w:rtl w:val="0"/>
        </w:rPr>
        <w:t xml:space="preserve">-PS </w:t>
      </w:r>
      <w:r w:rsidDel="00000000" w:rsidR="00000000" w:rsidRPr="00000000">
        <w:rPr>
          <w:i w:val="1"/>
          <w:highlight w:val="white"/>
          <w:rtl w:val="0"/>
        </w:rPr>
        <w:t xml:space="preserve">&lt;список_портов&gt;</w:t>
      </w:r>
      <w:r w:rsidDel="00000000" w:rsidR="00000000" w:rsidRPr="00000000">
        <w:rPr>
          <w:highlight w:val="white"/>
          <w:rtl w:val="0"/>
        </w:rPr>
        <w:t xml:space="preserve"> (TCP SYN пинг)</w:t>
      </w:r>
    </w:p>
    <w:p w:rsidR="00000000" w:rsidDel="00000000" w:rsidP="00000000" w:rsidRDefault="00000000" w:rsidRPr="00000000" w14:paraId="00000016">
      <w:pPr>
        <w:shd w:fill="ffffff" w:val="clear"/>
        <w:spacing w:after="240" w:before="240" w:lineRule="auto"/>
        <w:ind w:left="850.3937007874017" w:firstLine="0"/>
        <w:rPr>
          <w:highlight w:val="white"/>
        </w:rPr>
      </w:pPr>
      <w:r w:rsidDel="00000000" w:rsidR="00000000" w:rsidRPr="00000000">
        <w:rPr>
          <w:highlight w:val="white"/>
          <w:rtl w:val="0"/>
        </w:rPr>
        <w:t xml:space="preserve">-PA </w:t>
      </w:r>
      <w:r w:rsidDel="00000000" w:rsidR="00000000" w:rsidRPr="00000000">
        <w:rPr>
          <w:i w:val="1"/>
          <w:highlight w:val="white"/>
          <w:rtl w:val="0"/>
        </w:rPr>
        <w:t xml:space="preserve">&lt;список_портов&gt;</w:t>
      </w:r>
      <w:r w:rsidDel="00000000" w:rsidR="00000000" w:rsidRPr="00000000">
        <w:rPr>
          <w:highlight w:val="white"/>
          <w:rtl w:val="0"/>
        </w:rPr>
        <w:t xml:space="preserve"> (TCP ACK пинг)</w:t>
      </w:r>
    </w:p>
    <w:p w:rsidR="00000000" w:rsidDel="00000000" w:rsidP="00000000" w:rsidRDefault="00000000" w:rsidRPr="00000000" w14:paraId="00000017">
      <w:pPr>
        <w:shd w:fill="ffffff" w:val="clear"/>
        <w:spacing w:after="240" w:before="240" w:lineRule="auto"/>
        <w:ind w:left="850.3937007874017" w:firstLine="0"/>
        <w:rPr>
          <w:highlight w:val="white"/>
        </w:rPr>
      </w:pPr>
      <w:r w:rsidDel="00000000" w:rsidR="00000000" w:rsidRPr="00000000">
        <w:rPr>
          <w:highlight w:val="white"/>
          <w:rtl w:val="0"/>
        </w:rPr>
        <w:t xml:space="preserve">-PU </w:t>
      </w:r>
      <w:r w:rsidDel="00000000" w:rsidR="00000000" w:rsidRPr="00000000">
        <w:rPr>
          <w:i w:val="1"/>
          <w:highlight w:val="white"/>
          <w:rtl w:val="0"/>
        </w:rPr>
        <w:t xml:space="preserve">&lt;список_портов&gt;</w:t>
      </w:r>
      <w:r w:rsidDel="00000000" w:rsidR="00000000" w:rsidRPr="00000000">
        <w:rPr>
          <w:highlight w:val="white"/>
          <w:rtl w:val="0"/>
        </w:rPr>
        <w:t xml:space="preserve"> (UDP пинг)</w:t>
      </w:r>
    </w:p>
    <w:p w:rsidR="00000000" w:rsidDel="00000000" w:rsidP="00000000" w:rsidRDefault="00000000" w:rsidRPr="00000000" w14:paraId="00000018">
      <w:pPr>
        <w:shd w:fill="ffffff" w:val="clear"/>
        <w:spacing w:after="240" w:before="240" w:lineRule="auto"/>
        <w:ind w:left="850.3937007874017" w:firstLine="0"/>
        <w:rPr>
          <w:highlight w:val="white"/>
        </w:rPr>
      </w:pPr>
      <w:r w:rsidDel="00000000" w:rsidR="00000000" w:rsidRPr="00000000">
        <w:rPr>
          <w:highlight w:val="white"/>
          <w:rtl w:val="0"/>
        </w:rPr>
        <w:t xml:space="preserve">-PE; -PP; -PM (указать типы пакетов ICMP)</w:t>
      </w:r>
    </w:p>
    <w:p w:rsidR="00000000" w:rsidDel="00000000" w:rsidP="00000000" w:rsidRDefault="00000000" w:rsidRPr="00000000" w14:paraId="00000019">
      <w:pPr>
        <w:shd w:fill="ffffff" w:val="clear"/>
        <w:spacing w:after="240" w:before="240" w:lineRule="auto"/>
        <w:ind w:left="850.3937007874017" w:firstLine="0"/>
        <w:rPr>
          <w:highlight w:val="white"/>
        </w:rPr>
      </w:pPr>
      <w:r w:rsidDel="00000000" w:rsidR="00000000" w:rsidRPr="00000000">
        <w:rPr>
          <w:highlight w:val="white"/>
          <w:rtl w:val="0"/>
        </w:rPr>
        <w:t xml:space="preserve">-PO </w:t>
      </w:r>
      <w:r w:rsidDel="00000000" w:rsidR="00000000" w:rsidRPr="00000000">
        <w:rPr>
          <w:i w:val="1"/>
          <w:highlight w:val="white"/>
          <w:rtl w:val="0"/>
        </w:rPr>
        <w:t xml:space="preserve">&lt;список_протоколов&gt;</w:t>
      </w:r>
      <w:r w:rsidDel="00000000" w:rsidR="00000000" w:rsidRPr="00000000">
        <w:rPr>
          <w:highlight w:val="white"/>
          <w:rtl w:val="0"/>
        </w:rPr>
        <w:t xml:space="preserve"> (пинг с использованием определенного IP протокола)</w:t>
      </w:r>
    </w:p>
    <w:p w:rsidR="00000000" w:rsidDel="00000000" w:rsidP="00000000" w:rsidRDefault="00000000" w:rsidRPr="00000000" w14:paraId="0000001A">
      <w:pPr>
        <w:shd w:fill="ffffff" w:val="clear"/>
        <w:spacing w:after="240" w:before="240" w:lineRule="auto"/>
        <w:ind w:left="850.3937007874017" w:firstLine="0"/>
        <w:rPr>
          <w:highlight w:val="white"/>
        </w:rPr>
      </w:pPr>
      <w:r w:rsidDel="00000000" w:rsidR="00000000" w:rsidRPr="00000000">
        <w:rPr>
          <w:highlight w:val="white"/>
          <w:rtl w:val="0"/>
        </w:rPr>
        <w:t xml:space="preserve">-PR (ARP пинг)</w:t>
      </w:r>
    </w:p>
    <w:p w:rsidR="00000000" w:rsidDel="00000000" w:rsidP="00000000" w:rsidRDefault="00000000" w:rsidRPr="00000000" w14:paraId="0000001B">
      <w:pPr>
        <w:shd w:fill="ffffff" w:val="clear"/>
        <w:spacing w:after="240" w:before="240" w:lineRule="auto"/>
        <w:ind w:left="130.39370078740177" w:firstLine="0"/>
        <w:rPr>
          <w:b w:val="1"/>
          <w:highlight w:val="white"/>
        </w:rPr>
      </w:pPr>
      <w:r w:rsidDel="00000000" w:rsidR="00000000" w:rsidRPr="00000000">
        <w:rPr>
          <w:b w:val="1"/>
          <w:highlight w:val="white"/>
          <w:rtl w:val="0"/>
        </w:rPr>
        <w:t xml:space="preserve">Сканирование портов</w:t>
      </w:r>
    </w:p>
    <w:p w:rsidR="00000000" w:rsidDel="00000000" w:rsidP="00000000" w:rsidRDefault="00000000" w:rsidRPr="00000000" w14:paraId="0000001C">
      <w:pPr>
        <w:shd w:fill="ffffff" w:val="clear"/>
        <w:spacing w:after="240" w:before="240" w:lineRule="auto"/>
        <w:rPr>
          <w:highlight w:val="white"/>
        </w:rPr>
      </w:pPr>
      <w:r w:rsidDel="00000000" w:rsidR="00000000" w:rsidRPr="00000000">
        <w:rPr>
          <w:i w:val="1"/>
          <w:highlight w:val="white"/>
          <w:rtl w:val="0"/>
        </w:rPr>
        <w:t xml:space="preserve">-sS (TCP SYN сканирование)</w:t>
      </w:r>
      <w:r w:rsidDel="00000000" w:rsidR="00000000" w:rsidRPr="00000000">
        <w:rPr>
          <w:rtl w:val="0"/>
        </w:rPr>
      </w:r>
    </w:p>
    <w:p w:rsidR="00000000" w:rsidDel="00000000" w:rsidP="00000000" w:rsidRDefault="00000000" w:rsidRPr="00000000" w14:paraId="0000001D">
      <w:pPr>
        <w:shd w:fill="ffffff" w:val="clear"/>
        <w:spacing w:after="240" w:before="240" w:lineRule="auto"/>
        <w:rPr>
          <w:highlight w:val="white"/>
        </w:rPr>
      </w:pPr>
      <w:r w:rsidDel="00000000" w:rsidR="00000000" w:rsidRPr="00000000">
        <w:rPr>
          <w:i w:val="1"/>
          <w:highlight w:val="white"/>
          <w:rtl w:val="0"/>
        </w:rPr>
        <w:t xml:space="preserve">-sT (TCP сканирование с использованием системного вызова connect)</w:t>
      </w:r>
      <w:r w:rsidDel="00000000" w:rsidR="00000000" w:rsidRPr="00000000">
        <w:rPr>
          <w:rtl w:val="0"/>
        </w:rPr>
      </w:r>
    </w:p>
    <w:p w:rsidR="00000000" w:rsidDel="00000000" w:rsidP="00000000" w:rsidRDefault="00000000" w:rsidRPr="00000000" w14:paraId="0000001E">
      <w:pPr>
        <w:shd w:fill="ffffff" w:val="clear"/>
        <w:spacing w:after="240" w:before="240" w:lineRule="auto"/>
        <w:rPr>
          <w:highlight w:val="white"/>
        </w:rPr>
      </w:pPr>
      <w:r w:rsidDel="00000000" w:rsidR="00000000" w:rsidRPr="00000000">
        <w:rPr>
          <w:i w:val="1"/>
          <w:highlight w:val="white"/>
          <w:rtl w:val="0"/>
        </w:rPr>
        <w:t xml:space="preserve">-sU (Различные типы UDP сканирования)</w:t>
      </w:r>
      <w:r w:rsidDel="00000000" w:rsidR="00000000" w:rsidRPr="00000000">
        <w:rPr>
          <w:rtl w:val="0"/>
        </w:rPr>
      </w:r>
    </w:p>
    <w:p w:rsidR="00000000" w:rsidDel="00000000" w:rsidP="00000000" w:rsidRDefault="00000000" w:rsidRPr="00000000" w14:paraId="0000001F">
      <w:pPr>
        <w:shd w:fill="ffffff" w:val="clear"/>
        <w:spacing w:after="240" w:before="240" w:lineRule="auto"/>
        <w:rPr>
          <w:i w:val="1"/>
          <w:highlight w:val="white"/>
        </w:rPr>
      </w:pPr>
      <w:r w:rsidDel="00000000" w:rsidR="00000000" w:rsidRPr="00000000">
        <w:rPr>
          <w:i w:val="1"/>
          <w:highlight w:val="white"/>
          <w:rtl w:val="0"/>
        </w:rPr>
        <w:t xml:space="preserve">-sN; -sF; -sX (TCP NULL, FIN и Xmas сканирования)</w:t>
      </w:r>
    </w:p>
    <w:p w:rsidR="00000000" w:rsidDel="00000000" w:rsidP="00000000" w:rsidRDefault="00000000" w:rsidRPr="00000000" w14:paraId="00000020">
      <w:pPr>
        <w:shd w:fill="ffffff" w:val="clear"/>
        <w:spacing w:after="240" w:before="240" w:lineRule="auto"/>
        <w:rPr>
          <w:i w:val="1"/>
          <w:highlight w:val="white"/>
        </w:rPr>
      </w:pPr>
      <w:r w:rsidDel="00000000" w:rsidR="00000000" w:rsidRPr="00000000">
        <w:rPr>
          <w:i w:val="1"/>
          <w:highlight w:val="white"/>
          <w:rtl w:val="0"/>
        </w:rPr>
        <w:t xml:space="preserve">-sA (TCP ACK сканирование)</w:t>
      </w:r>
    </w:p>
    <w:p w:rsidR="00000000" w:rsidDel="00000000" w:rsidP="00000000" w:rsidRDefault="00000000" w:rsidRPr="00000000" w14:paraId="00000021">
      <w:pPr>
        <w:shd w:fill="ffffff" w:val="clear"/>
        <w:spacing w:after="240" w:before="240" w:lineRule="auto"/>
        <w:rPr>
          <w:i w:val="1"/>
          <w:highlight w:val="white"/>
        </w:rPr>
      </w:pPr>
      <w:r w:rsidDel="00000000" w:rsidR="00000000" w:rsidRPr="00000000">
        <w:rPr>
          <w:b w:val="1"/>
          <w:highlight w:val="white"/>
          <w:rtl w:val="0"/>
        </w:rPr>
        <w:t xml:space="preserve">Обнаружение служб и версий</w:t>
      </w:r>
      <w:r w:rsidDel="00000000" w:rsidR="00000000" w:rsidRPr="00000000">
        <w:rPr>
          <w:rtl w:val="0"/>
        </w:rPr>
      </w:r>
    </w:p>
    <w:p w:rsidR="00000000" w:rsidDel="00000000" w:rsidP="00000000" w:rsidRDefault="00000000" w:rsidRPr="00000000" w14:paraId="00000022">
      <w:pPr>
        <w:shd w:fill="ffffff" w:val="clear"/>
        <w:spacing w:after="240" w:before="240" w:lineRule="auto"/>
        <w:rPr>
          <w:i w:val="1"/>
          <w:highlight w:val="white"/>
        </w:rPr>
      </w:pPr>
      <w:r w:rsidDel="00000000" w:rsidR="00000000" w:rsidRPr="00000000">
        <w:rPr>
          <w:i w:val="1"/>
          <w:highlight w:val="white"/>
          <w:rtl w:val="0"/>
        </w:rPr>
        <w:t xml:space="preserve">-sV (Определение версии)</w:t>
      </w:r>
    </w:p>
    <w:p w:rsidR="00000000" w:rsidDel="00000000" w:rsidP="00000000" w:rsidRDefault="00000000" w:rsidRPr="00000000" w14:paraId="00000023">
      <w:pPr>
        <w:shd w:fill="ffffff" w:val="clear"/>
        <w:spacing w:after="240" w:before="240" w:lineRule="auto"/>
        <w:rPr>
          <w:i w:val="1"/>
          <w:highlight w:val="white"/>
        </w:rPr>
      </w:pPr>
      <w:r w:rsidDel="00000000" w:rsidR="00000000" w:rsidRPr="00000000">
        <w:rPr>
          <w:i w:val="1"/>
          <w:highlight w:val="white"/>
          <w:rtl w:val="0"/>
        </w:rPr>
        <w:t xml:space="preserve">-sR (RPC сканирование)</w:t>
      </w:r>
    </w:p>
    <w:p w:rsidR="00000000" w:rsidDel="00000000" w:rsidP="00000000" w:rsidRDefault="00000000" w:rsidRPr="00000000" w14:paraId="00000024">
      <w:pPr>
        <w:shd w:fill="ffffff" w:val="clear"/>
        <w:spacing w:after="240" w:before="240" w:lineRule="auto"/>
        <w:rPr>
          <w:i w:val="1"/>
          <w:highlight w:val="white"/>
        </w:rPr>
      </w:pPr>
      <w:r w:rsidDel="00000000" w:rsidR="00000000" w:rsidRPr="00000000">
        <w:rPr>
          <w:i w:val="1"/>
          <w:highlight w:val="white"/>
          <w:rtl w:val="0"/>
        </w:rPr>
        <w:t xml:space="preserve">-O (Определение ОС)</w:t>
      </w:r>
    </w:p>
    <w:p w:rsidR="00000000" w:rsidDel="00000000" w:rsidP="00000000" w:rsidRDefault="00000000" w:rsidRPr="00000000" w14:paraId="00000025">
      <w:pPr>
        <w:shd w:fill="ffffff" w:val="clear"/>
        <w:spacing w:after="240" w:before="240" w:lineRule="auto"/>
        <w:rPr>
          <w:highlight w:val="white"/>
        </w:rPr>
      </w:pPr>
      <w:r w:rsidDel="00000000" w:rsidR="00000000" w:rsidRPr="00000000">
        <w:rPr>
          <w:highlight w:val="white"/>
          <w:rtl w:val="0"/>
        </w:rPr>
        <w:t xml:space="preserve">Для удобства работы с nmap и построения топологий сети можно использовать Zenmap представляющий собой GUI для nmap (</w:t>
      </w:r>
      <w:hyperlink r:id="rId7">
        <w:r w:rsidDel="00000000" w:rsidR="00000000" w:rsidRPr="00000000">
          <w:rPr>
            <w:color w:val="1155cc"/>
            <w:highlight w:val="white"/>
            <w:u w:val="single"/>
            <w:rtl w:val="0"/>
          </w:rPr>
          <w:t xml:space="preserve">https://nmap.org/zenmap/</w:t>
        </w:r>
      </w:hyperlink>
      <w:r w:rsidDel="00000000" w:rsidR="00000000" w:rsidRPr="00000000">
        <w:rPr>
          <w:highlight w:val="white"/>
          <w:rtl w:val="0"/>
        </w:rPr>
        <w:t xml:space="preserve">) </w:t>
      </w:r>
    </w:p>
    <w:p w:rsidR="00000000" w:rsidDel="00000000" w:rsidP="00000000" w:rsidRDefault="00000000" w:rsidRPr="00000000" w14:paraId="00000026">
      <w:pPr>
        <w:shd w:fill="ffffff" w:val="clear"/>
        <w:spacing w:after="240" w:before="240" w:lineRule="auto"/>
        <w:rPr>
          <w:highlight w:val="white"/>
        </w:rPr>
      </w:pPr>
      <w:r w:rsidDel="00000000" w:rsidR="00000000" w:rsidRPr="00000000">
        <w:rPr>
          <w:highlight w:val="white"/>
          <w:rtl w:val="0"/>
        </w:rPr>
        <w:t xml:space="preserve">Результаты заносим в таблицу:</w:t>
      </w:r>
    </w:p>
    <w:p w:rsidR="00000000" w:rsidDel="00000000" w:rsidP="00000000" w:rsidRDefault="00000000" w:rsidRPr="00000000" w14:paraId="00000027">
      <w:pPr>
        <w:shd w:fill="ffffff" w:val="clear"/>
        <w:spacing w:after="240" w:before="240" w:lineRule="auto"/>
        <w:rPr>
          <w:highlight w:val="white"/>
        </w:rPr>
      </w:pPr>
      <w:r w:rsidDel="00000000" w:rsidR="00000000" w:rsidRPr="00000000">
        <w:rPr>
          <w:rtl w:val="0"/>
        </w:rPr>
      </w:r>
    </w:p>
    <w:tbl>
      <w:tblPr>
        <w:tblStyle w:val="Table1"/>
        <w:tblW w:w="892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35"/>
        <w:gridCol w:w="2235"/>
        <w:gridCol w:w="2235"/>
        <w:tblGridChange w:id="0">
          <w:tblGrid>
            <w:gridCol w:w="2220"/>
            <w:gridCol w:w="2235"/>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Хост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ОС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Открытые порты (указать тип tcp/udp и номер порта)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Описание сервиса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bl>
    <w:p w:rsidR="00000000" w:rsidDel="00000000" w:rsidP="00000000" w:rsidRDefault="00000000" w:rsidRPr="00000000" w14:paraId="00000034">
      <w:pPr>
        <w:shd w:fill="ffffff" w:val="clear"/>
        <w:spacing w:after="240" w:before="240" w:lineRule="auto"/>
        <w:rPr>
          <w:highlight w:val="white"/>
        </w:rPr>
      </w:pPr>
      <w:r w:rsidDel="00000000" w:rsidR="00000000" w:rsidRPr="00000000">
        <w:rPr>
          <w:rtl w:val="0"/>
        </w:rPr>
      </w:r>
    </w:p>
    <w:p w:rsidR="00000000" w:rsidDel="00000000" w:rsidP="00000000" w:rsidRDefault="00000000" w:rsidRPr="00000000" w14:paraId="00000035">
      <w:pPr>
        <w:shd w:fill="ffffff" w:val="clear"/>
        <w:spacing w:after="240" w:before="240" w:lineRule="auto"/>
        <w:rPr>
          <w:b w:val="1"/>
          <w:highlight w:val="white"/>
        </w:rPr>
      </w:pPr>
      <w:r w:rsidDel="00000000" w:rsidR="00000000" w:rsidRPr="00000000">
        <w:rPr>
          <w:b w:val="1"/>
          <w:highlight w:val="white"/>
          <w:rtl w:val="0"/>
        </w:rPr>
        <w:t xml:space="preserve">Сканирование уязвимостей Nessus (</w:t>
      </w:r>
      <w:hyperlink r:id="rId8">
        <w:r w:rsidDel="00000000" w:rsidR="00000000" w:rsidRPr="00000000">
          <w:rPr>
            <w:b w:val="1"/>
            <w:color w:val="1155cc"/>
            <w:highlight w:val="white"/>
            <w:u w:val="single"/>
            <w:rtl w:val="0"/>
          </w:rPr>
          <w:t xml:space="preserve">https://www.tenable.com/downloads/nessus</w:t>
        </w:r>
      </w:hyperlink>
      <w:r w:rsidDel="00000000" w:rsidR="00000000" w:rsidRPr="00000000">
        <w:rPr>
          <w:b w:val="1"/>
          <w:highlight w:val="white"/>
          <w:rtl w:val="0"/>
        </w:rPr>
        <w:t xml:space="preserve">) или Metasploit</w:t>
      </w:r>
    </w:p>
    <w:p w:rsidR="00000000" w:rsidDel="00000000" w:rsidP="00000000" w:rsidRDefault="00000000" w:rsidRPr="00000000" w14:paraId="00000036">
      <w:pPr>
        <w:shd w:fill="ffffff" w:val="clear"/>
        <w:spacing w:after="240" w:before="240" w:lineRule="auto"/>
        <w:rPr>
          <w:highlight w:val="white"/>
        </w:rPr>
      </w:pPr>
      <w:r w:rsidDel="00000000" w:rsidR="00000000" w:rsidRPr="00000000">
        <w:rPr>
          <w:highlight w:val="white"/>
          <w:rtl w:val="0"/>
        </w:rPr>
        <w:t xml:space="preserve">После установки интерфейс доступен на локальном адресе по порту 8834  (Nessus), либо 3790 (Metasploit)</w:t>
      </w:r>
    </w:p>
    <w:p w:rsidR="00000000" w:rsidDel="00000000" w:rsidP="00000000" w:rsidRDefault="00000000" w:rsidRPr="00000000" w14:paraId="00000037">
      <w:pPr>
        <w:shd w:fill="ffffff" w:val="clear"/>
        <w:spacing w:after="240" w:before="240" w:lineRule="auto"/>
        <w:rPr>
          <w:highlight w:val="white"/>
        </w:rPr>
      </w:pPr>
      <w:r w:rsidDel="00000000" w:rsidR="00000000" w:rsidRPr="00000000">
        <w:rPr>
          <w:highlight w:val="white"/>
          <w:rtl w:val="0"/>
        </w:rPr>
        <w:t xml:space="preserve">Указываем для сканирования узлы, обнаруженные nmap на предыдущем этапе. Результаты заносим в таблицу:</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highlight w:val="white"/>
              </w:rPr>
            </w:pPr>
            <w:r w:rsidDel="00000000" w:rsidR="00000000" w:rsidRPr="00000000">
              <w:rPr>
                <w:b w:val="1"/>
                <w:highlight w:val="white"/>
                <w:rtl w:val="0"/>
              </w:rPr>
              <w:t xml:space="preserve">Уязвимость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highlight w:val="white"/>
              </w:rPr>
            </w:pPr>
            <w:r w:rsidDel="00000000" w:rsidR="00000000" w:rsidRPr="00000000">
              <w:rPr>
                <w:b w:val="1"/>
                <w:highlight w:val="white"/>
                <w:rtl w:val="0"/>
              </w:rPr>
              <w:t xml:space="preserve">Критичность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highlight w:val="white"/>
              </w:rPr>
            </w:pPr>
            <w:r w:rsidDel="00000000" w:rsidR="00000000" w:rsidRPr="00000000">
              <w:rPr>
                <w:b w:val="1"/>
                <w:highlight w:val="white"/>
                <w:rtl w:val="0"/>
              </w:rPr>
              <w:t xml:space="preserve">Описание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highlight w:val="white"/>
              </w:rPr>
            </w:pPr>
            <w:r w:rsidDel="00000000" w:rsidR="00000000" w:rsidRPr="00000000">
              <w:rPr>
                <w:b w:val="1"/>
                <w:highlight w:val="white"/>
                <w:rtl w:val="0"/>
              </w:rPr>
              <w:t xml:space="preserve">Хост:порт либо несколько, где обнаружена уязвимость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highlight w:val="white"/>
              </w:rPr>
            </w:pPr>
            <w:r w:rsidDel="00000000" w:rsidR="00000000" w:rsidRPr="00000000">
              <w:rPr>
                <w:b w:val="1"/>
                <w:highlight w:val="white"/>
                <w:rtl w:val="0"/>
              </w:rPr>
              <w:t xml:space="preserve">Возможное решение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highlight w:val="white"/>
              </w:rPr>
            </w:pPr>
            <w:r w:rsidDel="00000000" w:rsidR="00000000" w:rsidRPr="00000000">
              <w:rPr>
                <w:rtl w:val="0"/>
              </w:rPr>
            </w:r>
          </w:p>
        </w:tc>
      </w:tr>
    </w:tbl>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Times New Roman" w:cs="Times New Roman" w:eastAsia="Times New Roman" w:hAnsi="Times New Roman"/>
          <w:sz w:val="32"/>
          <w:szCs w:val="32"/>
          <w:highlight w:val="white"/>
          <w:u w:val="single"/>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u w:val="single"/>
          <w:rtl w:val="0"/>
        </w:rPr>
        <w:t xml:space="preserve">Требования к отчету</w:t>
      </w: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Отчет должен содержать: </w:t>
      </w:r>
    </w:p>
    <w:p w:rsidR="00000000" w:rsidDel="00000000" w:rsidP="00000000" w:rsidRDefault="00000000" w:rsidRPr="00000000" w14:paraId="00000054">
      <w:pPr>
        <w:numPr>
          <w:ilvl w:val="0"/>
          <w:numId w:val="5"/>
        </w:numPr>
        <w:pBdr>
          <w:top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highlight w:val="white"/>
          <w:rtl w:val="0"/>
        </w:rPr>
        <w:t xml:space="preserve">Команды, используемые в ходе работы; </w:t>
      </w:r>
    </w:p>
    <w:p w:rsidR="00000000" w:rsidDel="00000000" w:rsidP="00000000" w:rsidRDefault="00000000" w:rsidRPr="00000000" w14:paraId="00000055">
      <w:pPr>
        <w:numPr>
          <w:ilvl w:val="0"/>
          <w:numId w:val="1"/>
        </w:numPr>
        <w:pBdr>
          <w:top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highlight w:val="white"/>
          <w:rtl w:val="0"/>
        </w:rPr>
        <w:t xml:space="preserve">Таблицу, описывающую некоторые узлы сети; </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highlight w:val="white"/>
          <w:rtl w:val="0"/>
        </w:rPr>
        <w:t xml:space="preserve">Таблицу, описывающую некоторые из обнаруженных уязвимостей; </w:t>
      </w:r>
    </w:p>
    <w:p w:rsidR="00000000" w:rsidDel="00000000" w:rsidP="00000000" w:rsidRDefault="00000000" w:rsidRPr="00000000" w14:paraId="00000057">
      <w:pPr>
        <w:numPr>
          <w:ilvl w:val="0"/>
          <w:numId w:val="3"/>
        </w:numPr>
        <w:pBdr>
          <w:top w:color="auto" w:space="0" w:sz="0" w:val="none"/>
          <w:bottom w:color="auto" w:space="0" w:sz="0" w:val="none"/>
          <w:right w:color="auto" w:space="0" w:sz="0" w:val="none"/>
          <w:between w:color="auto" w:space="0" w:sz="0" w:val="none"/>
        </w:pBdr>
        <w:shd w:fill="ffffff" w:val="clear"/>
        <w:ind w:left="108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highlight w:val="white"/>
          <w:rtl w:val="0"/>
        </w:rPr>
        <w:t xml:space="preserve">Команды, реализующие эксплуатацию выбранной уязвимости, а также результаты эксплуатации.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Оформление отчета выполняется в соответствии с требованиями преподавателя.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u w:val="single"/>
          <w:rtl w:val="0"/>
        </w:rPr>
        <w:t xml:space="preserve">Материалы для подготовки</w:t>
      </w: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5B">
      <w:pPr>
        <w:shd w:fill="ffffff" w:val="clear"/>
        <w:spacing w:after="240" w:before="240" w:lineRule="auto"/>
        <w:rPr>
          <w:highlight w:val="white"/>
        </w:rPr>
      </w:pPr>
      <w:hyperlink r:id="rId9">
        <w:r w:rsidDel="00000000" w:rsidR="00000000" w:rsidRPr="00000000">
          <w:rPr>
            <w:color w:val="1155cc"/>
            <w:highlight w:val="white"/>
            <w:u w:val="single"/>
            <w:rtl w:val="0"/>
          </w:rPr>
          <w:t xml:space="preserve">https://nmap.org/book/toc.html</w:t>
        </w:r>
      </w:hyperlink>
      <w:r w:rsidDel="00000000" w:rsidR="00000000" w:rsidRPr="00000000">
        <w:rPr>
          <w:rtl w:val="0"/>
        </w:rPr>
      </w:r>
    </w:p>
    <w:p w:rsidR="00000000" w:rsidDel="00000000" w:rsidP="00000000" w:rsidRDefault="00000000" w:rsidRPr="00000000" w14:paraId="0000005C">
      <w:pPr>
        <w:shd w:fill="ffffff" w:val="clear"/>
        <w:spacing w:after="240" w:before="240" w:lineRule="auto"/>
        <w:rPr>
          <w:highlight w:val="white"/>
        </w:rPr>
      </w:pPr>
      <w:hyperlink r:id="rId10">
        <w:r w:rsidDel="00000000" w:rsidR="00000000" w:rsidRPr="00000000">
          <w:rPr>
            <w:color w:val="1155cc"/>
            <w:highlight w:val="white"/>
            <w:u w:val="single"/>
            <w:rtl w:val="0"/>
          </w:rPr>
          <w:t xml:space="preserve">https://docs.metasploit.com/</w:t>
        </w:r>
      </w:hyperlink>
      <w:r w:rsidDel="00000000" w:rsidR="00000000" w:rsidRPr="00000000">
        <w:rPr>
          <w:highlight w:val="white"/>
          <w:rtl w:val="0"/>
        </w:rPr>
        <w:t xml:space="preserve"> </w:t>
      </w:r>
    </w:p>
    <w:p w:rsidR="00000000" w:rsidDel="00000000" w:rsidP="00000000" w:rsidRDefault="00000000" w:rsidRPr="00000000" w14:paraId="0000005D">
      <w:pPr>
        <w:shd w:fill="ffffff" w:val="clear"/>
        <w:spacing w:after="240" w:before="240" w:lineRule="auto"/>
        <w:rPr>
          <w:highlight w:val="white"/>
        </w:rPr>
      </w:pPr>
      <w:hyperlink r:id="rId11">
        <w:r w:rsidDel="00000000" w:rsidR="00000000" w:rsidRPr="00000000">
          <w:rPr>
            <w:color w:val="1155cc"/>
            <w:highlight w:val="white"/>
            <w:u w:val="single"/>
            <w:rtl w:val="0"/>
          </w:rPr>
          <w:t xml:space="preserve">https://docs.tenable.com/Nessus.htm</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tenable.com/Nessus.htm" TargetMode="External"/><Relationship Id="rId10" Type="http://schemas.openxmlformats.org/officeDocument/2006/relationships/hyperlink" Target="https://docs.metasploit.com/" TargetMode="External"/><Relationship Id="rId9" Type="http://schemas.openxmlformats.org/officeDocument/2006/relationships/hyperlink" Target="https://nmap.org/book/toc.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map.org/zenmap/" TargetMode="External"/><Relationship Id="rId8" Type="http://schemas.openxmlformats.org/officeDocument/2006/relationships/hyperlink" Target="https://www.tenable.com/downloads/nes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