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</w:rPr>
        <w:sectPr>
          <w:headerReference r:id="rId7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9288" cy="8356320"/>
            <wp:effectExtent b="0" l="0" r="0" t="0"/>
            <wp:docPr id="1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288" cy="835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567" w:firstLine="0"/>
        <w:jc w:val="center"/>
        <w:rPr>
          <w:b w:val="1"/>
          <w:smallCaps w:val="1"/>
        </w:rPr>
      </w:pPr>
      <w:bookmarkStart w:colFirst="0" w:colLast="0" w:name="_heading=h.smomvpg57oou" w:id="0"/>
      <w:bookmarkEnd w:id="0"/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smomvpg57oo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СОДЕРЖАНИЕ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403etin0l91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Ход работы: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r0clf8nwuui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На непосредственную оценку.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77j0ijqc35v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На ранжирование.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ftnhcx28cwj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Парное сравнение.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6ezmdqwmn5b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n1751prodfc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keepNext w:val="1"/>
        <w:keepLines w:val="1"/>
        <w:spacing w:after="260" w:before="260" w:lineRule="auto"/>
        <w:ind w:left="567" w:right="567" w:firstLine="709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Цель работы – работы: изучить экспертные оценки и научиться с помощью них решать задачи.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ознакомится с материалом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составить три задачи в которых (1 - на непосредственную оценку, 2 – на ранжирование, 3 - на ваш выбор):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 приведено условие (ситуация в области ИБ, которую нужно оценить)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 описана анкета (5 вопросов о ситуации/организации/угрозах для экспертов, на которые нужно будет потом ответить)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 описаны веса вопросов анкеты (важность вопросов для оценки)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 подробно описан метод экспертной оценки, который нужно применить и почему для такой ситуации применяется этот метод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 необходимо оценить согласованность мнений экспертов: описать, какой метод оценки применяется, формула, пояснения к формуле (1 - коэф. вариации, 2 - коэф. конкордации, 3 - topsis, 4 - на ваш выбор)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 привести эталонное (ожидаемое)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720" w:firstLine="0"/>
        <w:jc w:val="center"/>
        <w:rPr/>
      </w:pPr>
      <w:bookmarkStart w:colFirst="0" w:colLast="0" w:name="_heading=h.403etin0l91o" w:id="2"/>
      <w:bookmarkEnd w:id="2"/>
      <w:r w:rsidDel="00000000" w:rsidR="00000000" w:rsidRPr="00000000">
        <w:rPr>
          <w:rtl w:val="0"/>
        </w:rPr>
        <w:t xml:space="preserve">Ход работы: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r0clf8nwuui2" w:id="3"/>
      <w:bookmarkEnd w:id="3"/>
      <w:r w:rsidDel="00000000" w:rsidR="00000000" w:rsidRPr="00000000">
        <w:rPr>
          <w:rtl w:val="0"/>
        </w:rPr>
        <w:t xml:space="preserve">На непосредственную оценку.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Задача на непосредственную оценку</w:t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  <w:t xml:space="preserve">Ситуация: Организация "Альфа" занимается разработкой программного обеспечения. В последнее время в организации участились случаи несанкционированного доступа к данным. Руководство организации решило провести оценку уровня информационной безопасности (ИБ) в компании.</w:t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  <w:t xml:space="preserve">Анкета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Как часто обновляется программное обеспечение и системы безопасности?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Как часто создаются резервные копии данных?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Как часто проводятся проверки на обнаружение уязвимостей?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Какова готовность организации к реагированию на инцидент ИБ?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Как обеспечивается физическая безопасность серверов и оборудования?</w:t>
      </w:r>
    </w:p>
    <w:p w:rsidR="00000000" w:rsidDel="00000000" w:rsidP="00000000" w:rsidRDefault="00000000" w:rsidRPr="00000000" w14:paraId="00000020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Веса вопросов анкеты:</w:t>
      </w:r>
    </w:p>
    <w:p w:rsidR="00000000" w:rsidDel="00000000" w:rsidP="00000000" w:rsidRDefault="00000000" w:rsidRPr="00000000" w14:paraId="00000021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1 - 0.2</w:t>
      </w:r>
    </w:p>
    <w:p w:rsidR="00000000" w:rsidDel="00000000" w:rsidP="00000000" w:rsidRDefault="00000000" w:rsidRPr="00000000" w14:paraId="00000022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2 - 0.3</w:t>
      </w:r>
    </w:p>
    <w:p w:rsidR="00000000" w:rsidDel="00000000" w:rsidP="00000000" w:rsidRDefault="00000000" w:rsidRPr="00000000" w14:paraId="00000023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3 - 0.2</w:t>
      </w:r>
    </w:p>
    <w:p w:rsidR="00000000" w:rsidDel="00000000" w:rsidP="00000000" w:rsidRDefault="00000000" w:rsidRPr="00000000" w14:paraId="00000024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4 - 0.2</w:t>
      </w:r>
    </w:p>
    <w:p w:rsidR="00000000" w:rsidDel="00000000" w:rsidP="00000000" w:rsidRDefault="00000000" w:rsidRPr="00000000" w14:paraId="00000025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5 - 0.1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Оценка экспертами по 10-балльной шкале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8890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rtl w:val="0"/>
        </w:rPr>
        <w:t xml:space="preserve">: Коэффициент вариации определяется следующим образом.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Дисперсия  оценок, данных j-му элементу определяется по формуле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1632112</wp:posOffset>
            </wp:positionH>
            <wp:positionV relativeFrom="paragraph">
              <wp:posOffset>238125</wp:posOffset>
            </wp:positionV>
            <wp:extent cx="2466975" cy="533400"/>
            <wp:effectExtent b="0" l="0" r="0" t="0"/>
            <wp:wrapNone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1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Rule="auto"/>
        <w:ind w:firstLine="720"/>
        <w:rPr/>
      </w:pPr>
      <w:r w:rsidDel="00000000" w:rsidR="00000000" w:rsidRPr="00000000">
        <w:rPr>
          <w:rtl w:val="0"/>
        </w:rPr>
        <w:t xml:space="preserve">где n  – число экспертов;</w:t>
      </w:r>
    </w:p>
    <w:p w:rsidR="00000000" w:rsidDel="00000000" w:rsidP="00000000" w:rsidRDefault="00000000" w:rsidRPr="00000000" w14:paraId="0000002C">
      <w:pPr>
        <w:spacing w:after="160" w:lineRule="auto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ij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– оценка (в баллах или долях) j-го элемента i-ым экспертом;</w:t>
      </w:r>
    </w:p>
    <w:p w:rsidR="00000000" w:rsidDel="00000000" w:rsidP="00000000" w:rsidRDefault="00000000" w:rsidRPr="00000000" w14:paraId="0000002D">
      <w:pPr>
        <w:spacing w:after="160" w:lineRule="auto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– среднее арифметическое значение величины оценки элемента (в баллах или долях) определяется по формуле: </w:t>
      </w:r>
    </w:p>
    <w:p w:rsidR="00000000" w:rsidDel="00000000" w:rsidP="00000000" w:rsidRDefault="00000000" w:rsidRPr="00000000" w14:paraId="0000002E">
      <w:pPr>
        <w:spacing w:after="160" w:lineRule="auto"/>
        <w:ind w:left="2160" w:firstLine="720"/>
        <w:rPr/>
      </w:pPr>
      <w:r w:rsidDel="00000000" w:rsidR="00000000" w:rsidRPr="00000000">
        <w:rPr/>
        <w:drawing>
          <wp:inline distB="114300" distT="114300" distL="114300" distR="114300">
            <wp:extent cx="1371600" cy="4572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Среднее квадратическое отклонение оценок, полученных j-ым элементом, определяется по формуле: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552450</wp:posOffset>
            </wp:positionV>
            <wp:extent cx="981075" cy="466725"/>
            <wp:effectExtent b="0" l="0" r="0" t="0"/>
            <wp:wrapNone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1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Коэффициент вариации оценок, полученных j-ым элементом, определяется по формуле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2543175</wp:posOffset>
            </wp:positionH>
            <wp:positionV relativeFrom="paragraph">
              <wp:posOffset>495300</wp:posOffset>
            </wp:positionV>
            <wp:extent cx="1019175" cy="533400"/>
            <wp:effectExtent b="0" l="0" r="0" t="0"/>
            <wp:wrapNone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где σ среднее квадратическое отклонение по отдельному фактору(вопросу);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M - среднее значение оценки для отдельного фактора;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Степень согласованности мнений экспертов определяется так: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V &lt;= 0.3 - удовлетворительная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V &lt;= 0.2 - хорошая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8923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Средняя согласованность равна 0,15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 xml:space="preserve">Как видим, по всем вопросам коэффициент вариации не превышает 0,3, что свидетельствует о том, что уровень согласия экспертов считается удовлетворительным.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 xml:space="preserve">Общая оценка вопросов: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02*0.08 = 0.016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0.3*0.07 = 0.021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0.2*0.08 = 0.016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0.2*0.25 = 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0.1*0.24 = 0.024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firstLine="0"/>
        <w:rPr/>
      </w:pPr>
      <w:bookmarkStart w:colFirst="0" w:colLast="0" w:name="_heading=h.77j0ijqc35vs" w:id="4"/>
      <w:bookmarkEnd w:id="4"/>
      <w:r w:rsidDel="00000000" w:rsidR="00000000" w:rsidRPr="00000000">
        <w:rPr>
          <w:rtl w:val="0"/>
        </w:rPr>
        <w:t xml:space="preserve">2. На ранжирование.</w:t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  <w:t xml:space="preserve">Ситуация: Необходимо ранжировать наиболее вероятные угрозы информационной безопасности в компании Х.</w:t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  <w:t xml:space="preserve">Анкета: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Внутренний персонал. Сотрудники могут саботировать сети или незаконно присвоить интеллектуальную собственность и конфиденциальную информацию, а сотрудники с плохими навыками безопасности могут случайно поделиться паролями и оставить устройства незащищенными.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DDoS-атаки: Направлены на перегрузку серверов или сетей, чтобы они перестали быть доступными для легальных пользователей.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Вирусы, черви и троянские программы: Атаки, направленные на заражение систем и украденные данных.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Фишинговые письма и веб-сайты: Атаки, цель которых - получение конфиденциальной информации от пользователей, часто путем маскировки под доверенные источники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Утечки паролей или слабые учетные записи: Неавторизованный доступ к системам из-за слабых паролей или уязвимых учетных записей.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Оценка вопросов: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  <w:t xml:space="preserve">Метод экспертной оценки:</w:t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  <w:t xml:space="preserve">Ранжирование – это расположение объектов в порядке возрастания или убывания какого-либо присущего им свойства. Ранжирование позволяет выбрать из исследуемой совокупности факторов наиболее существенный.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Оценка согласованности: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6223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Используем коэффициент ранговой корреляции Спирмэна: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28950" cy="8001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Коэффициент (величина image) может изменяться в диапазоне от –1 до +1. При полном совпадении оценок коэффициент равен единице. Равенство коэффициента минус единице наблюдается при наибольшем расхождении в мнениях экспертов.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xij – ранг (важность), присвоенный i-му объекту j-ым экспертом, xik – ранг, присвоенный i-му объекту k-ым экспертом, di – разница между рангами, присвоенными i-му объекту.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990600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m:oMath>
        <m:r>
          <m:t>ρ</m:t>
        </m:r>
        <m:r>
          <w:rPr/>
          <m:t xml:space="preserve">=1-</m:t>
        </m:r>
        <m:f>
          <m:fPr>
            <m:ctrlPr>
              <w:rPr/>
            </m:ctrlPr>
          </m:fPr>
          <m:num>
            <m:r>
              <w:rPr/>
              <m:t xml:space="preserve">6*11</m:t>
            </m:r>
          </m:num>
          <m:den>
            <m:r>
              <w:rPr/>
              <m:t xml:space="preserve">120</m:t>
            </m:r>
          </m:den>
        </m:f>
        <m:r>
          <w:rPr/>
          <m:t xml:space="preserve">=0.45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Общая оценка вопросов: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0.2*0.45 = 0.09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0.25*0.45 = 0.1125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0.15*0.45 = 0.0675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0.2*0.45 = 0.09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0.2*0.45 = 0.09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firstLine="0"/>
        <w:rPr/>
      </w:pPr>
      <w:bookmarkStart w:colFirst="0" w:colLast="0" w:name="_heading=h.ftnhcx28cwjs" w:id="5"/>
      <w:bookmarkEnd w:id="5"/>
      <w:r w:rsidDel="00000000" w:rsidR="00000000" w:rsidRPr="00000000">
        <w:rPr>
          <w:rtl w:val="0"/>
        </w:rPr>
        <w:t xml:space="preserve">3. Парное сравнение.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Ситуация: На компанию по продаже металла была совершена DDOS атака, база данных оказалась цела, но организация потеряла возможность торговать на некоторое время и претерпела убытки. Что лучше сделать, чтоб не допустить повторения ситуации:</w:t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  <w:t xml:space="preserve"> Анкета: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Ввести дополнительные уровни доступа и регистрации аккаунтов;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резервного оборудования для возможности торговать после атаки;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Увеличить мощность серверов для сохранения работоспособности системы;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Проверка входящих аккаунтов капчей;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Заключить договор с компаний о предоставление дополнительных ресурсов в момент атаки.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Оценка вопросов: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rPr/>
      </w:pPr>
      <w:r w:rsidDel="00000000" w:rsidR="00000000" w:rsidRPr="00000000">
        <w:rPr>
          <w:rtl w:val="0"/>
        </w:rPr>
        <w:t xml:space="preserve">Метод экспертной оценки:</w:t>
      </w:r>
    </w:p>
    <w:p w:rsidR="00000000" w:rsidDel="00000000" w:rsidP="00000000" w:rsidRDefault="00000000" w:rsidRPr="00000000" w14:paraId="00000070">
      <w:pPr>
        <w:ind w:firstLine="0"/>
        <w:rPr/>
      </w:pPr>
      <w:r w:rsidDel="00000000" w:rsidR="00000000" w:rsidRPr="00000000">
        <w:rPr>
          <w:rtl w:val="0"/>
        </w:rPr>
        <w:t xml:space="preserve">В парном сравнении не нужно, как при ранжировании, упорядочивать все объекты, необходимо в каждой из пар выявить более значимый объект или установить их равенство. Парное сравнение можно проводить при большом числе объектов, а также в тех случаях, когда различие между объектами столь незначительно, что практически невыполнимо их ранжирование.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Оценка согласованности:</w:t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1557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Используем коэффициент конкордации Кендалла.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14550" cy="78105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91653" cy="942975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653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  <w:t xml:space="preserve">где n - число экспертов,</w:t>
      </w:r>
    </w:p>
    <w:p w:rsidR="00000000" w:rsidDel="00000000" w:rsidP="00000000" w:rsidRDefault="00000000" w:rsidRPr="00000000" w14:paraId="00000077">
      <w:pPr>
        <w:ind w:firstLine="0"/>
        <w:rPr/>
      </w:pPr>
      <w:r w:rsidDel="00000000" w:rsidR="00000000" w:rsidRPr="00000000">
        <w:rPr>
          <w:rtl w:val="0"/>
        </w:rPr>
        <w:t xml:space="preserve">m - число факторов(вопросов)</w:t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  <w:t xml:space="preserve">S - сумма квадратов отклонений всех оценок рангов каждого объекта от</w:t>
      </w:r>
    </w:p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>
          <w:rtl w:val="0"/>
        </w:rPr>
        <w:t xml:space="preserve">среднего значения W</w:t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3208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  <w:t xml:space="preserve">Общая оценка вопросов: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ind w:firstLine="0"/>
        <w:jc w:val="center"/>
        <w:rPr/>
      </w:pPr>
      <w:bookmarkStart w:colFirst="0" w:colLast="0" w:name="_heading=h.6ezmdqwmn5bj" w:id="6"/>
      <w:bookmarkEnd w:id="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82">
      <w:pPr>
        <w:ind w:firstLine="0"/>
        <w:rPr/>
      </w:pPr>
      <w:r w:rsidDel="00000000" w:rsidR="00000000" w:rsidRPr="00000000">
        <w:rPr>
          <w:rtl w:val="0"/>
        </w:rPr>
        <w:t xml:space="preserve">Метод экспертных оценок является эффективным инструментом в принятии решений в сфере ИБ. Главное правильно сформулировать задачу, определить тип задачи и выбрать соответствующий метод опроса экспертов.</w:t>
      </w:r>
    </w:p>
    <w:p w:rsidR="00000000" w:rsidDel="00000000" w:rsidP="00000000" w:rsidRDefault="00000000" w:rsidRPr="00000000" w14:paraId="00000083">
      <w:pPr>
        <w:pStyle w:val="Heading1"/>
        <w:keepNext w:val="1"/>
        <w:keepLines w:val="1"/>
        <w:pageBreakBefore w:val="1"/>
        <w:tabs>
          <w:tab w:val="center" w:leader="none" w:pos="4677"/>
          <w:tab w:val="right" w:leader="none" w:pos="8788"/>
        </w:tabs>
        <w:spacing w:after="260" w:before="260" w:lineRule="auto"/>
        <w:ind w:right="567" w:firstLine="0"/>
        <w:jc w:val="center"/>
        <w:rPr/>
      </w:pPr>
      <w:bookmarkStart w:colFirst="0" w:colLast="0" w:name="_heading=h.n1751prodfc8" w:id="7"/>
      <w:bookmarkEnd w:id="7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tabs>
          <w:tab w:val="center" w:leader="none" w:pos="4677"/>
          <w:tab w:val="right" w:leader="none" w:pos="8788"/>
        </w:tabs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https://habr.com/ru/articles/189626/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tabs>
          <w:tab w:val="center" w:leader="none" w:pos="4677"/>
          <w:tab w:val="right" w:leader="none" w:pos="8788"/>
        </w:tabs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https://sibac.info/studconf/tech/li/70269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tabs>
          <w:tab w:val="center" w:leader="none" w:pos="4677"/>
          <w:tab w:val="right" w:leader="none" w:pos="8788"/>
        </w:tabs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https://books.ifmo.ru/file/pdf/817.pdf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center" w:leader="none" w:pos="4677"/>
          <w:tab w:val="right" w:leader="none" w:pos="87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center" w:leader="none" w:pos="4677"/>
          <w:tab w:val="right" w:leader="none" w:pos="8788"/>
        </w:tabs>
        <w:rPr/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footerReference r:id="rId28" w:type="first"/>
      <w:type w:val="nextPage"/>
      <w:pgSz w:h="16838" w:w="11906" w:orient="portrait"/>
      <w:pgMar w:bottom="1134" w:top="1134" w:left="1701" w:right="850" w:header="708" w:footer="42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hyperlink" Target="https://habr.com/ru/articles/189626/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s://books.ifmo.ru/file/pdf/817.pdf" TargetMode="External"/><Relationship Id="rId23" Type="http://schemas.openxmlformats.org/officeDocument/2006/relationships/hyperlink" Target="https://sibac.info/studconf/tech/li/7026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header" Target="header3.xml"/><Relationship Id="rId25" Type="http://schemas.openxmlformats.org/officeDocument/2006/relationships/header" Target="header2.xml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1.jpg"/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19" Type="http://schemas.openxmlformats.org/officeDocument/2006/relationships/image" Target="media/image5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IGGx96PZ5wNOlcyDe2ErJUxf8Q==">CgMxLjAyDmguc21vbXZwZzU3b291MghoLmdqZGd4czIOaC40MDNldGluMGw5MW8yDmgucjBjbGY4bnd1dWkyMg5oLjc3ajBpanFjMzV2czIOaC5mdG5oY3gyOGN3anMyDmguNmV6bWRxd21uNWJqMg5oLm4xNzUxcHJvZGZjODgAciExZnRoRW41MW9ESm1lbkljOENpZThmaWwzTmd3Q0FFMzk=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