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Защита информации в системах управления базами данных</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Bảo vệ thông tin trong hệ thống quản lý cơ sở dữ liệu</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Модель данных - абстракция, которая по отношению к некоторым данным позволяет позволяет воспринимать их уже как сведения учитывающие сами данные и их логические взаимодействия.</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Все модели можно разделить на 3 группы:</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Инфологические;</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Концептуальные (даталогические или логические);</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Физические.</w:t>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hình dữ liệu là một sự trừu tượng, liên quan đến một số dữ liệu, cho phép chúng ta coi nó là thông tin có tính đến chính dữ liệu đó và các tương tác logic của nó.</w:t>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Tất cả các mô hình có thể được chia thành 3 nhóm:</w:t>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Thông tin;</w:t>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Khái niệm (dữ liệu hoặc logic);</w:t>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Thuộc vật chất.</w:t>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