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Математическая логика и теория алгоритмов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Практическая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24430" cy="4962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30" cy="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Пшеничный Кирилл Анатольевич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1: Деление понятия: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1) Диаграмма: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87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Принцип делений: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 ➞ (A1, A2)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В зависимости от наличия или отсутствия цветков.</w:t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A1 ➞ (A11, A12)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В зависимости от количества семядолей (однодольные или двудольные).</w:t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A11 ➞ (A111, A112)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Классификация на основе конкретных типов однодольных растений.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A12 ➞ (A121, A122)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Классификация на основе конкретных типов двудольных растений.</w:t>
      </w:r>
    </w:p>
    <w:p w:rsidR="00000000" w:rsidDel="00000000" w:rsidP="00000000" w:rsidRDefault="00000000" w:rsidRPr="00000000" w14:paraId="00000029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A2 ➞ (A21, A22)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В зависимости от способа размножения без цветов (мхи или папоротники).</w:t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A21 ➞ (A211, A212)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Классификация на основе конкретных видов мхов.</w:t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A22 ➞ (A221, A222)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: Классификация на основе конкретных видов папоротников.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Круговая диаграмма: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549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E27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foNvU0peblrJJCeYEWnZhhCep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MghoLmdqZGd4czgAciExMER4T1ZOMEZiVEpZTWhGcGpPMU9IZU1nQUM4WlBMW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2022-09-19T16:16:00Z</dcterms:created>
</cp:coreProperties>
</file>