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ms-office.chartcolorstyle+xml" PartName="/word/charts/colors2.xml"/>
  <Override ContentType="application/vnd.ms-office.chartcolorstyle+xml" PartName="/word/charts/colors1.xml"/>
  <Override ContentType="application/vnd.openxmlformats-officedocument.drawingml.chart+xml" PartName="/word/charts/chart1.xml"/>
  <Override ContentType="application/vnd.openxmlformats-officedocument.drawingml.chart+xml" PartName="/word/charts/chart2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ms-office.chartstyle+xml" PartName="/word/charts/style1.xml"/>
  <Override ContentType="application/vnd.ms-office.chartstyle+xml" PartName="/word/charts/style2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«</w:t>
      </w:r>
      <w:r w:rsidDel="00000000" w:rsidR="00000000" w:rsidRPr="00000000">
        <w:rPr>
          <w:rtl w:val="0"/>
        </w:rPr>
        <w:t xml:space="preserve">Электроника и схемотехника</w:t>
      </w:r>
      <w:r w:rsidDel="00000000" w:rsidR="00000000" w:rsidRPr="00000000">
        <w:rPr>
          <w:color w:val="000000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  <w:highlight w:val="yellow"/>
        </w:rPr>
      </w:pPr>
      <w:r w:rsidDel="00000000" w:rsidR="00000000" w:rsidRPr="00000000">
        <w:rPr>
          <w:b w:val="1"/>
          <w:color w:val="000000"/>
          <w:rtl w:val="0"/>
        </w:rPr>
        <w:t xml:space="preserve">ОТЧЕТ ПО </w:t>
      </w:r>
      <w:r w:rsidDel="00000000" w:rsidR="00000000" w:rsidRPr="00000000">
        <w:rPr>
          <w:b w:val="1"/>
          <w:rtl w:val="0"/>
        </w:rPr>
        <w:t xml:space="preserve">ЛАБОРАТОРНОЙ </w:t>
      </w:r>
      <w:r w:rsidDel="00000000" w:rsidR="00000000" w:rsidRPr="00000000">
        <w:rPr>
          <w:b w:val="1"/>
          <w:color w:val="000000"/>
          <w:rtl w:val="0"/>
        </w:rPr>
        <w:t xml:space="preserve">РАБОТ</w:t>
      </w:r>
      <w:r w:rsidDel="00000000" w:rsidR="00000000" w:rsidRPr="00000000">
        <w:rPr>
          <w:b w:val="1"/>
          <w:rtl w:val="0"/>
        </w:rPr>
        <w:t xml:space="preserve">Е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  <w:t xml:space="preserve">«Исследование переходных процессов в линейных схемах»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b w:val="1"/>
          <w:rtl w:val="0"/>
        </w:rPr>
        <w:t xml:space="preserve">Выполнили: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5153025</wp:posOffset>
            </wp:positionH>
            <wp:positionV relativeFrom="paragraph">
              <wp:posOffset>304800</wp:posOffset>
            </wp:positionV>
            <wp:extent cx="932551" cy="505495"/>
            <wp:effectExtent b="0" l="0" r="0" t="0"/>
            <wp:wrapNone/>
            <wp:docPr id="16312515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551" cy="505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20" w:line="288" w:lineRule="auto"/>
        <w:ind w:left="-18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             Чу Ван Дoан __________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5314950</wp:posOffset>
            </wp:positionH>
            <wp:positionV relativeFrom="paragraph">
              <wp:posOffset>353913</wp:posOffset>
            </wp:positionV>
            <wp:extent cx="1119783" cy="563649"/>
            <wp:effectExtent b="0" l="0" r="0" t="0"/>
            <wp:wrapNone/>
            <wp:docPr id="16312515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783" cy="563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spacing w:before="120" w:line="288" w:lineRule="auto"/>
        <w:ind w:left="-18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20" w:line="288" w:lineRule="auto"/>
        <w:ind w:left="-180" w:firstLine="0"/>
        <w:jc w:val="right"/>
        <w:rPr/>
      </w:pPr>
      <w:r w:rsidDel="00000000" w:rsidR="00000000" w:rsidRPr="00000000">
        <w:rPr>
          <w:rtl w:val="0"/>
        </w:rPr>
        <w:t xml:space="preserve">Нгуен Хань Ли________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5372100</wp:posOffset>
            </wp:positionH>
            <wp:positionV relativeFrom="paragraph">
              <wp:posOffset>342900</wp:posOffset>
            </wp:positionV>
            <wp:extent cx="1189658" cy="396553"/>
            <wp:effectExtent b="0" l="0" r="0" t="0"/>
            <wp:wrapNone/>
            <wp:docPr id="16312515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9658" cy="396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before="120" w:line="288" w:lineRule="auto"/>
        <w:ind w:left="-18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120" w:line="288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Нгуен Тхе Вьет________</w:t>
      </w:r>
    </w:p>
    <w:p w:rsidR="00000000" w:rsidDel="00000000" w:rsidP="00000000" w:rsidRDefault="00000000" w:rsidRPr="00000000" w14:paraId="00000014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15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  <w:t xml:space="preserve">Чернов Роман Ильич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8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9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A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B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ind w:firstLine="0"/>
        <w:jc w:val="center"/>
        <w:rPr/>
        <w:sectPr>
          <w:pgSz w:h="16838" w:w="11906" w:orient="portrait"/>
          <w:pgMar w:bottom="1134" w:top="1134" w:left="1701" w:right="850" w:header="708" w:footer="708"/>
          <w:pgNumType w:start="2"/>
        </w:sectPr>
      </w:pPr>
      <w:r w:rsidDel="00000000" w:rsidR="00000000" w:rsidRPr="00000000">
        <w:rPr>
          <w:rtl w:val="0"/>
        </w:rPr>
        <w:t xml:space="preserve">2024 г.</w:t>
      </w:r>
    </w:p>
    <w:p w:rsidR="00000000" w:rsidDel="00000000" w:rsidP="00000000" w:rsidRDefault="00000000" w:rsidRPr="00000000" w14:paraId="00000022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352" w:right="567" w:firstLine="35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709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709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Теория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709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Структурная схема лабораторной установки и принципиальная схема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лабораторного макета.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709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Расчеты и графики, полученные при подготовке к работе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709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Результаты измерений.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709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Расчеты, выполненные по результатам измерений.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Значение постоянной времени.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Диапазон возможных значений сопротивления R в RС-цепи</w:t>
            </w:r>
          </w:hyperlink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709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Теоретический график переходного процесса.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709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Сравнить полученные графики, построив их на одной координатной плоскости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349" w:right="567" w:firstLine="360.00000000000006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Цель работы – Исследовать переходные процессы в линейных системах исследовать график изменения напряжения схемы, провести прямые измерения и обработать данные.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Смоделировать поведение RC цепи с помощью MicroCap;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Подключить лабораторный макет и провести измерение напряжений (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… ), в различных моментах времени (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,…) на одном и том же участке кривой переходного процесса;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Выполнить расчёты по результатам измерений.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mallCaps w:val="1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Теория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Переходным </w:t>
      </w:r>
      <w:r w:rsidDel="00000000" w:rsidR="00000000" w:rsidRPr="00000000">
        <w:rPr>
          <w:rtl w:val="0"/>
        </w:rPr>
        <w:t xml:space="preserve">называют процесс перехода от одного установившегося режима работы электрической цепи к другому, чем-либо отличающемуся от предыдущего (величиной ЭДС, значениями параметров схемы и т.д.).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Переходные процессы в цепях возникают при различных коммутациях (процесс замыкания или размыкания выключателей) и не могут протекать мгновенно, так как индуктивные катушки и конденсаторы являются инерционными элементами, т. е. энергия магнитного поля индуктивной катушки и энергия электрического поля конденсатора не могут изменяться скачком.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Переходные процессы в RC-цепях первого порядка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Рассмотрим резистивную цепь произвольной конфигурации, к внешним зажимам которой подключен емкостный элемент (рис. 1).</w:t>
      </w:r>
    </w:p>
    <w:p w:rsidR="00000000" w:rsidDel="00000000" w:rsidP="00000000" w:rsidRDefault="00000000" w:rsidRPr="00000000" w14:paraId="0000003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41698" cy="2164485"/>
            <wp:effectExtent b="0" l="0" r="0" t="0"/>
            <wp:docPr descr="Diagram, schematic&#10;&#10;Description automatically generated" id="1631251541" name="image6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1698" cy="2164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1 - RC-цепь первого порядка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По закону Кирхгофа: </w:t>
      </w:r>
    </w:p>
    <w:p w:rsidR="00000000" w:rsidDel="00000000" w:rsidP="00000000" w:rsidRDefault="00000000" w:rsidRPr="00000000" w14:paraId="00000041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Э</m:t>
            </m:r>
          </m:sub>
        </m:sSub>
        <m:r>
          <w:rPr>
            <w:rFonts w:ascii="Cambria Math" w:cs="Cambria Math" w:eastAsia="Cambria Math" w:hAnsi="Cambria Math"/>
          </w:rPr>
          <m:t xml:space="preserve">.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Э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Выполняя подстановку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</w:rPr>
          <m:t xml:space="preserve">=C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dt</m:t>
            </m:r>
          </m:den>
        </m:f>
        <m:r>
          <w:rPr>
            <w:rFonts w:ascii="Cambria Math" w:cs="Cambria Math" w:eastAsia="Cambria Math" w:hAnsi="Cambria Math"/>
          </w:rPr>
          <m:t xml:space="preserve"> , τ=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э</m:t>
            </m:r>
          </m:sub>
        </m:sSub>
        <m:r>
          <w:rPr>
            <w:rFonts w:ascii="Cambria Math" w:cs="Cambria Math" w:eastAsia="Cambria Math" w:hAnsi="Cambria Math"/>
          </w:rPr>
          <m:t xml:space="preserve">С</m:t>
        </m:r>
      </m:oMath>
      <w:r w:rsidDel="00000000" w:rsidR="00000000" w:rsidRPr="00000000">
        <w:rPr>
          <w:rtl w:val="0"/>
        </w:rPr>
        <w:t xml:space="preserve"> и решая полученное уравнение относительно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dt</m:t>
            </m:r>
          </m:den>
        </m:f>
      </m:oMath>
      <w:r w:rsidDel="00000000" w:rsidR="00000000" w:rsidRPr="00000000">
        <w:rPr>
          <w:rtl w:val="0"/>
        </w:rPr>
        <w:t xml:space="preserve"> получим:</w:t>
      </w:r>
    </w:p>
    <w:p w:rsidR="00000000" w:rsidDel="00000000" w:rsidP="00000000" w:rsidRDefault="00000000" w:rsidRPr="00000000" w14:paraId="00000043">
      <w:pPr>
        <w:rPr>
          <w:i w:val="1"/>
        </w:rPr>
      </w:pPr>
      <w:r w:rsidDel="00000000" w:rsidR="00000000" w:rsidRPr="00000000">
        <w:rPr>
          <w:rtl w:val="0"/>
        </w:rPr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dt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-1</m:t>
            </m:r>
          </m:num>
          <m:den>
            <m:r>
              <w:rPr>
                <w:rFonts w:ascii="Cambria Math" w:cs="Cambria Math" w:eastAsia="Cambria Math" w:hAnsi="Cambria Math"/>
              </w:rPr>
              <m:t>τ</m:t>
            </m:r>
          </m:den>
        </m:f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>τ</m:t>
            </m:r>
          </m:den>
        </m:f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э</m:t>
            </m:r>
          </m:sub>
        </m:sSub>
        <m:r>
          <w:rPr>
            <w:rFonts w:ascii="Cambria Math" w:cs="Cambria Math" w:eastAsia="Cambria Math" w:hAnsi="Cambria Math"/>
          </w:rPr>
          <m:t>→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э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dt</m:t>
            </m:r>
          </m:num>
          <m:den>
            <m:r>
              <w:rPr>
                <w:rFonts w:ascii="Cambria Math" w:cs="Cambria Math" w:eastAsia="Cambria Math" w:hAnsi="Cambria Math"/>
              </w:rPr>
              <m:t>τ</m:t>
            </m:r>
          </m:den>
        </m:f>
        <m:r>
          <w:rPr>
            <w:rFonts w:ascii="Cambria Math" w:cs="Cambria Math" w:eastAsia="Cambria Math" w:hAnsi="Cambria Math"/>
          </w:rPr>
          <m:t>→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nary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э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nary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dt</m:t>
            </m:r>
          </m:num>
          <m:den>
            <m:r>
              <w:rPr>
                <w:rFonts w:ascii="Cambria Math" w:cs="Cambria Math" w:eastAsia="Cambria Math" w:hAnsi="Cambria Math"/>
              </w:rPr>
              <m:t>τ</m:t>
            </m:r>
          </m:den>
        </m:f>
        <m:r>
          <w:rPr>
            <w:rFonts w:ascii="Cambria Math" w:cs="Cambria Math" w:eastAsia="Cambria Math" w:hAnsi="Cambria Math"/>
          </w:rPr>
          <m:t>→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ln</m:t>
            </m:r>
          </m:e>
        </m:box>
        <m:r>
          <w:rPr>
            <w:rFonts w:ascii="Cambria Math" w:cs="Cambria Math" w:eastAsia="Cambria Math" w:hAnsi="Cambria Math"/>
          </w:rPr>
          <m:t xml:space="preserve">ln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э</m:t>
                </m:r>
              </m:sub>
            </m:sSub>
          </m:e>
        </m:d>
        <m:r>
          <w:rPr/>
          <m:t xml:space="preserve">|</m:t>
        </m:r>
        <m:r>
          <w:rPr>
            <w:rFonts w:ascii="Cambria Math" w:cs="Cambria Math" w:eastAsia="Cambria Math" w:hAnsi="Cambria Math"/>
          </w:rPr>
          <m:t xml:space="preserve">t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0</m:t>
        </m:r>
        <m:r>
          <w:rPr/>
          <m:t xml:space="preserve">  </m:t>
        </m:r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t</m:t>
            </m:r>
          </m:num>
          <m:den>
            <m:r>
              <w:rPr>
                <w:rFonts w:ascii="Cambria Math" w:cs="Cambria Math" w:eastAsia="Cambria Math" w:hAnsi="Cambria Math"/>
              </w:rPr>
              <m:t>τ</m:t>
            </m:r>
          </m:den>
        </m:f>
        <m:r>
          <w:rPr/>
          <m:t xml:space="preserve">|</m:t>
        </m:r>
        <m:r>
          <w:rPr>
            <w:rFonts w:ascii="Cambria Math" w:cs="Cambria Math" w:eastAsia="Cambria Math" w:hAnsi="Cambria Math"/>
          </w:rPr>
          <m:t xml:space="preserve">t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0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Cambria Math" w:cs="Cambria Math" w:eastAsia="Cambria Math" w:hAnsi="Cambria Math"/>
        </w:rPr>
      </w:pPr>
      <m:oMath>
        <m:r>
          <m:t>→</m:t>
        </m:r>
        <m:box>
          <m:boxPr>
            <m:opEmu m:val="1"/>
          </m:boxPr>
          <m:e>
            <m:r>
              <m:t>ln</m:t>
            </m:r>
          </m:e>
        </m:box>
        <m:r>
          <w:rPr>
            <w:rFonts w:ascii="Cambria Math" w:cs="Cambria Math" w:eastAsia="Cambria Math" w:hAnsi="Cambria Math"/>
          </w:rPr>
          <m:t xml:space="preserve">ln</m:t>
        </m:r>
        <m:r>
          <w:rPr/>
          <m:t xml:space="preserve"> </m:t>
        </m:r>
        <m:d>
          <m:dPr>
            <m:begChr m:val="("/>
            <m:endChr m:val=")"/>
            <m:ctrlPr>
              <w:rPr/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-u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sub>
                </m:sSub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t</m:t>
                    </m:r>
                  </m:e>
                </m:d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э</m:t>
                    </m:r>
                  </m:sub>
                </m:sSub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u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sub>
                </m:sSub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e>
                </m:d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э</m:t>
                    </m:r>
                  </m:sub>
                </m:sSub>
              </m:den>
            </m:f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t</m:t>
            </m:r>
          </m:num>
          <m:den>
            <m:r>
              <w:rPr>
                <w:rFonts w:ascii="Cambria Math" w:cs="Cambria Math" w:eastAsia="Cambria Math" w:hAnsi="Cambria Math"/>
              </w:rPr>
              <m:t>τ</m:t>
            </m:r>
          </m:den>
        </m:f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э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-U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э</m:t>
                </m:r>
              </m:sub>
            </m:sSub>
          </m:e>
        </m:d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>τ</m:t>
                </m:r>
              </m:den>
            </m:f>
          </m:sup>
        </m:sSup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э</m:t>
                </m:r>
              </m:sub>
            </m:sSub>
          </m:e>
        </m:d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>τ</m:t>
                </m:r>
              </m:den>
            </m:f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э</m:t>
            </m:r>
          </m:sub>
        </m:sSub>
        <m:r>
          <w:rPr>
            <w:rFonts w:ascii="Cambria Math" w:cs="Cambria Math" w:eastAsia="Cambria Math" w:hAnsi="Cambria Math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>
          <w:rtl w:val="0"/>
        </w:rPr>
        <w:t xml:space="preserve"> </w:t>
        <w:tab/>
        <w:t xml:space="preserve">При разряде конденсатора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>τ</m:t>
                </m:r>
              </m:den>
            </m:f>
          </m:sup>
        </m:sSup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  <w:t xml:space="preserve">, где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Постоянная время - 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характеристика экспоненциального процесса, определяющая время, через которое некоторый параметр процесса изменится в «е» раз (е ≈ 2,718). В нашем случае если </w:t>
          </w:r>
        </w:sdtContent>
      </w:sdt>
      <m:oMath>
        <m:r>
          <w:rPr>
            <w:rFonts w:ascii="Cambria Math" w:cs="Cambria Math" w:eastAsia="Cambria Math" w:hAnsi="Cambria Math"/>
          </w:rPr>
          <m:t xml:space="preserve">t=τ</m:t>
        </m:r>
      </m:oMath>
      <w:r w:rsidDel="00000000" w:rsidR="00000000" w:rsidRPr="00000000">
        <w:rPr>
          <w:rtl w:val="0"/>
        </w:rPr>
        <w:t xml:space="preserve">, то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>τ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</w:rPr>
          <m:t>→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>τ</m:t>
                </m:r>
              </m:e>
            </m:d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=e</m:t>
        </m:r>
      </m:oMath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Структурная схема лабораторной установки и принципиальная схема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лабораторного макета.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09" w:firstLine="0"/>
        <w:rPr/>
      </w:pPr>
      <w:r w:rsidDel="00000000" w:rsidR="00000000" w:rsidRPr="00000000">
        <w:rPr>
          <w:rtl w:val="0"/>
        </w:rPr>
        <w:t xml:space="preserve">На рисунке 2 представлена схема лабораторной установки.</w:t>
      </w:r>
    </w:p>
    <w:p w:rsidR="00000000" w:rsidDel="00000000" w:rsidP="00000000" w:rsidRDefault="00000000" w:rsidRPr="00000000" w14:paraId="0000004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83728" cy="990647"/>
            <wp:effectExtent b="0" l="0" r="0" t="0"/>
            <wp:docPr descr="Graphical user interface&#10;&#10;Description automatically generated" id="1631251543" name="image4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728" cy="990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2 - Блок-схема лабораторной установки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59" w:lineRule="auto"/>
        <w:rPr/>
      </w:pPr>
      <w:r w:rsidDel="00000000" w:rsidR="00000000" w:rsidRPr="00000000">
        <w:rPr>
          <w:rtl w:val="0"/>
        </w:rPr>
        <w:t xml:space="preserve">На рисунке 3 представлено фото исследуемой установки.</w:t>
      </w:r>
    </w:p>
    <w:p w:rsidR="00000000" w:rsidDel="00000000" w:rsidP="00000000" w:rsidRDefault="00000000" w:rsidRPr="00000000" w14:paraId="0000004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438775" cy="2143125"/>
            <wp:effectExtent b="0" l="0" r="0" t="0"/>
            <wp:docPr id="16312515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3 - Макет установки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На рисунке 4 представлена принципиальная схема из Micro Cap.</w:t>
      </w:r>
    </w:p>
    <w:p w:rsidR="00000000" w:rsidDel="00000000" w:rsidP="00000000" w:rsidRDefault="00000000" w:rsidRPr="00000000" w14:paraId="0000004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4732" cy="2916550"/>
            <wp:effectExtent b="0" l="0" r="0" t="0"/>
            <wp:docPr id="16312515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732" cy="291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4 - принципиальная схема лабораторного макета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Расчеты и графики, полученные при подготовке к работе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При подготовке к работе смоделируем в MicroCap и получим график зависимости тока и напряжения конденсатора от времени, который показан на рисуке 5.</w:t>
      </w:r>
    </w:p>
    <w:p w:rsidR="00000000" w:rsidDel="00000000" w:rsidP="00000000" w:rsidRDefault="00000000" w:rsidRPr="00000000" w14:paraId="0000005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10000" cy="2524125"/>
            <wp:effectExtent b="0" l="0" r="0" t="0"/>
            <wp:docPr descr="Diagram&#10;&#10;Description automatically generated" id="1631251544" name="image7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5 - Коммутация в RC-цепи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Результаты измерений.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09" w:firstLine="0"/>
        <w:rPr/>
      </w:pPr>
      <w:r w:rsidDel="00000000" w:rsidR="00000000" w:rsidRPr="00000000">
        <w:rPr>
          <w:rtl w:val="0"/>
        </w:rPr>
        <w:t xml:space="preserve">Данные для расчета постоянной времени</w:t>
      </w:r>
      <w:r w:rsidDel="00000000" w:rsidR="00000000" w:rsidRPr="00000000">
        <w:rPr>
          <w:smallCaps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показаны в таблице 1.</w:t>
      </w:r>
    </w:p>
    <w:p w:rsidR="00000000" w:rsidDel="00000000" w:rsidP="00000000" w:rsidRDefault="00000000" w:rsidRPr="00000000" w14:paraId="00000057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09" w:firstLine="0"/>
        <w:rPr/>
      </w:pPr>
      <w:r w:rsidDel="00000000" w:rsidR="00000000" w:rsidRPr="00000000">
        <w:rPr>
          <w:rtl w:val="0"/>
        </w:rPr>
        <w:t xml:space="preserve">Таблица 1- Протокол измерений </w:t>
      </w:r>
    </w:p>
    <w:tbl>
      <w:tblPr>
        <w:tblStyle w:val="Table1"/>
        <w:tblW w:w="10545.0" w:type="dxa"/>
        <w:jc w:val="left"/>
        <w:tblInd w:w="-9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5"/>
        <w:gridCol w:w="705"/>
        <w:gridCol w:w="750"/>
        <w:gridCol w:w="675"/>
        <w:gridCol w:w="825"/>
        <w:gridCol w:w="885"/>
        <w:gridCol w:w="810"/>
        <w:gridCol w:w="810"/>
        <w:gridCol w:w="810"/>
        <w:gridCol w:w="795"/>
        <w:gridCol w:w="825"/>
        <w:gridCol w:w="795"/>
        <w:gridCol w:w="855"/>
        <w:tblGridChange w:id="0">
          <w:tblGrid>
            <w:gridCol w:w="1005"/>
            <w:gridCol w:w="705"/>
            <w:gridCol w:w="750"/>
            <w:gridCol w:w="675"/>
            <w:gridCol w:w="825"/>
            <w:gridCol w:w="885"/>
            <w:gridCol w:w="810"/>
            <w:gridCol w:w="810"/>
            <w:gridCol w:w="810"/>
            <w:gridCol w:w="795"/>
            <w:gridCol w:w="825"/>
            <w:gridCol w:w="795"/>
            <w:gridCol w:w="855"/>
          </w:tblGrid>
        </w:tblGridChange>
      </w:tblGrid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gridSpan w:val="12"/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Разряд RC цепи</w:t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𝑈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(В)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1.37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,мс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64.60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69.60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74.60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78.40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Расчеты, выполненные по результатам измерений.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76" w:lineRule="auto"/>
        <w:ind w:firstLine="426"/>
        <w:rPr>
          <w:b w:val="1"/>
        </w:rPr>
      </w:pPr>
      <w:bookmarkStart w:colFirst="0" w:colLast="0" w:name="_heading=h.1t3h5sf" w:id="6"/>
      <w:bookmarkEnd w:id="6"/>
      <w:r w:rsidDel="00000000" w:rsidR="00000000" w:rsidRPr="00000000">
        <w:rPr>
          <w:b w:val="1"/>
          <w:rtl w:val="0"/>
        </w:rPr>
        <w:t xml:space="preserve">5.1. Значение постоянной времени.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Для расчета параметров исследуемой цепи аналитическим способом достаточно двух точек. Используем формулу:</w:t>
      </w:r>
    </w:p>
    <w:p w:rsidR="00000000" w:rsidDel="00000000" w:rsidP="00000000" w:rsidRDefault="00000000" w:rsidRPr="00000000" w14:paraId="00000094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.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>τ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i w:val="1"/>
        </w:rPr>
      </w:pPr>
      <w:r w:rsidDel="00000000" w:rsidR="00000000" w:rsidRPr="00000000">
        <w:rPr>
          <w:rtl w:val="0"/>
        </w:rPr>
        <w:t xml:space="preserve"> где τ – постоянная времени, 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 – максимальное напряжение входа.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Выберем две точки (0.0046;4. максимальное напряжен 05) и (0.0346; 2.59). Решаем систему уравнений:</w:t>
      </w:r>
    </w:p>
    <w:p w:rsidR="00000000" w:rsidDel="00000000" w:rsidP="00000000" w:rsidRDefault="00000000" w:rsidRPr="00000000" w14:paraId="00000097">
      <w:pPr>
        <w:jc w:val="center"/>
        <w:rPr/>
      </w:pPr>
      <m:oMath>
        <m:r>
          <w:rPr/>
          <m:t xml:space="preserve">{</m:t>
        </m:r>
        <m:r>
          <w:rPr>
            <w:rFonts w:ascii="Cambria Math" w:cs="Cambria Math" w:eastAsia="Cambria Math" w:hAnsi="Cambria Math"/>
          </w:rPr>
          <m:t xml:space="preserve">4.05=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.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0.0046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>τ</m:t>
                </m:r>
              </m:den>
            </m:f>
          </m:sup>
        </m:sSup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2.59=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.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0.0346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>τ</m:t>
                </m:r>
              </m:den>
            </m:f>
          </m:sup>
        </m:sSup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Получаем решение </w:t>
      </w:r>
      <m:oMath>
        <m:r>
          <w:rPr/>
          <m:t xml:space="preserve">{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=4.3374 В</m:t>
        </m:r>
        <m:r>
          <w:rPr/>
          <m:t xml:space="preserve"> </m:t>
        </m:r>
        <m:r>
          <w:rPr/>
          <m:t>τ</m:t>
        </m:r>
        <m:r>
          <w:rPr>
            <w:rFonts w:ascii="Cambria Math" w:cs="Cambria Math" w:eastAsia="Cambria Math" w:hAnsi="Cambria Math"/>
          </w:rPr>
          <m:t xml:space="preserve">=0.0671 с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1" w:firstLine="709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Результат расчёта показан в таблице 2.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Таблица 2. Результат расчёта</w:t>
      </w:r>
    </w:p>
    <w:tbl>
      <w:tblPr>
        <w:tblStyle w:val="Table2"/>
        <w:tblW w:w="10590.0" w:type="dxa"/>
        <w:jc w:val="left"/>
        <w:tblInd w:w="-9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5"/>
        <w:gridCol w:w="765"/>
        <w:gridCol w:w="780"/>
        <w:gridCol w:w="705"/>
        <w:gridCol w:w="795"/>
        <w:gridCol w:w="810"/>
        <w:gridCol w:w="885"/>
        <w:gridCol w:w="885"/>
        <w:gridCol w:w="870"/>
        <w:gridCol w:w="795"/>
        <w:gridCol w:w="795"/>
        <w:gridCol w:w="825"/>
        <w:gridCol w:w="945"/>
        <w:tblGridChange w:id="0">
          <w:tblGrid>
            <w:gridCol w:w="735"/>
            <w:gridCol w:w="765"/>
            <w:gridCol w:w="780"/>
            <w:gridCol w:w="705"/>
            <w:gridCol w:w="795"/>
            <w:gridCol w:w="810"/>
            <w:gridCol w:w="885"/>
            <w:gridCol w:w="885"/>
            <w:gridCol w:w="870"/>
            <w:gridCol w:w="795"/>
            <w:gridCol w:w="795"/>
            <w:gridCol w:w="825"/>
            <w:gridCol w:w="945"/>
          </w:tblGrid>
        </w:tblGridChange>
      </w:tblGrid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spacing w:line="240" w:lineRule="auto"/>
              <w:ind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 </w:t>
            </w:r>
          </w:p>
        </w:tc>
        <w:tc>
          <w:tcPr>
            <w:gridSpan w:val="1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spacing w:line="240" w:lineRule="auto"/>
              <w:ind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Разряд RC цепи</w:t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spacing w:line="240" w:lineRule="auto"/>
              <w:ind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№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D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2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3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4">
            <w:pPr>
              <w:spacing w:line="240" w:lineRule="auto"/>
              <w:ind w:firstLine="0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12</w:t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spacing w:line="240" w:lineRule="auto"/>
              <w:ind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U,B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6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4.27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4.05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8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3.76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9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3.49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3.00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B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2.58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1.92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E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1.65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1.34</w:t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2">
            <w:pPr>
              <w:spacing w:line="240" w:lineRule="auto"/>
              <w:ind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color w:val="000000"/>
                <w:rtl w:val="0"/>
              </w:rPr>
              <w:t xml:space="preserve">𝑡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,мс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5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9.60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6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14.50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7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24.50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8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34.60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9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44.60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A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54.50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64.60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C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69.60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D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74.60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E">
            <w:pPr>
              <w:spacing w:line="240" w:lineRule="auto"/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78.40</w:t>
            </w:r>
          </w:p>
        </w:tc>
      </w:tr>
    </w:tbl>
    <w:p w:rsidR="00000000" w:rsidDel="00000000" w:rsidP="00000000" w:rsidRDefault="00000000" w:rsidRPr="00000000" w14:paraId="000000C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294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 Диапазон возможных значений сопротивления R в </w:t>
      </w:r>
      <w:r w:rsidDel="00000000" w:rsidR="00000000" w:rsidRPr="00000000">
        <w:rPr>
          <w:b w:val="1"/>
          <w:rtl w:val="0"/>
        </w:rPr>
        <w:t xml:space="preserve">RC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-цепи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1">
      <w:pPr>
        <w:rPr>
          <w:i w:val="1"/>
        </w:rPr>
      </w:pPr>
      <w:r w:rsidDel="00000000" w:rsidR="00000000" w:rsidRPr="00000000">
        <w:rPr>
          <w:rtl w:val="0"/>
        </w:rPr>
        <w:t xml:space="preserve">Рассчитываем постоянную времени цепи по формуле</w:t>
      </w:r>
      <m:oMath>
        <m:r>
          <w:rPr>
            <w:rFonts w:ascii="Cambria Math" w:cs="Cambria Math" w:eastAsia="Cambria Math" w:hAnsi="Cambria Math"/>
          </w:rPr>
          <m:t xml:space="preserve"> τ=RC</m:t>
        </m:r>
      </m:oMath>
      <w:r w:rsidDel="00000000" w:rsidR="00000000" w:rsidRPr="00000000">
        <w:rPr>
          <w:rtl w:val="0"/>
        </w:rPr>
        <w:t xml:space="preserve">, следовательно, </w:t>
      </w:r>
      <m:oMath>
        <m:r>
          <w:rPr>
            <w:rFonts w:ascii="Cambria Math" w:cs="Cambria Math" w:eastAsia="Cambria Math" w:hAnsi="Cambria Math"/>
          </w:rPr>
          <m:t xml:space="preserve">R=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>τ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С</m:t>
            </m:r>
          </m:den>
        </m:f>
      </m:oMath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D2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  <w:t xml:space="preserve">Если емкость конденсатора находится в диапазоне </w:t>
      </w:r>
      <m:oMath>
        <m:r>
          <w:rPr>
            <w:rFonts w:ascii="Cambria Math" w:cs="Cambria Math" w:eastAsia="Cambria Math" w:hAnsi="Cambria Math"/>
          </w:rPr>
          <m:t xml:space="preserve">1000мкФ +60, -20%</m:t>
        </m:r>
      </m:oMath>
      <w:r w:rsidDel="00000000" w:rsidR="00000000" w:rsidRPr="00000000">
        <w:rPr>
          <w:rtl w:val="0"/>
        </w:rPr>
        <w:t xml:space="preserve">, то </w:t>
      </w:r>
      <w:r w:rsidDel="00000000" w:rsidR="00000000" w:rsidRPr="00000000">
        <w:rPr>
          <w:color w:val="000000"/>
          <w:highlight w:val="white"/>
          <w:rtl w:val="0"/>
        </w:rPr>
        <w:t xml:space="preserve">диапазон возможных значений </w:t>
      </w:r>
      <m:oMath>
        <m:r>
          <w:rPr>
            <w:rFonts w:ascii="Cambria Math" w:cs="Cambria Math" w:eastAsia="Cambria Math" w:hAnsi="Cambria Math"/>
            <w:color w:val="000000"/>
            <w:highlight w:val="white"/>
          </w:rPr>
          <m:t xml:space="preserve">R=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highlight w:val="whit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  <w:highlight w:val="white"/>
                  </w:rPr>
                  <m:t xml:space="preserve">0.0</m:t>
                </m:r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671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</w:rPr>
                      <m:t xml:space="preserve">1000.10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color w:val="000000"/>
                      </w:rPr>
                      <m:t xml:space="preserve">-6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.1.6</m:t>
                </m:r>
              </m:den>
            </m:f>
            <m:r>
              <w:rPr>
                <w:rFonts w:ascii="Cambria Math" w:cs="Cambria Math" w:eastAsia="Cambria Math" w:hAnsi="Cambria Math"/>
                <w:color w:val="000000"/>
                <w:highlight w:val="white"/>
              </w:rPr>
              <m:t xml:space="preserve">;</m:t>
            </m:r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  <w:highlight w:val="white"/>
                  </w:rPr>
                  <m:t xml:space="preserve">0.0</m:t>
                </m:r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671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</w:rPr>
                      <m:t xml:space="preserve">1000.10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color w:val="000000"/>
                      </w:rPr>
                      <m:t xml:space="preserve">-6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.0.8</m:t>
                </m:r>
              </m:den>
            </m:f>
            <m:r>
              <w:rPr>
                <w:rFonts w:ascii="Cambria Math" w:cs="Cambria Math" w:eastAsia="Cambria Math" w:hAnsi="Cambria Math"/>
                <w:color w:val="000000"/>
                <w:highlight w:val="white"/>
              </w:rPr>
              <m:t xml:space="preserve">  </m:t>
            </m:r>
          </m:e>
        </m:d>
        <m:r>
          <w:rPr>
            <w:rFonts w:ascii="Cambria Math" w:cs="Cambria Math" w:eastAsia="Cambria Math" w:hAnsi="Cambria Math"/>
            <w:color w:val="000000"/>
            <w:highlight w:val="whit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41.94;83.88</m:t>
            </m:r>
          </m:e>
        </m:d>
        <m:r>
          <w:rPr>
            <w:rFonts w:ascii="Cambria Math" w:cs="Cambria Math" w:eastAsia="Cambria Math" w:hAnsi="Cambria Math"/>
            <w:color w:val="000000"/>
            <w:highlight w:val="white"/>
          </w:rPr>
          <m:t xml:space="preserve"> Ом.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Теоретический график переходного процесса.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highlight w:val="white"/>
        </w:rPr>
      </w:pPr>
      <w:r w:rsidDel="00000000" w:rsidR="00000000" w:rsidRPr="00000000">
        <w:rPr>
          <w:rtl w:val="0"/>
        </w:rPr>
        <w:t xml:space="preserve">Сравним теоретический график переходного процесса с точками, не использовавшимися в</w:t>
      </w:r>
      <w:r w:rsidDel="00000000" w:rsidR="00000000" w:rsidRPr="00000000">
        <w:rPr>
          <w:smallCaps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его определении (рисунок 4)</w:t>
      </w:r>
      <w:r w:rsidDel="00000000" w:rsidR="00000000" w:rsidRPr="00000000">
        <w:rPr>
          <w:smallCaps w:val="1"/>
          <w:rtl w:val="0"/>
        </w:rPr>
        <w:t xml:space="preserve">. </w:t>
      </w:r>
      <w:r w:rsidDel="00000000" w:rsidR="00000000" w:rsidRPr="00000000">
        <w:rPr>
          <w:highlight w:val="white"/>
          <w:rtl w:val="0"/>
        </w:rPr>
        <w:t xml:space="preserve">Для теоретического расчета использовались точки E2 и E6; по графику видно, что точки E1, E3, E4, E5, E7,…., E12 также лежат на построенной кривой. Таким образом, сравнение теоретических и практических результатов показало, что расчет произведен корректно.</w:t>
      </w:r>
    </w:p>
    <w:p w:rsidR="00000000" w:rsidDel="00000000" w:rsidP="00000000" w:rsidRDefault="00000000" w:rsidRPr="00000000" w14:paraId="000000D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853545" cy="3075709"/>
            <wp:docPr id="1631251538" name=""/>
            <a:graphic>
              <a:graphicData uri="http://schemas.openxmlformats.org/drawingml/2006/chart">
                <c:chart r:id="rId15"/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6 - Теоретический график переходного процесса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7dp8vu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Сравнить полученные графики, построив их на одной координатной плоскости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Анализируя график, можно сказать, что экспериментальные, теоретические и MicroCap значения совпадают в пределах погрешности (рис. 8).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0" distT="0" distL="0" distR="0">
            <wp:extent cx="4467744" cy="3134867"/>
            <wp:effectExtent b="0" l="0" r="0" t="0"/>
            <wp:docPr descr="Diagram&#10;&#10;Description automatically generated" id="1631251546" name="image9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744" cy="3134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7. Модель в Micro Cap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3856990"/>
            <wp:docPr id="1631251537" name=""/>
            <a:graphic>
              <a:graphicData uri="http://schemas.openxmlformats.org/drawingml/2006/chart">
                <c:chart r:id="rId17"/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8 - Сравнительный график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349" w:right="567" w:firstLine="360.00000000000006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Выполнены задачи: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Смоделировано поведение RC цепи с помощью MicroCap;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Подключен лабораторный макет и проведено измерение напряжений (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… ), в различных моментах времени (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,…) на одном и том же участке кривой переходного процесса;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Выполнены расчёты по результатам измерений.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Сравнены результаты полученные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В ходе выполнения лабораторной работы мы научились выполнять анализы переходных процессов в линейных схемах. Понимание свойств переходных процессов помогает оценить работу схемы для правильной проектировки.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type w:val="nextPage"/>
      <w:pgSz w:h="16838" w:w="11906" w:orient="portrait"/>
      <w:pgMar w:bottom="1134" w:top="1134" w:left="1701" w:right="850" w:header="708" w:footer="708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mbria"/>
  <w:font w:name="Calibri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140" w:hanging="42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160" w:hanging="72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240" w:hanging="1080"/>
      </w:pPr>
      <w:rPr/>
    </w:lvl>
    <w:lvl w:ilvl="6">
      <w:start w:val="1"/>
      <w:numFmt w:val="decimal"/>
      <w:lvlText w:val="%1.%2.%3.%4.%5.%6.%7."/>
      <w:lvlJc w:val="left"/>
      <w:pPr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ind w:left="4320" w:hanging="1440"/>
      </w:pPr>
      <w:rPr/>
    </w:lvl>
    <w:lvl w:ilvl="8">
      <w:start w:val="1"/>
      <w:numFmt w:val="decimal"/>
      <w:lvlText w:val="%1.%2.%3.%4.%5.%6.%7.%8.%9."/>
      <w:lvlJc w:val="left"/>
      <w:pPr>
        <w:ind w:left="5040" w:hanging="1800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right="567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right="567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right="567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right="567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09" w:right="567" w:firstLine="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  <w:aliases w:val="#Обычный"/>
    <w:qFormat w:val="1"/>
    <w:rsid w:val="00C65B52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3"/>
    <w:qFormat w:val="1"/>
    <w:rsid w:val="007E6029"/>
    <w:pPr>
      <w:keepNext w:val="1"/>
      <w:keepLines w:val="1"/>
      <w:pageBreakBefore w:val="1"/>
      <w:numPr>
        <w:numId w:val="4"/>
      </w:numPr>
      <w:suppressAutoHyphens w:val="1"/>
      <w:spacing w:after="260" w:before="260"/>
      <w:ind w:right="567"/>
      <w:outlineLvl w:val="0"/>
    </w:pPr>
    <w:rPr>
      <w:rFonts w:cstheme="majorBidi" w:eastAsiaTheme="majorEastAsia"/>
      <w:b w:val="1"/>
      <w:bCs w:val="1"/>
      <w:caps w:val="1"/>
      <w:szCs w:val="28"/>
    </w:rPr>
  </w:style>
  <w:style w:type="paragraph" w:styleId="Heading2">
    <w:name w:val="heading 2"/>
    <w:basedOn w:val="Heading1"/>
    <w:next w:val="Normal"/>
    <w:link w:val="Heading2Char"/>
    <w:uiPriority w:val="3"/>
    <w:qFormat w:val="1"/>
    <w:rsid w:val="00133BC2"/>
    <w:pPr>
      <w:pageBreakBefore w:val="0"/>
      <w:numPr>
        <w:ilvl w:val="1"/>
      </w:numPr>
      <w:spacing w:after="240" w:before="240"/>
      <w:outlineLvl w:val="1"/>
    </w:pPr>
    <w:rPr>
      <w:bCs w:val="0"/>
      <w:caps w:val="0"/>
      <w:szCs w:val="26"/>
    </w:rPr>
  </w:style>
  <w:style w:type="paragraph" w:styleId="Heading3">
    <w:name w:val="heading 3"/>
    <w:basedOn w:val="Normal"/>
    <w:next w:val="Normal"/>
    <w:link w:val="Heading3Char"/>
    <w:uiPriority w:val="3"/>
    <w:qFormat w:val="1"/>
    <w:rsid w:val="00133BC2"/>
    <w:pPr>
      <w:keepNext w:val="1"/>
      <w:keepLines w:val="1"/>
      <w:numPr>
        <w:ilvl w:val="2"/>
        <w:numId w:val="4"/>
      </w:numPr>
      <w:suppressAutoHyphens w:val="1"/>
      <w:spacing w:after="240" w:before="240"/>
      <w:ind w:right="567"/>
      <w:outlineLvl w:val="2"/>
    </w:pPr>
    <w:rPr>
      <w:rFonts w:cstheme="majorBidi" w:eastAsiaTheme="majorEastAsia"/>
      <w:b w:val="1"/>
      <w:bCs w:val="1"/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3"/>
    <w:qFormat w:val="1"/>
    <w:rsid w:val="00FF6704"/>
    <w:pPr>
      <w:numPr>
        <w:ilvl w:val="3"/>
      </w:numPr>
      <w:outlineLvl w:val="3"/>
    </w:p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F439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A67A2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67A2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67A22"/>
    <w:rPr>
      <w:rFonts w:ascii="Tahoma" w:cs="Tahoma" w:eastAsia="Times New Roman" w:hAnsi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Heading1Char" w:customStyle="1">
    <w:name w:val="Heading 1 Char"/>
    <w:basedOn w:val="DefaultParagraphFont"/>
    <w:link w:val="Heading1"/>
    <w:uiPriority w:val="3"/>
    <w:rsid w:val="00C570C4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Heading2Char" w:customStyle="1">
    <w:name w:val="Heading 2 Char"/>
    <w:basedOn w:val="DefaultParagraphFont"/>
    <w:link w:val="Heading2"/>
    <w:uiPriority w:val="3"/>
    <w:rsid w:val="00C570C4"/>
    <w:rPr>
      <w:rFonts w:ascii="Times New Roman" w:hAnsi="Times New Roman" w:cstheme="majorBidi" w:eastAsiaTheme="majorEastAsia"/>
      <w:b w:val="1"/>
      <w:sz w:val="24"/>
      <w:szCs w:val="26"/>
      <w:lang w:eastAsia="ru-RU"/>
    </w:rPr>
  </w:style>
  <w:style w:type="character" w:styleId="Heading3Char" w:customStyle="1">
    <w:name w:val="Heading 3 Char"/>
    <w:basedOn w:val="DefaultParagraphFont"/>
    <w:link w:val="Heading3"/>
    <w:uiPriority w:val="3"/>
    <w:rsid w:val="00C570C4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rsid w:val="00AB3423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16AEC"/>
    <w:pPr>
      <w:pageBreakBefore w:val="0"/>
      <w:suppressAutoHyphens w:val="0"/>
      <w:spacing w:after="0" w:before="24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0000BF"/>
      <w:sz w:val="32"/>
      <w:szCs w:val="32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4B5D52"/>
    <w:pPr>
      <w:tabs>
        <w:tab w:val="right" w:leader="dot" w:pos="9345"/>
      </w:tabs>
      <w:ind w:left="709" w:firstLine="0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4B5D52"/>
    <w:pPr>
      <w:tabs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4B5D52"/>
    <w:pPr>
      <w:ind w:left="261" w:firstLine="0"/>
    </w:pPr>
  </w:style>
  <w:style w:type="character" w:styleId="Hyperlink">
    <w:name w:val="Hyperlink"/>
    <w:basedOn w:val="DefaultParagraphFont"/>
    <w:uiPriority w:val="99"/>
    <w:unhideWhenUsed w:val="1"/>
    <w:rsid w:val="00A16AEC"/>
    <w:rPr>
      <w:color w:val="0000ff" w:themeColor="hyperlink"/>
      <w:u w:val="single"/>
    </w:rPr>
  </w:style>
  <w:style w:type="paragraph" w:styleId="NoSpacing">
    <w:name w:val="No Spacing"/>
    <w:uiPriority w:val="1"/>
    <w:semiHidden w:val="1"/>
    <w:qFormat w:val="1"/>
    <w:rsid w:val="005F2A6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" w:customStyle="1">
    <w:name w:val="#Рисунок"/>
    <w:basedOn w:val="Normal"/>
    <w:uiPriority w:val="1"/>
    <w:qFormat w:val="1"/>
    <w:rsid w:val="00020ADA"/>
    <w:pPr>
      <w:keepNext w:val="1"/>
      <w:suppressAutoHyphens w:val="1"/>
      <w:spacing w:after="60" w:before="120"/>
      <w:ind w:right="-1" w:firstLine="0"/>
      <w:jc w:val="center"/>
    </w:pPr>
    <w:rPr>
      <w:rFonts w:cstheme="minorBidi" w:eastAsiaTheme="minorHAnsi"/>
      <w:noProof w:val="1"/>
      <w:color w:val="000000" w:themeColor="text1"/>
      <w:szCs w:val="22"/>
      <w:lang w:eastAsia="en-US"/>
    </w:rPr>
  </w:style>
  <w:style w:type="paragraph" w:styleId="BodyText">
    <w:name w:val="Body Text"/>
    <w:basedOn w:val="Normal"/>
    <w:link w:val="BodyTextChar"/>
    <w:uiPriority w:val="1"/>
    <w:semiHidden w:val="1"/>
    <w:qFormat w:val="1"/>
    <w:rsid w:val="00893968"/>
    <w:pPr>
      <w:widowControl w:val="0"/>
    </w:pPr>
    <w:rPr>
      <w:color w:val="000000" w:themeColor="text1"/>
      <w:szCs w:val="28"/>
      <w:lang w:eastAsia="en-US" w:val="en-US"/>
    </w:rPr>
  </w:style>
  <w:style w:type="character" w:styleId="BodyTextChar" w:customStyle="1">
    <w:name w:val="Body Text Char"/>
    <w:basedOn w:val="DefaultParagraphFont"/>
    <w:link w:val="BodyText"/>
    <w:uiPriority w:val="1"/>
    <w:semiHidden w:val="1"/>
    <w:rsid w:val="00C570C4"/>
    <w:rPr>
      <w:rFonts w:ascii="Times New Roman" w:cs="Times New Roman" w:eastAsia="Times New Roman" w:hAnsi="Times New Roman"/>
      <w:color w:val="000000" w:themeColor="text1"/>
      <w:sz w:val="24"/>
      <w:szCs w:val="28"/>
      <w:lang w:val="en-US"/>
    </w:rPr>
  </w:style>
  <w:style w:type="paragraph" w:styleId="Title">
    <w:name w:val="Title"/>
    <w:basedOn w:val="Normal"/>
    <w:next w:val="BodyText"/>
    <w:link w:val="TitleChar"/>
    <w:uiPriority w:val="10"/>
    <w:rsid w:val="00B70350"/>
    <w:pPr>
      <w:widowControl w:val="0"/>
      <w:spacing w:after="260" w:before="120"/>
      <w:ind w:firstLine="0"/>
      <w:jc w:val="center"/>
    </w:pPr>
    <w:rPr>
      <w:rFonts w:cstheme="majorBidi" w:eastAsiaTheme="majorEastAsia"/>
      <w:color w:val="000000" w:themeColor="text1"/>
      <w:kern w:val="28"/>
      <w:szCs w:val="56"/>
      <w:lang w:eastAsia="en-US" w:val="en-US"/>
    </w:rPr>
  </w:style>
  <w:style w:type="character" w:styleId="TitleChar" w:customStyle="1">
    <w:name w:val="Title Char"/>
    <w:basedOn w:val="DefaultParagraphFont"/>
    <w:link w:val="Title"/>
    <w:uiPriority w:val="10"/>
    <w:rsid w:val="00B70350"/>
    <w:rPr>
      <w:rFonts w:ascii="Times New Roman" w:hAnsi="Times New Roman" w:cstheme="majorBidi" w:eastAsiaTheme="majorEastAsia"/>
      <w:color w:val="000000" w:themeColor="text1"/>
      <w:kern w:val="28"/>
      <w:sz w:val="26"/>
      <w:szCs w:val="56"/>
      <w:lang w:val="en-US"/>
    </w:rPr>
  </w:style>
  <w:style w:type="paragraph" w:styleId="a0" w:customStyle="1">
    <w:name w:val="Название рисунка"/>
    <w:basedOn w:val="Normal"/>
    <w:next w:val="Normal"/>
    <w:uiPriority w:val="1"/>
    <w:qFormat w:val="1"/>
    <w:rsid w:val="00020ADA"/>
    <w:pPr>
      <w:spacing w:after="120"/>
      <w:ind w:firstLine="0"/>
      <w:jc w:val="center"/>
    </w:pPr>
    <w:rPr>
      <w:rFonts w:cstheme="minorBidi" w:eastAsiaTheme="minorHAnsi"/>
      <w:color w:val="000000" w:themeColor="text1"/>
      <w:szCs w:val="22"/>
      <w:lang w:eastAsia="en-US"/>
    </w:rPr>
  </w:style>
  <w:style w:type="paragraph" w:styleId="a1" w:customStyle="1">
    <w:name w:val="#Код"/>
    <w:basedOn w:val="Normal"/>
    <w:uiPriority w:val="2"/>
    <w:qFormat w:val="1"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B33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B33D1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B33D1A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B33D1A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B33D1A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500F7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A425C8"/>
    <w:rPr>
      <w:color w:val="800080" w:themeColor="followedHyperlink"/>
      <w:u w:val="single"/>
    </w:rPr>
  </w:style>
  <w:style w:type="paragraph" w:styleId="1" w:customStyle="1">
    <w:name w:val="#Заголовок 1"/>
    <w:basedOn w:val="Heading1"/>
    <w:link w:val="10"/>
    <w:uiPriority w:val="2"/>
    <w:semiHidden w:val="1"/>
    <w:rsid w:val="00D80D5C"/>
    <w:pPr>
      <w:pageBreakBefore w:val="0"/>
      <w:numPr>
        <w:numId w:val="3"/>
      </w:numPr>
      <w:suppressAutoHyphens w:val="0"/>
      <w:ind w:left="709" w:firstLine="0"/>
    </w:pPr>
    <w:rPr>
      <w:rFonts w:cs="Times New Roman" w:eastAsia="Times New Roman"/>
      <w:b w:val="0"/>
      <w:bCs w:val="0"/>
      <w:caps w:val="0"/>
      <w:smallCaps w:val="1"/>
      <w:szCs w:val="24"/>
    </w:rPr>
  </w:style>
  <w:style w:type="character" w:styleId="10" w:customStyle="1">
    <w:name w:val="#Заголовок 1 Знак"/>
    <w:basedOn w:val="DefaultParagraphFont"/>
    <w:link w:val="1"/>
    <w:uiPriority w:val="2"/>
    <w:semiHidden w:val="1"/>
    <w:rsid w:val="00C570C4"/>
    <w:rPr>
      <w:rFonts w:ascii="Times New Roman" w:cs="Times New Roman" w:eastAsia="Times New Roman" w:hAnsi="Times New Roman"/>
      <w:smallCaps w:val="1"/>
      <w:sz w:val="24"/>
      <w:szCs w:val="24"/>
      <w:lang w:eastAsia="ru-RU"/>
    </w:rPr>
  </w:style>
  <w:style w:type="paragraph" w:styleId="a2" w:customStyle="1">
    <w:name w:val="ВЗИ"/>
    <w:basedOn w:val="Heading1"/>
    <w:next w:val="Normal"/>
    <w:link w:val="a3"/>
    <w:uiPriority w:val="3"/>
    <w:qFormat w:val="1"/>
    <w:rsid w:val="00D80D5C"/>
    <w:pPr>
      <w:numPr>
        <w:numId w:val="0"/>
      </w:numPr>
      <w:ind w:left="349"/>
      <w:jc w:val="center"/>
    </w:pPr>
  </w:style>
  <w:style w:type="paragraph" w:styleId="a4" w:customStyle="1">
    <w:name w:val="#Содержание"/>
    <w:basedOn w:val="a2"/>
    <w:link w:val="a5"/>
    <w:uiPriority w:val="3"/>
    <w:qFormat w:val="1"/>
    <w:rsid w:val="00C570C4"/>
    <w:pPr>
      <w:ind w:left="352"/>
    </w:pPr>
  </w:style>
  <w:style w:type="character" w:styleId="a3" w:customStyle="1">
    <w:name w:val="ВЗИ Знак"/>
    <w:basedOn w:val="Heading1Char"/>
    <w:link w:val="a2"/>
    <w:uiPriority w:val="3"/>
    <w:rsid w:val="00C570C4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Heading4Char" w:customStyle="1">
    <w:name w:val="Heading 4 Char"/>
    <w:basedOn w:val="DefaultParagraphFont"/>
    <w:link w:val="Heading4"/>
    <w:uiPriority w:val="3"/>
    <w:rsid w:val="00C570C4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character" w:styleId="a5" w:customStyle="1">
    <w:name w:val="#Содержание Знак"/>
    <w:basedOn w:val="a3"/>
    <w:link w:val="a4"/>
    <w:uiPriority w:val="3"/>
    <w:rsid w:val="00C570C4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4B5D52"/>
    <w:pPr>
      <w:ind w:left="720" w:firstLine="0"/>
    </w:p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4B5D52"/>
    <w:pPr>
      <w:ind w:left="958" w:firstLine="0"/>
    </w:pPr>
  </w:style>
  <w:style w:type="paragraph" w:styleId="a6" w:customStyle="1">
    <w:name w:val="Название таблицы/листинга"/>
    <w:basedOn w:val="Normal"/>
    <w:next w:val="Normal"/>
    <w:link w:val="a7"/>
    <w:uiPriority w:val="2"/>
    <w:qFormat w:val="1"/>
    <w:rsid w:val="00020ADA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</w:pPr>
    <w:rPr>
      <w:color w:val="000000"/>
    </w:rPr>
  </w:style>
  <w:style w:type="paragraph" w:styleId="Ma" w:customStyle="1">
    <w:name w:val="Maрк. список"/>
    <w:basedOn w:val="Normal"/>
    <w:link w:val="Ma0"/>
    <w:qFormat w:val="1"/>
    <w:rsid w:val="00C570C4"/>
    <w:pPr>
      <w:numPr>
        <w:numId w:val="1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firstLine="709"/>
    </w:pPr>
    <w:rPr>
      <w:color w:val="000000"/>
    </w:rPr>
  </w:style>
  <w:style w:type="character" w:styleId="a7" w:customStyle="1">
    <w:name w:val="Название таблицы/листинга Знак"/>
    <w:basedOn w:val="DefaultParagraphFont"/>
    <w:link w:val="a6"/>
    <w:uiPriority w:val="2"/>
    <w:rsid w:val="00C570C4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Src" w:customStyle="1">
    <w:name w:val="Src. список"/>
    <w:basedOn w:val="Normal"/>
    <w:link w:val="Src0"/>
    <w:uiPriority w:val="4"/>
    <w:qFormat w:val="1"/>
    <w:rsid w:val="00C65B52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426"/>
    </w:pPr>
    <w:rPr>
      <w:color w:val="000000"/>
      <w:lang w:val="en-US"/>
    </w:rPr>
  </w:style>
  <w:style w:type="character" w:styleId="Ma0" w:customStyle="1">
    <w:name w:val="Maрк. список Знак"/>
    <w:basedOn w:val="DefaultParagraphFont"/>
    <w:link w:val="Ma"/>
    <w:rsid w:val="00C570C4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8" w:customStyle="1">
    <w:name w:val="#Таблица"/>
    <w:basedOn w:val="Normal"/>
    <w:link w:val="a9"/>
    <w:uiPriority w:val="2"/>
    <w:qFormat w:val="1"/>
    <w:rsid w:val="00C65B52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left"/>
    </w:pPr>
    <w:rPr>
      <w:color w:val="000000"/>
    </w:rPr>
  </w:style>
  <w:style w:type="character" w:styleId="Src0" w:customStyle="1">
    <w:name w:val="Src. список Знак"/>
    <w:basedOn w:val="DefaultParagraphFont"/>
    <w:link w:val="Src"/>
    <w:uiPriority w:val="4"/>
    <w:rsid w:val="00C65B52"/>
    <w:rPr>
      <w:rFonts w:ascii="Times New Roman" w:cs="Times New Roman" w:eastAsia="Times New Roman" w:hAnsi="Times New Roman"/>
      <w:color w:val="000000"/>
      <w:sz w:val="24"/>
      <w:szCs w:val="24"/>
      <w:lang w:eastAsia="ru-RU" w:val="en-US"/>
    </w:rPr>
  </w:style>
  <w:style w:type="character" w:styleId="a9" w:customStyle="1">
    <w:name w:val="#Таблица Знак"/>
    <w:basedOn w:val="DefaultParagraphFont"/>
    <w:link w:val="a8"/>
    <w:uiPriority w:val="2"/>
    <w:rsid w:val="00C65B52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Default" w:customStyle="1">
    <w:name w:val="Default"/>
    <w:rsid w:val="007C4C2C"/>
    <w:pPr>
      <w:autoSpaceDE w:val="0"/>
      <w:autoSpaceDN w:val="0"/>
      <w:adjustRightInd w:val="0"/>
      <w:spacing w:after="0" w:line="240" w:lineRule="auto"/>
    </w:pPr>
    <w:rPr>
      <w:rFonts w:ascii="PT Sans" w:cs="PT Sans" w:hAnsi="PT Sans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74741B"/>
    <w:pPr>
      <w:spacing w:after="200" w:line="240" w:lineRule="auto"/>
    </w:pPr>
    <w:rPr>
      <w:i w:val="1"/>
      <w:iCs w:val="1"/>
      <w:color w:val="1f497d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chart" Target="charts/chart2.xml"/><Relationship Id="rId14" Type="http://schemas.openxmlformats.org/officeDocument/2006/relationships/image" Target="media/image7.png"/><Relationship Id="rId17" Type="http://schemas.openxmlformats.org/officeDocument/2006/relationships/chart" Target="charts/chart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charts/_rels/chart1.xml.rels><?xml version="1.0" encoding="UTF-8" standalone="yes"?>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https://niuitmo-my.sharepoint.com/personal/hanhnguyen_26_niuitmo_ru/Documents/NHHanh/&#1048;&#1058;&#1052;&#1054;/5-&#1081;%20&#1089;&#1077;&#1084;&#1077;&#1089;&#1090;&#1088;/&#1069;&#1083;&#1077;&#1082;&#1090;&#1088;&#1086;&#1085;&#1080;&#1082;&#1072;%20&#1080;%20&#1089;&#1093;&#1077;&#1084;&#1086;&#1090;&#1077;&#1093;&#1085;&#1080;&#1082;&#1072;/&#1051;&#1072;&#1073;&#1086;&#1088;&#1072;&#1090;&#1086;&#1088;&#1085;&#1099;&#1077;%20&#1088;&#1072;&#1073;&#1086;&#1090;&#1099;/&#1051;&#1056;/1/&#1056;&#1072;&#1089;&#1095;&#1105;&#1090;&#1099;.xlsx" TargetMode="External"/></Relationships>
</file>

<file path=word/charts/_rels/chart2.xml.rels><?xml version="1.0" encoding="UTF-8" standalone="yes"?>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https://niuitmo-my.sharepoint.com/personal/hanhnguyen_26_niuitmo_ru/Documents/NHHanh/&#1048;&#1058;&#1052;&#1054;/5-&#1081;%20&#1089;&#1077;&#1084;&#1077;&#1089;&#1090;&#1088;/&#1069;&#1083;&#1077;&#1082;&#1090;&#1088;&#1086;&#1085;&#1080;&#1082;&#1072;%20&#1080;%20&#1089;&#1093;&#1077;&#1084;&#1086;&#1090;&#1077;&#1093;&#1085;&#1080;&#1082;&#1072;/&#1051;&#1072;&#1073;&#1086;&#1088;&#1072;&#1090;&#1086;&#1088;&#1085;&#1099;&#1077;%20&#1088;&#1072;&#1073;&#1086;&#1090;&#1099;/&#1051;&#1056;/1/&#1056;&#1072;&#1089;&#1095;&#1105;&#1090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U(t)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tx>
            <c:v>Теоретический график переходного процесса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Sheet1!$B$3:$M$3</c:f>
              <c:numCache>
                <c:formatCode>0.00</c:formatCode>
                <c:ptCount val="12"/>
                <c:pt idx="0">
                  <c:v>1</c:v>
                </c:pt>
                <c:pt idx="1">
                  <c:v>4.5999999999999996</c:v>
                </c:pt>
                <c:pt idx="2">
                  <c:v>9.6</c:v>
                </c:pt>
                <c:pt idx="3">
                  <c:v>14.5</c:v>
                </c:pt>
                <c:pt idx="4">
                  <c:v>24.5</c:v>
                </c:pt>
                <c:pt idx="5">
                  <c:v>34.6</c:v>
                </c:pt>
                <c:pt idx="6">
                  <c:v>44.6</c:v>
                </c:pt>
                <c:pt idx="7">
                  <c:v>54.5</c:v>
                </c:pt>
                <c:pt idx="8">
                  <c:v>64.599999999999994</c:v>
                </c:pt>
                <c:pt idx="9">
                  <c:v>69.599999999999994</c:v>
                </c:pt>
                <c:pt idx="10">
                  <c:v>74.599999999999994</c:v>
                </c:pt>
                <c:pt idx="11">
                  <c:v>78.400000000000006</c:v>
                </c:pt>
              </c:numCache>
            </c:numRef>
          </c:xVal>
          <c:yVal>
            <c:numRef>
              <c:f>Sheet1!$B$7:$N$7</c:f>
              <c:numCache>
                <c:formatCode>0.00</c:formatCode>
                <c:ptCount val="13"/>
                <c:pt idx="0">
                  <c:v>4.2728245268343237</c:v>
                </c:pt>
                <c:pt idx="1">
                  <c:v>4.0482111421711933</c:v>
                </c:pt>
                <c:pt idx="2">
                  <c:v>3.7557015184319953</c:v>
                </c:pt>
                <c:pt idx="3">
                  <c:v>3.4895580335792613</c:v>
                </c:pt>
                <c:pt idx="4">
                  <c:v>3.0034904336998096</c:v>
                </c:pt>
                <c:pt idx="5">
                  <c:v>2.5812533879572856</c:v>
                </c:pt>
                <c:pt idx="6">
                  <c:v>2.2217053801890398</c:v>
                </c:pt>
                <c:pt idx="7">
                  <c:v>1.9151100536536878</c:v>
                </c:pt>
                <c:pt idx="8">
                  <c:v>1.6458798266306442</c:v>
                </c:pt>
                <c:pt idx="9">
                  <c:v>1.526954288436148</c:v>
                </c:pt>
                <c:pt idx="10">
                  <c:v>1.4166218950180869</c:v>
                </c:pt>
                <c:pt idx="11">
                  <c:v>1.3381326405688503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7FF-440C-937D-3670F221C92B}"/>
            </c:ext>
          </c:extLst>
        </c:ser>
        <c:ser>
          <c:idx val="2"/>
          <c:order val="1"/>
          <c:tx>
            <c:v>Точки измеренных значений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Sheet1!$B$3:$M$3</c:f>
              <c:numCache>
                <c:formatCode>0.00</c:formatCode>
                <c:ptCount val="12"/>
                <c:pt idx="0">
                  <c:v>1</c:v>
                </c:pt>
                <c:pt idx="1">
                  <c:v>4.5999999999999996</c:v>
                </c:pt>
                <c:pt idx="2">
                  <c:v>9.6</c:v>
                </c:pt>
                <c:pt idx="3">
                  <c:v>14.5</c:v>
                </c:pt>
                <c:pt idx="4">
                  <c:v>24.5</c:v>
                </c:pt>
                <c:pt idx="5">
                  <c:v>34.6</c:v>
                </c:pt>
                <c:pt idx="6">
                  <c:v>44.6</c:v>
                </c:pt>
                <c:pt idx="7">
                  <c:v>54.5</c:v>
                </c:pt>
                <c:pt idx="8">
                  <c:v>64.599999999999994</c:v>
                </c:pt>
                <c:pt idx="9">
                  <c:v>69.599999999999994</c:v>
                </c:pt>
                <c:pt idx="10">
                  <c:v>74.599999999999994</c:v>
                </c:pt>
                <c:pt idx="11">
                  <c:v>78.400000000000006</c:v>
                </c:pt>
              </c:numCache>
            </c:numRef>
          </c:xVal>
          <c:yVal>
            <c:numRef>
              <c:f>Sheet1!$B$4:$M$4</c:f>
              <c:numCache>
                <c:formatCode>0.00</c:formatCode>
                <c:ptCount val="12"/>
                <c:pt idx="0">
                  <c:v>4.3499999999999996</c:v>
                </c:pt>
                <c:pt idx="1">
                  <c:v>4.05</c:v>
                </c:pt>
                <c:pt idx="2">
                  <c:v>3.77</c:v>
                </c:pt>
                <c:pt idx="3">
                  <c:v>3.49</c:v>
                </c:pt>
                <c:pt idx="4">
                  <c:v>3.01</c:v>
                </c:pt>
                <c:pt idx="5">
                  <c:v>2.59</c:v>
                </c:pt>
                <c:pt idx="6">
                  <c:v>2.23</c:v>
                </c:pt>
                <c:pt idx="7">
                  <c:v>1.93</c:v>
                </c:pt>
                <c:pt idx="8">
                  <c:v>1.67</c:v>
                </c:pt>
                <c:pt idx="9">
                  <c:v>1.55</c:v>
                </c:pt>
                <c:pt idx="10">
                  <c:v>1.47</c:v>
                </c:pt>
                <c:pt idx="11">
                  <c:v>1.37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7FF-440C-937D-3670F221C92B}"/>
            </c:ext>
          </c:extLst>
        </c:ser>
        <c:ser>
          <c:idx val="0"/>
          <c:order val="2"/>
          <c:tx>
            <c:v>График, получунный с помощью MicroCap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MicroCap!$A$1:$A$57</c:f>
              <c:numCache>
                <c:formatCode>General</c:formatCode>
                <c:ptCount val="5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16</c:v>
                </c:pt>
                <c:pt idx="14">
                  <c:v>17</c:v>
                </c:pt>
                <c:pt idx="15">
                  <c:v>18</c:v>
                </c:pt>
                <c:pt idx="16">
                  <c:v>19</c:v>
                </c:pt>
                <c:pt idx="17">
                  <c:v>20</c:v>
                </c:pt>
                <c:pt idx="18">
                  <c:v>22</c:v>
                </c:pt>
                <c:pt idx="19">
                  <c:v>23</c:v>
                </c:pt>
                <c:pt idx="20">
                  <c:v>24</c:v>
                </c:pt>
                <c:pt idx="21">
                  <c:v>25</c:v>
                </c:pt>
                <c:pt idx="22">
                  <c:v>26</c:v>
                </c:pt>
                <c:pt idx="23">
                  <c:v>28</c:v>
                </c:pt>
                <c:pt idx="24">
                  <c:v>29</c:v>
                </c:pt>
                <c:pt idx="25">
                  <c:v>30</c:v>
                </c:pt>
                <c:pt idx="26">
                  <c:v>31</c:v>
                </c:pt>
                <c:pt idx="27">
                  <c:v>32</c:v>
                </c:pt>
                <c:pt idx="28">
                  <c:v>34</c:v>
                </c:pt>
                <c:pt idx="29">
                  <c:v>35</c:v>
                </c:pt>
                <c:pt idx="30">
                  <c:v>36</c:v>
                </c:pt>
                <c:pt idx="31">
                  <c:v>37</c:v>
                </c:pt>
                <c:pt idx="32">
                  <c:v>38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52</c:v>
                </c:pt>
                <c:pt idx="44">
                  <c:v>53</c:v>
                </c:pt>
                <c:pt idx="45">
                  <c:v>54</c:v>
                </c:pt>
                <c:pt idx="46">
                  <c:v>55</c:v>
                </c:pt>
                <c:pt idx="47">
                  <c:v>56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</c:numCache>
            </c:numRef>
          </c:xVal>
          <c:yVal>
            <c:numRef>
              <c:f>MicroCap!$C$1:$C$57</c:f>
              <c:numCache>
                <c:formatCode>General</c:formatCode>
                <c:ptCount val="57"/>
                <c:pt idx="0">
                  <c:v>4.3369999999999997</c:v>
                </c:pt>
                <c:pt idx="1">
                  <c:v>4.2729999999999997</c:v>
                </c:pt>
                <c:pt idx="2">
                  <c:v>4.21</c:v>
                </c:pt>
                <c:pt idx="3">
                  <c:v>4.0869999999999997</c:v>
                </c:pt>
                <c:pt idx="4">
                  <c:v>4.0259999999999998</c:v>
                </c:pt>
                <c:pt idx="5">
                  <c:v>3.9670000000000001</c:v>
                </c:pt>
                <c:pt idx="6">
                  <c:v>3.9079999999999999</c:v>
                </c:pt>
                <c:pt idx="7">
                  <c:v>3.85</c:v>
                </c:pt>
                <c:pt idx="8">
                  <c:v>3.7370000000000001</c:v>
                </c:pt>
                <c:pt idx="9">
                  <c:v>3.6819999999999999</c:v>
                </c:pt>
                <c:pt idx="10">
                  <c:v>3.6269999999999998</c:v>
                </c:pt>
                <c:pt idx="11">
                  <c:v>3.5739999999999998</c:v>
                </c:pt>
                <c:pt idx="12">
                  <c:v>3.5209999999999999</c:v>
                </c:pt>
                <c:pt idx="13">
                  <c:v>3.4169999999999998</c:v>
                </c:pt>
                <c:pt idx="14">
                  <c:v>3.367</c:v>
                </c:pt>
                <c:pt idx="15">
                  <c:v>3.3170000000000002</c:v>
                </c:pt>
                <c:pt idx="16">
                  <c:v>3.2679999999999998</c:v>
                </c:pt>
                <c:pt idx="17">
                  <c:v>3.22</c:v>
                </c:pt>
                <c:pt idx="18">
                  <c:v>3.125</c:v>
                </c:pt>
                <c:pt idx="19">
                  <c:v>3.0790000000000002</c:v>
                </c:pt>
                <c:pt idx="20">
                  <c:v>3.0329999999999999</c:v>
                </c:pt>
                <c:pt idx="21">
                  <c:v>2.988</c:v>
                </c:pt>
                <c:pt idx="22">
                  <c:v>2.944</c:v>
                </c:pt>
                <c:pt idx="23">
                  <c:v>2.8580000000000001</c:v>
                </c:pt>
                <c:pt idx="24">
                  <c:v>2.8159999999999998</c:v>
                </c:pt>
                <c:pt idx="25">
                  <c:v>2.774</c:v>
                </c:pt>
                <c:pt idx="26">
                  <c:v>2.7330000000000001</c:v>
                </c:pt>
                <c:pt idx="27">
                  <c:v>2.6920000000000002</c:v>
                </c:pt>
                <c:pt idx="28">
                  <c:v>2.613</c:v>
                </c:pt>
                <c:pt idx="29">
                  <c:v>2.5750000000000002</c:v>
                </c:pt>
                <c:pt idx="30">
                  <c:v>2.5369999999999999</c:v>
                </c:pt>
                <c:pt idx="31">
                  <c:v>2.4990000000000001</c:v>
                </c:pt>
                <c:pt idx="32">
                  <c:v>2.4620000000000002</c:v>
                </c:pt>
                <c:pt idx="33">
                  <c:v>2.39</c:v>
                </c:pt>
                <c:pt idx="34">
                  <c:v>2.3540000000000001</c:v>
                </c:pt>
                <c:pt idx="35">
                  <c:v>2.3199999999999998</c:v>
                </c:pt>
                <c:pt idx="36">
                  <c:v>2.2850000000000001</c:v>
                </c:pt>
                <c:pt idx="37">
                  <c:v>2.2509999999999999</c:v>
                </c:pt>
                <c:pt idx="38">
                  <c:v>2.1850000000000001</c:v>
                </c:pt>
                <c:pt idx="39">
                  <c:v>2.153</c:v>
                </c:pt>
                <c:pt idx="40">
                  <c:v>2.121</c:v>
                </c:pt>
                <c:pt idx="41">
                  <c:v>2.09</c:v>
                </c:pt>
                <c:pt idx="42">
                  <c:v>2.0590000000000002</c:v>
                </c:pt>
                <c:pt idx="43">
                  <c:v>1.998</c:v>
                </c:pt>
                <c:pt idx="44">
                  <c:v>1.9690000000000001</c:v>
                </c:pt>
                <c:pt idx="45">
                  <c:v>1.94</c:v>
                </c:pt>
                <c:pt idx="46">
                  <c:v>1.911</c:v>
                </c:pt>
                <c:pt idx="47">
                  <c:v>1.883</c:v>
                </c:pt>
                <c:pt idx="48">
                  <c:v>1.8280000000000001</c:v>
                </c:pt>
                <c:pt idx="49">
                  <c:v>1.8</c:v>
                </c:pt>
                <c:pt idx="50">
                  <c:v>1.774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7FF-440C-937D-3670F221C9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5683184"/>
        <c:axId val="545684848"/>
      </c:scatterChart>
      <c:valAx>
        <c:axId val="545683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 (c)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5684848"/>
        <c:crosses val="autoZero"/>
        <c:crossBetween val="midCat"/>
      </c:valAx>
      <c:valAx>
        <c:axId val="545684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 (B)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56831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080" b="1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/>
              <a:t>U(t)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80" b="1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Теоретический график переходного процесса</c:v>
          </c:tx>
          <c:spPr>
            <a:ln w="952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Sheet1!$B$3:$M$3</c:f>
              <c:numCache>
                <c:formatCode>0.00</c:formatCode>
                <c:ptCount val="12"/>
                <c:pt idx="0">
                  <c:v>1</c:v>
                </c:pt>
                <c:pt idx="1">
                  <c:v>4.5999999999999996</c:v>
                </c:pt>
                <c:pt idx="2">
                  <c:v>9.6</c:v>
                </c:pt>
                <c:pt idx="3">
                  <c:v>14.5</c:v>
                </c:pt>
                <c:pt idx="4">
                  <c:v>24.5</c:v>
                </c:pt>
                <c:pt idx="5">
                  <c:v>34.6</c:v>
                </c:pt>
                <c:pt idx="6">
                  <c:v>44.6</c:v>
                </c:pt>
                <c:pt idx="7">
                  <c:v>54.5</c:v>
                </c:pt>
                <c:pt idx="8">
                  <c:v>64.599999999999994</c:v>
                </c:pt>
                <c:pt idx="9">
                  <c:v>69.599999999999994</c:v>
                </c:pt>
                <c:pt idx="10">
                  <c:v>74.599999999999994</c:v>
                </c:pt>
                <c:pt idx="11">
                  <c:v>78.400000000000006</c:v>
                </c:pt>
              </c:numCache>
            </c:numRef>
          </c:xVal>
          <c:yVal>
            <c:numRef>
              <c:f>Sheet1!$B$7:$N$7</c:f>
              <c:numCache>
                <c:formatCode>0.00</c:formatCode>
                <c:ptCount val="13"/>
                <c:pt idx="0">
                  <c:v>4.2728245268343237</c:v>
                </c:pt>
                <c:pt idx="1">
                  <c:v>4.0482111421711933</c:v>
                </c:pt>
                <c:pt idx="2">
                  <c:v>3.7557015184319953</c:v>
                </c:pt>
                <c:pt idx="3">
                  <c:v>3.4895580335792613</c:v>
                </c:pt>
                <c:pt idx="4">
                  <c:v>3.0034904336998096</c:v>
                </c:pt>
                <c:pt idx="5">
                  <c:v>2.5812533879572856</c:v>
                </c:pt>
                <c:pt idx="6">
                  <c:v>2.2217053801890398</c:v>
                </c:pt>
                <c:pt idx="7">
                  <c:v>1.9151100536536878</c:v>
                </c:pt>
                <c:pt idx="8">
                  <c:v>1.6458798266306442</c:v>
                </c:pt>
                <c:pt idx="9">
                  <c:v>1.526954288436148</c:v>
                </c:pt>
                <c:pt idx="10">
                  <c:v>1.4166218950180869</c:v>
                </c:pt>
                <c:pt idx="11">
                  <c:v>1.3381326405688503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8C-4AD1-A81C-AF86FCF4A1AB}"/>
            </c:ext>
          </c:extLst>
        </c:ser>
        <c:ser>
          <c:idx val="0"/>
          <c:order val="1"/>
          <c:tx>
            <c:v>Точки измеренных значений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Sheet1!$B$3:$M$3</c:f>
              <c:numCache>
                <c:formatCode>0.00</c:formatCode>
                <c:ptCount val="12"/>
                <c:pt idx="0">
                  <c:v>1</c:v>
                </c:pt>
                <c:pt idx="1">
                  <c:v>4.5999999999999996</c:v>
                </c:pt>
                <c:pt idx="2">
                  <c:v>9.6</c:v>
                </c:pt>
                <c:pt idx="3">
                  <c:v>14.5</c:v>
                </c:pt>
                <c:pt idx="4">
                  <c:v>24.5</c:v>
                </c:pt>
                <c:pt idx="5">
                  <c:v>34.6</c:v>
                </c:pt>
                <c:pt idx="6">
                  <c:v>44.6</c:v>
                </c:pt>
                <c:pt idx="7">
                  <c:v>54.5</c:v>
                </c:pt>
                <c:pt idx="8">
                  <c:v>64.599999999999994</c:v>
                </c:pt>
                <c:pt idx="9">
                  <c:v>69.599999999999994</c:v>
                </c:pt>
                <c:pt idx="10">
                  <c:v>74.599999999999994</c:v>
                </c:pt>
                <c:pt idx="11">
                  <c:v>78.400000000000006</c:v>
                </c:pt>
              </c:numCache>
            </c:numRef>
          </c:xVal>
          <c:yVal>
            <c:numRef>
              <c:f>Sheet1!$B$4:$M$4</c:f>
              <c:numCache>
                <c:formatCode>0.00</c:formatCode>
                <c:ptCount val="12"/>
                <c:pt idx="0">
                  <c:v>4.3499999999999996</c:v>
                </c:pt>
                <c:pt idx="1">
                  <c:v>4.05</c:v>
                </c:pt>
                <c:pt idx="2">
                  <c:v>3.77</c:v>
                </c:pt>
                <c:pt idx="3">
                  <c:v>3.49</c:v>
                </c:pt>
                <c:pt idx="4">
                  <c:v>3.01</c:v>
                </c:pt>
                <c:pt idx="5">
                  <c:v>2.59</c:v>
                </c:pt>
                <c:pt idx="6">
                  <c:v>2.23</c:v>
                </c:pt>
                <c:pt idx="7">
                  <c:v>1.93</c:v>
                </c:pt>
                <c:pt idx="8">
                  <c:v>1.67</c:v>
                </c:pt>
                <c:pt idx="9">
                  <c:v>1.55</c:v>
                </c:pt>
                <c:pt idx="10">
                  <c:v>1.47</c:v>
                </c:pt>
                <c:pt idx="11">
                  <c:v>1.37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C8C-4AD1-A81C-AF86FCF4A1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0342640"/>
        <c:axId val="650338896"/>
      </c:scatterChart>
      <c:valAx>
        <c:axId val="650342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t (</a:t>
                </a:r>
                <a:r>
                  <a:rPr lang="ru-RU"/>
                  <a:t>с)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50338896"/>
        <c:crosses val="autoZero"/>
        <c:crossBetween val="midCat"/>
      </c:valAx>
      <c:valAx>
        <c:axId val="650338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U (</a:t>
                </a:r>
                <a:r>
                  <a:rPr lang="ru-RU"/>
                  <a:t>В)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503426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9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0YSeVLi9Sjqf2gcZVoxJ9jXFiw==">CgMxLjAaFAoBMBIPCg0IB0IJEgdHdW5nc3VoMghoLmdqZGd4czIJaC4zMGowemxsMgloLjN6bnlzaDcyCWguMmV0OTJwMDIIaC50eWpjd3QyCWguM2R5NnZrbTIJaC4xdDNoNXNmMgloLjRkMzRvZzgyCWguMnM4ZXlvMTIJaC4xN2RwOHZ1MgloLjNyZGNyam44AHIhMWp3Ukk2NXhyRk5YNVBLQldlOTltc0ZkZjVlX0xZcENh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2020-10-03T20:02:00Z</dcterms:created>
  <dc:creator>я</dc:creator>
</cp:coreProperties>
</file>