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35D7" w14:textId="6B3A64AB" w:rsidR="00095FA7" w:rsidRPr="00623E9E" w:rsidRDefault="00767B39" w:rsidP="003324B4">
      <w:pPr>
        <w:jc w:val="center"/>
        <w:rPr>
          <w:rFonts w:cstheme="minorHAnsi"/>
          <w:b/>
          <w:bCs/>
          <w:sz w:val="24"/>
          <w:szCs w:val="24"/>
        </w:rPr>
      </w:pPr>
      <w:bookmarkStart w:id="0" w:name="_GoBack"/>
      <w:r w:rsidRPr="00623E9E">
        <w:rPr>
          <w:rFonts w:cstheme="minorHAnsi"/>
          <w:b/>
          <w:bCs/>
          <w:sz w:val="24"/>
          <w:szCs w:val="24"/>
        </w:rPr>
        <w:t>Economic and Financial Analysis (</w:t>
      </w:r>
      <w:r w:rsidR="00095FA7" w:rsidRPr="00623E9E">
        <w:rPr>
          <w:rFonts w:cstheme="minorHAnsi"/>
          <w:b/>
          <w:bCs/>
          <w:sz w:val="24"/>
          <w:szCs w:val="24"/>
        </w:rPr>
        <w:t>EFA</w:t>
      </w:r>
      <w:r w:rsidRPr="00623E9E">
        <w:rPr>
          <w:rFonts w:cstheme="minorHAnsi"/>
          <w:b/>
          <w:bCs/>
          <w:sz w:val="24"/>
          <w:szCs w:val="24"/>
        </w:rPr>
        <w:t>)</w:t>
      </w:r>
    </w:p>
    <w:p w14:paraId="0C4D14B5" w14:textId="55260B87" w:rsidR="00767B39" w:rsidRPr="00623E9E" w:rsidRDefault="000155C2" w:rsidP="003324B4">
      <w:pPr>
        <w:jc w:val="center"/>
        <w:rPr>
          <w:rFonts w:cstheme="minorHAnsi"/>
          <w:b/>
          <w:bCs/>
          <w:sz w:val="24"/>
          <w:szCs w:val="24"/>
        </w:rPr>
      </w:pPr>
      <w:r w:rsidRPr="00623E9E">
        <w:rPr>
          <w:rFonts w:cstheme="minorHAnsi"/>
          <w:b/>
          <w:bCs/>
          <w:sz w:val="24"/>
          <w:szCs w:val="24"/>
        </w:rPr>
        <w:t>Accelerating the impact of CGIAR Climate Research for Africa project (AICCRA)</w:t>
      </w:r>
    </w:p>
    <w:bookmarkEnd w:id="0"/>
    <w:p w14:paraId="337E8BF2" w14:textId="5DA527A7" w:rsidR="00767B39" w:rsidRPr="003324B4" w:rsidRDefault="00767B39" w:rsidP="003324B4">
      <w:pPr>
        <w:jc w:val="center"/>
        <w:rPr>
          <w:rFonts w:cstheme="minorHAnsi"/>
        </w:rPr>
      </w:pPr>
    </w:p>
    <w:p w14:paraId="10274519" w14:textId="77777777" w:rsidR="00957835" w:rsidRPr="00957835" w:rsidRDefault="00957835" w:rsidP="00193F0E">
      <w:pPr>
        <w:rPr>
          <w:rFonts w:cstheme="minorHAnsi"/>
          <w:color w:val="000000" w:themeColor="text1"/>
        </w:rPr>
      </w:pPr>
    </w:p>
    <w:p w14:paraId="6021A141" w14:textId="213883DC" w:rsidR="006B5EC8" w:rsidRPr="00A04AF8" w:rsidRDefault="002824C4" w:rsidP="00193F0E">
      <w:pPr>
        <w:rPr>
          <w:b/>
          <w:bCs/>
        </w:rPr>
      </w:pPr>
      <w:r>
        <w:rPr>
          <w:b/>
          <w:bCs/>
        </w:rPr>
        <w:t xml:space="preserve">1.  </w:t>
      </w:r>
      <w:r w:rsidR="00F906B0" w:rsidRPr="00A04AF8">
        <w:rPr>
          <w:b/>
          <w:bCs/>
        </w:rPr>
        <w:t>Introduction</w:t>
      </w:r>
    </w:p>
    <w:p w14:paraId="0AADE107" w14:textId="77777777" w:rsidR="00957835" w:rsidRDefault="00957835" w:rsidP="00193F0E">
      <w:pPr>
        <w:rPr>
          <w:rFonts w:cstheme="minorHAnsi"/>
          <w:color w:val="000000" w:themeColor="text1"/>
        </w:rPr>
      </w:pPr>
    </w:p>
    <w:p w14:paraId="7D77F131" w14:textId="4D929012" w:rsidR="00A034A5" w:rsidRPr="003324B4" w:rsidRDefault="005A06FD" w:rsidP="00193F0E">
      <w:pPr>
        <w:rPr>
          <w:rFonts w:cstheme="minorHAnsi"/>
          <w:color w:val="000000" w:themeColor="text1"/>
        </w:rPr>
      </w:pPr>
      <w:r w:rsidRPr="003324B4">
        <w:rPr>
          <w:rFonts w:cstheme="minorHAnsi"/>
          <w:color w:val="000000" w:themeColor="text1"/>
        </w:rPr>
        <w:t xml:space="preserve">AICCRA is expected to generate several </w:t>
      </w:r>
      <w:r w:rsidR="00B53422">
        <w:rPr>
          <w:rFonts w:cstheme="minorHAnsi"/>
          <w:color w:val="000000" w:themeColor="text1"/>
        </w:rPr>
        <w:t xml:space="preserve">types of </w:t>
      </w:r>
      <w:r w:rsidRPr="003324B4">
        <w:rPr>
          <w:rFonts w:cstheme="minorHAnsi"/>
          <w:color w:val="000000" w:themeColor="text1"/>
        </w:rPr>
        <w:t>benefits:</w:t>
      </w:r>
    </w:p>
    <w:p w14:paraId="44157657" w14:textId="0669B8AF" w:rsidR="00A034A5" w:rsidRPr="003324B4" w:rsidRDefault="00A034A5" w:rsidP="00193F0E">
      <w:pPr>
        <w:rPr>
          <w:rFonts w:cstheme="minorHAnsi"/>
          <w:color w:val="000000" w:themeColor="text1"/>
        </w:rPr>
      </w:pPr>
    </w:p>
    <w:p w14:paraId="20DEB338" w14:textId="149A5189" w:rsidR="00A034A5" w:rsidRPr="003324B4" w:rsidRDefault="003B0D9A" w:rsidP="00193F0E">
      <w:pPr>
        <w:rPr>
          <w:rFonts w:cstheme="minorHAnsi"/>
          <w:color w:val="000000" w:themeColor="text1"/>
        </w:rPr>
      </w:pPr>
      <w:r w:rsidRPr="003324B4">
        <w:rPr>
          <w:rFonts w:cstheme="minorHAnsi"/>
          <w:color w:val="000000" w:themeColor="text1"/>
        </w:rPr>
        <w:t xml:space="preserve">(1) </w:t>
      </w:r>
      <w:r w:rsidR="00D5103A" w:rsidRPr="003324B4">
        <w:rPr>
          <w:rFonts w:cstheme="minorHAnsi"/>
          <w:color w:val="000000" w:themeColor="text1"/>
          <w:u w:val="single"/>
        </w:rPr>
        <w:t>Primary</w:t>
      </w:r>
      <w:r w:rsidRPr="003324B4">
        <w:rPr>
          <w:rFonts w:cstheme="minorHAnsi"/>
          <w:color w:val="000000" w:themeColor="text1"/>
          <w:u w:val="single"/>
        </w:rPr>
        <w:t xml:space="preserve"> b</w:t>
      </w:r>
      <w:r w:rsidR="00D55E84" w:rsidRPr="003324B4">
        <w:rPr>
          <w:rFonts w:cstheme="minorHAnsi"/>
          <w:color w:val="000000" w:themeColor="text1"/>
          <w:u w:val="single"/>
        </w:rPr>
        <w:t>enefits</w:t>
      </w:r>
      <w:r w:rsidR="00D55E84" w:rsidRPr="003324B4">
        <w:rPr>
          <w:rFonts w:cstheme="minorHAnsi"/>
          <w:color w:val="000000" w:themeColor="text1"/>
        </w:rPr>
        <w:t xml:space="preserve"> generated </w:t>
      </w:r>
      <w:r w:rsidR="00C83D07">
        <w:rPr>
          <w:rFonts w:cstheme="minorHAnsi"/>
          <w:color w:val="000000" w:themeColor="text1"/>
        </w:rPr>
        <w:t xml:space="preserve">mainly </w:t>
      </w:r>
      <w:r w:rsidR="00D55E84" w:rsidRPr="003324B4">
        <w:rPr>
          <w:rFonts w:cstheme="minorHAnsi"/>
          <w:color w:val="000000" w:themeColor="text1"/>
        </w:rPr>
        <w:t>during the Project life:</w:t>
      </w:r>
    </w:p>
    <w:p w14:paraId="00529D16" w14:textId="77777777" w:rsidR="00D55E84" w:rsidRPr="003324B4" w:rsidRDefault="00D55E84" w:rsidP="00193F0E">
      <w:pPr>
        <w:rPr>
          <w:rFonts w:cstheme="minorHAnsi"/>
          <w:color w:val="000000" w:themeColor="text1"/>
        </w:rPr>
      </w:pPr>
    </w:p>
    <w:p w14:paraId="60324F20" w14:textId="57B6AB50" w:rsidR="005A06FD" w:rsidRPr="003324B4" w:rsidRDefault="005A06F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Strengthen</w:t>
      </w:r>
      <w:r w:rsidR="004E1FBA" w:rsidRPr="003324B4">
        <w:rPr>
          <w:rFonts w:cstheme="minorHAnsi"/>
          <w:color w:val="000000" w:themeColor="text1"/>
        </w:rPr>
        <w:t>ed human and institutional</w:t>
      </w:r>
      <w:r w:rsidRPr="003324B4">
        <w:rPr>
          <w:rFonts w:cstheme="minorHAnsi"/>
          <w:color w:val="000000" w:themeColor="text1"/>
        </w:rPr>
        <w:t xml:space="preserve"> capacity </w:t>
      </w:r>
      <w:r w:rsidR="00DA0E7F" w:rsidRPr="003324B4">
        <w:rPr>
          <w:rFonts w:cstheme="minorHAnsi"/>
          <w:color w:val="000000" w:themeColor="text1"/>
        </w:rPr>
        <w:t>to generate, asse</w:t>
      </w:r>
      <w:r w:rsidR="00316DA7" w:rsidRPr="003324B4">
        <w:rPr>
          <w:rFonts w:cstheme="minorHAnsi"/>
          <w:color w:val="000000" w:themeColor="text1"/>
        </w:rPr>
        <w:t>s</w:t>
      </w:r>
      <w:r w:rsidR="00DA0E7F" w:rsidRPr="003324B4">
        <w:rPr>
          <w:rFonts w:cstheme="minorHAnsi"/>
          <w:color w:val="000000" w:themeColor="text1"/>
        </w:rPr>
        <w:t xml:space="preserve">s, and </w:t>
      </w:r>
      <w:r w:rsidR="00316DA7" w:rsidRPr="003324B4">
        <w:rPr>
          <w:rFonts w:cstheme="minorHAnsi"/>
          <w:color w:val="000000" w:themeColor="text1"/>
        </w:rPr>
        <w:t>make use of</w:t>
      </w:r>
      <w:r w:rsidR="00DA0E7F" w:rsidRPr="003324B4">
        <w:rPr>
          <w:rFonts w:cstheme="minorHAnsi"/>
          <w:color w:val="000000" w:themeColor="text1"/>
        </w:rPr>
        <w:t xml:space="preserve"> </w:t>
      </w:r>
      <w:r w:rsidR="00C46D4A">
        <w:rPr>
          <w:rFonts w:cstheme="minorHAnsi"/>
          <w:color w:val="000000" w:themeColor="text1"/>
        </w:rPr>
        <w:t>climate smart agriculture (</w:t>
      </w:r>
      <w:r w:rsidRPr="003324B4">
        <w:rPr>
          <w:rFonts w:cstheme="minorHAnsi"/>
          <w:color w:val="000000" w:themeColor="text1"/>
        </w:rPr>
        <w:t>CSA</w:t>
      </w:r>
      <w:r w:rsidR="00C46D4A">
        <w:rPr>
          <w:rFonts w:cstheme="minorHAnsi"/>
          <w:color w:val="000000" w:themeColor="text1"/>
        </w:rPr>
        <w:t>)</w:t>
      </w:r>
      <w:r w:rsidRPr="003324B4">
        <w:rPr>
          <w:rFonts w:cstheme="minorHAnsi"/>
          <w:color w:val="000000" w:themeColor="text1"/>
        </w:rPr>
        <w:t xml:space="preserve"> </w:t>
      </w:r>
      <w:r w:rsidR="00C46D4A">
        <w:rPr>
          <w:rFonts w:cstheme="minorHAnsi"/>
          <w:color w:val="000000" w:themeColor="text1"/>
        </w:rPr>
        <w:t xml:space="preserve">technologies </w:t>
      </w:r>
      <w:r w:rsidRPr="003324B4">
        <w:rPr>
          <w:rFonts w:cstheme="minorHAnsi"/>
          <w:color w:val="000000" w:themeColor="text1"/>
        </w:rPr>
        <w:t xml:space="preserve">and </w:t>
      </w:r>
      <w:r w:rsidR="00E92289" w:rsidRPr="003324B4">
        <w:rPr>
          <w:rFonts w:cstheme="minorHAnsi"/>
          <w:color w:val="000000" w:themeColor="text1"/>
        </w:rPr>
        <w:t>climate information services (</w:t>
      </w:r>
      <w:r w:rsidRPr="003324B4">
        <w:rPr>
          <w:rFonts w:cstheme="minorHAnsi"/>
          <w:color w:val="000000" w:themeColor="text1"/>
        </w:rPr>
        <w:t>CIS</w:t>
      </w:r>
      <w:r w:rsidR="00E92289" w:rsidRPr="003324B4">
        <w:rPr>
          <w:rFonts w:cstheme="minorHAnsi"/>
          <w:color w:val="000000" w:themeColor="text1"/>
        </w:rPr>
        <w:t>)</w:t>
      </w:r>
      <w:r w:rsidR="004D4AD1" w:rsidRPr="003324B4">
        <w:rPr>
          <w:rFonts w:cstheme="minorHAnsi"/>
          <w:color w:val="000000" w:themeColor="text1"/>
        </w:rPr>
        <w:t xml:space="preserve"> among CGIAR Centers, CCAFS partners, </w:t>
      </w:r>
      <w:r w:rsidR="00DA0E7F" w:rsidRPr="003324B4">
        <w:rPr>
          <w:rFonts w:cstheme="minorHAnsi"/>
          <w:color w:val="000000" w:themeColor="text1"/>
        </w:rPr>
        <w:t xml:space="preserve">African regional organizations, </w:t>
      </w:r>
      <w:r w:rsidR="00E94BA5">
        <w:rPr>
          <w:rFonts w:cstheme="minorHAnsi"/>
          <w:color w:val="000000" w:themeColor="text1"/>
        </w:rPr>
        <w:t xml:space="preserve">national agriculture research and extension </w:t>
      </w:r>
      <w:r w:rsidR="000474B8">
        <w:rPr>
          <w:rFonts w:cstheme="minorHAnsi"/>
          <w:color w:val="000000" w:themeColor="text1"/>
        </w:rPr>
        <w:t>organizations (</w:t>
      </w:r>
      <w:r w:rsidR="00316DA7" w:rsidRPr="003324B4">
        <w:rPr>
          <w:rFonts w:cstheme="minorHAnsi"/>
          <w:color w:val="000000" w:themeColor="text1"/>
        </w:rPr>
        <w:t>NARE</w:t>
      </w:r>
      <w:r w:rsidR="000474B8">
        <w:rPr>
          <w:rFonts w:cstheme="minorHAnsi"/>
          <w:color w:val="000000" w:themeColor="text1"/>
        </w:rPr>
        <w:t>s)</w:t>
      </w:r>
      <w:r w:rsidR="00316DA7" w:rsidRPr="003324B4">
        <w:rPr>
          <w:rFonts w:cstheme="minorHAnsi"/>
          <w:color w:val="000000" w:themeColor="text1"/>
        </w:rPr>
        <w:t xml:space="preserve">, </w:t>
      </w:r>
      <w:r w:rsidR="00A25B60">
        <w:rPr>
          <w:rFonts w:cstheme="minorHAnsi"/>
          <w:color w:val="000000" w:themeColor="text1"/>
        </w:rPr>
        <w:t xml:space="preserve">civil society organizations, and private firms, </w:t>
      </w:r>
      <w:r w:rsidR="00E94BA5">
        <w:rPr>
          <w:rFonts w:cstheme="minorHAnsi"/>
          <w:color w:val="000000" w:themeColor="text1"/>
        </w:rPr>
        <w:t>among others</w:t>
      </w:r>
      <w:r w:rsidR="00E92289" w:rsidRPr="003324B4">
        <w:rPr>
          <w:rFonts w:cstheme="minorHAnsi"/>
          <w:color w:val="000000" w:themeColor="text1"/>
        </w:rPr>
        <w:t>.</w:t>
      </w:r>
    </w:p>
    <w:p w14:paraId="21AFA9F9" w14:textId="7FDB3087" w:rsidR="005A06FD" w:rsidRPr="003324B4" w:rsidRDefault="005A06F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Bridge</w:t>
      </w:r>
      <w:r w:rsidR="00686DE3" w:rsidRPr="003324B4">
        <w:rPr>
          <w:rFonts w:cstheme="minorHAnsi"/>
          <w:color w:val="000000" w:themeColor="text1"/>
        </w:rPr>
        <w:t>d</w:t>
      </w:r>
      <w:r w:rsidRPr="003324B4">
        <w:rPr>
          <w:rFonts w:cstheme="minorHAnsi"/>
          <w:color w:val="000000" w:themeColor="text1"/>
        </w:rPr>
        <w:t xml:space="preserve"> gap between CGIAR-</w:t>
      </w:r>
      <w:r w:rsidR="00146D0C">
        <w:rPr>
          <w:rFonts w:cstheme="minorHAnsi"/>
          <w:color w:val="000000" w:themeColor="text1"/>
        </w:rPr>
        <w:t>led</w:t>
      </w:r>
      <w:r w:rsidR="00146D0C" w:rsidRPr="003324B4">
        <w:rPr>
          <w:rFonts w:cstheme="minorHAnsi"/>
          <w:color w:val="000000" w:themeColor="text1"/>
        </w:rPr>
        <w:t xml:space="preserve"> </w:t>
      </w:r>
      <w:r w:rsidR="00466325">
        <w:rPr>
          <w:rFonts w:cstheme="minorHAnsi"/>
          <w:color w:val="000000" w:themeColor="text1"/>
        </w:rPr>
        <w:t>science partnerships on the one hand</w:t>
      </w:r>
      <w:r w:rsidRPr="003324B4">
        <w:rPr>
          <w:rFonts w:cstheme="minorHAnsi"/>
          <w:color w:val="000000" w:themeColor="text1"/>
        </w:rPr>
        <w:t xml:space="preserve"> and technology </w:t>
      </w:r>
      <w:r w:rsidR="00380405">
        <w:rPr>
          <w:rFonts w:cstheme="minorHAnsi"/>
          <w:color w:val="000000" w:themeColor="text1"/>
        </w:rPr>
        <w:t xml:space="preserve">generation organizations </w:t>
      </w:r>
      <w:r w:rsidRPr="003324B4">
        <w:rPr>
          <w:rFonts w:cstheme="minorHAnsi"/>
          <w:color w:val="000000" w:themeColor="text1"/>
        </w:rPr>
        <w:t>and extension services</w:t>
      </w:r>
      <w:r w:rsidR="00466325">
        <w:rPr>
          <w:rFonts w:cstheme="minorHAnsi"/>
          <w:color w:val="000000" w:themeColor="text1"/>
        </w:rPr>
        <w:t xml:space="preserve"> on the other hand</w:t>
      </w:r>
      <w:r w:rsidR="00686DE3" w:rsidRPr="003324B4">
        <w:rPr>
          <w:rFonts w:cstheme="minorHAnsi"/>
          <w:color w:val="000000" w:themeColor="text1"/>
        </w:rPr>
        <w:t>,</w:t>
      </w:r>
      <w:r w:rsidR="00C06AD7" w:rsidRPr="003324B4">
        <w:rPr>
          <w:rFonts w:cstheme="minorHAnsi"/>
          <w:color w:val="000000" w:themeColor="text1"/>
        </w:rPr>
        <w:t xml:space="preserve"> </w:t>
      </w:r>
      <w:r w:rsidR="00686DE3" w:rsidRPr="003324B4">
        <w:rPr>
          <w:rFonts w:cstheme="minorHAnsi"/>
          <w:color w:val="000000" w:themeColor="text1"/>
        </w:rPr>
        <w:t>resulting in</w:t>
      </w:r>
      <w:r w:rsidR="00C06AD7" w:rsidRPr="003324B4">
        <w:rPr>
          <w:rFonts w:cstheme="minorHAnsi"/>
          <w:color w:val="000000" w:themeColor="text1"/>
        </w:rPr>
        <w:t xml:space="preserve"> </w:t>
      </w:r>
      <w:r w:rsidR="00C32D8B" w:rsidRPr="003324B4">
        <w:rPr>
          <w:rFonts w:cstheme="minorHAnsi"/>
          <w:color w:val="000000" w:themeColor="text1"/>
        </w:rPr>
        <w:t>faster and more extensive</w:t>
      </w:r>
      <w:r w:rsidR="00C06AD7" w:rsidRPr="003324B4">
        <w:rPr>
          <w:rFonts w:cstheme="minorHAnsi"/>
          <w:color w:val="000000" w:themeColor="text1"/>
        </w:rPr>
        <w:t xml:space="preserve"> scaling-up of innovative technologies and </w:t>
      </w:r>
      <w:r w:rsidR="00C32D8B" w:rsidRPr="003324B4">
        <w:rPr>
          <w:rFonts w:cstheme="minorHAnsi"/>
          <w:color w:val="000000" w:themeColor="text1"/>
        </w:rPr>
        <w:t>improved</w:t>
      </w:r>
      <w:r w:rsidR="00C06AD7" w:rsidRPr="003324B4">
        <w:rPr>
          <w:rFonts w:cstheme="minorHAnsi"/>
          <w:color w:val="000000" w:themeColor="text1"/>
        </w:rPr>
        <w:t xml:space="preserve"> availability of short-term and seasonal climate forecasts to </w:t>
      </w:r>
      <w:r w:rsidR="00487094" w:rsidRPr="003324B4">
        <w:rPr>
          <w:rFonts w:cstheme="minorHAnsi"/>
          <w:color w:val="000000" w:themeColor="text1"/>
        </w:rPr>
        <w:t xml:space="preserve">service providers and to end users (e.g., </w:t>
      </w:r>
      <w:r w:rsidR="00C06AD7" w:rsidRPr="003324B4">
        <w:rPr>
          <w:rFonts w:cstheme="minorHAnsi"/>
          <w:color w:val="000000" w:themeColor="text1"/>
        </w:rPr>
        <w:t>farmers</w:t>
      </w:r>
      <w:r w:rsidR="008F4B5E">
        <w:rPr>
          <w:rFonts w:cstheme="minorHAnsi"/>
          <w:color w:val="000000" w:themeColor="text1"/>
        </w:rPr>
        <w:t>,</w:t>
      </w:r>
      <w:r w:rsidR="00487094" w:rsidRPr="003324B4">
        <w:rPr>
          <w:rFonts w:cstheme="minorHAnsi"/>
          <w:color w:val="000000" w:themeColor="text1"/>
        </w:rPr>
        <w:t xml:space="preserve"> livestock keepers, </w:t>
      </w:r>
      <w:r w:rsidR="00F463E7" w:rsidRPr="003324B4">
        <w:rPr>
          <w:rFonts w:cstheme="minorHAnsi"/>
          <w:color w:val="000000" w:themeColor="text1"/>
        </w:rPr>
        <w:t>other food system actors, policy makers)</w:t>
      </w:r>
      <w:r w:rsidR="00C06AD7" w:rsidRPr="003324B4">
        <w:rPr>
          <w:rFonts w:cstheme="minorHAnsi"/>
          <w:color w:val="000000" w:themeColor="text1"/>
        </w:rPr>
        <w:t>.</w:t>
      </w:r>
    </w:p>
    <w:p w14:paraId="53B80794" w14:textId="16E19F8F" w:rsidR="00543FE9" w:rsidRPr="003324B4" w:rsidRDefault="00350954" w:rsidP="00193F0E">
      <w:pPr>
        <w:pStyle w:val="ListParagraph"/>
        <w:numPr>
          <w:ilvl w:val="0"/>
          <w:numId w:val="1"/>
        </w:numPr>
        <w:rPr>
          <w:rFonts w:cstheme="minorHAnsi"/>
          <w:color w:val="000000" w:themeColor="text1"/>
        </w:rPr>
      </w:pPr>
      <w:r w:rsidRPr="003324B4">
        <w:rPr>
          <w:rFonts w:cstheme="minorHAnsi"/>
          <w:color w:val="000000" w:themeColor="text1"/>
        </w:rPr>
        <w:t>Enhance</w:t>
      </w:r>
      <w:r w:rsidR="002D06C0" w:rsidRPr="003324B4">
        <w:rPr>
          <w:rFonts w:cstheme="minorHAnsi"/>
          <w:color w:val="000000" w:themeColor="text1"/>
        </w:rPr>
        <w:t>d</w:t>
      </w:r>
      <w:r w:rsidRPr="003324B4">
        <w:rPr>
          <w:rFonts w:cstheme="minorHAnsi"/>
          <w:color w:val="000000" w:themeColor="text1"/>
        </w:rPr>
        <w:t xml:space="preserve"> regional integration of research for development activities, </w:t>
      </w:r>
      <w:r w:rsidR="00F52464">
        <w:rPr>
          <w:rFonts w:cstheme="minorHAnsi"/>
          <w:color w:val="000000" w:themeColor="text1"/>
        </w:rPr>
        <w:t>paving the way for</w:t>
      </w:r>
      <w:r w:rsidRPr="003324B4">
        <w:rPr>
          <w:rFonts w:cstheme="minorHAnsi"/>
          <w:color w:val="000000" w:themeColor="text1"/>
        </w:rPr>
        <w:t xml:space="preserve"> </w:t>
      </w:r>
      <w:r w:rsidR="007B6330" w:rsidRPr="003324B4">
        <w:rPr>
          <w:rFonts w:cstheme="minorHAnsi"/>
          <w:color w:val="000000" w:themeColor="text1"/>
        </w:rPr>
        <w:t xml:space="preserve">more extensive dissemination of climate advisory services and </w:t>
      </w:r>
      <w:r w:rsidR="002D06C0" w:rsidRPr="003324B4">
        <w:rPr>
          <w:rFonts w:cstheme="minorHAnsi"/>
          <w:color w:val="000000" w:themeColor="text1"/>
        </w:rPr>
        <w:t xml:space="preserve">more widespread </w:t>
      </w:r>
      <w:r w:rsidR="007B6330" w:rsidRPr="003324B4">
        <w:rPr>
          <w:rFonts w:cstheme="minorHAnsi"/>
          <w:color w:val="000000" w:themeColor="text1"/>
        </w:rPr>
        <w:t>scaling-up of innovative technologies</w:t>
      </w:r>
      <w:r w:rsidR="002D06C0" w:rsidRPr="003324B4">
        <w:rPr>
          <w:rFonts w:cstheme="minorHAnsi"/>
          <w:color w:val="000000" w:themeColor="text1"/>
        </w:rPr>
        <w:t xml:space="preserve"> through cross-border spillovers.</w:t>
      </w:r>
    </w:p>
    <w:p w14:paraId="3246ACFE" w14:textId="0792C8AA" w:rsidR="00D55E84" w:rsidRPr="003324B4" w:rsidRDefault="00D55E84" w:rsidP="00193F0E">
      <w:pPr>
        <w:rPr>
          <w:rFonts w:cstheme="minorHAnsi"/>
          <w:color w:val="000000" w:themeColor="text1"/>
        </w:rPr>
      </w:pPr>
    </w:p>
    <w:p w14:paraId="4727E2E9" w14:textId="17B28F02" w:rsidR="00D55E84" w:rsidRPr="003324B4" w:rsidRDefault="00D55E84" w:rsidP="00193F0E">
      <w:pPr>
        <w:rPr>
          <w:rFonts w:cstheme="minorHAnsi"/>
          <w:color w:val="000000" w:themeColor="text1"/>
        </w:rPr>
      </w:pPr>
      <w:r w:rsidRPr="003324B4">
        <w:rPr>
          <w:rFonts w:cstheme="minorHAnsi"/>
          <w:color w:val="000000" w:themeColor="text1"/>
        </w:rPr>
        <w:t xml:space="preserve">(2) </w:t>
      </w:r>
      <w:r w:rsidR="00D5103A" w:rsidRPr="003324B4">
        <w:rPr>
          <w:rFonts w:cstheme="minorHAnsi"/>
          <w:color w:val="000000" w:themeColor="text1"/>
          <w:u w:val="single"/>
        </w:rPr>
        <w:t>Secondary</w:t>
      </w:r>
      <w:r w:rsidRPr="003324B4">
        <w:rPr>
          <w:rFonts w:cstheme="minorHAnsi"/>
          <w:color w:val="000000" w:themeColor="text1"/>
          <w:u w:val="single"/>
        </w:rPr>
        <w:t xml:space="preserve"> benefits</w:t>
      </w:r>
      <w:r w:rsidRPr="003324B4">
        <w:rPr>
          <w:rFonts w:cstheme="minorHAnsi"/>
          <w:color w:val="000000" w:themeColor="text1"/>
        </w:rPr>
        <w:t xml:space="preserve"> generated </w:t>
      </w:r>
      <w:r w:rsidR="00C83D07">
        <w:rPr>
          <w:rFonts w:cstheme="minorHAnsi"/>
          <w:color w:val="000000" w:themeColor="text1"/>
        </w:rPr>
        <w:t xml:space="preserve">mainly </w:t>
      </w:r>
      <w:r w:rsidR="00D5103A" w:rsidRPr="003324B4">
        <w:rPr>
          <w:rFonts w:cstheme="minorHAnsi"/>
          <w:color w:val="000000" w:themeColor="text1"/>
        </w:rPr>
        <w:t>after</w:t>
      </w:r>
      <w:r w:rsidRPr="003324B4">
        <w:rPr>
          <w:rFonts w:cstheme="minorHAnsi"/>
          <w:color w:val="000000" w:themeColor="text1"/>
        </w:rPr>
        <w:t xml:space="preserve"> the Project </w:t>
      </w:r>
      <w:r w:rsidR="00D5103A" w:rsidRPr="003324B4">
        <w:rPr>
          <w:rFonts w:cstheme="minorHAnsi"/>
          <w:color w:val="000000" w:themeColor="text1"/>
        </w:rPr>
        <w:t>has ended</w:t>
      </w:r>
      <w:r w:rsidR="00CF093F" w:rsidRPr="003324B4">
        <w:rPr>
          <w:rFonts w:cstheme="minorHAnsi"/>
          <w:color w:val="000000" w:themeColor="text1"/>
        </w:rPr>
        <w:t>:</w:t>
      </w:r>
    </w:p>
    <w:p w14:paraId="3C95A773" w14:textId="77777777" w:rsidR="00C06AD7" w:rsidRPr="003324B4" w:rsidRDefault="00C06AD7" w:rsidP="00193F0E">
      <w:pPr>
        <w:rPr>
          <w:rFonts w:cstheme="minorHAnsi"/>
          <w:color w:val="000000" w:themeColor="text1"/>
        </w:rPr>
      </w:pPr>
    </w:p>
    <w:p w14:paraId="36D12250" w14:textId="3A226CD9" w:rsidR="005A06FD" w:rsidRPr="003324B4" w:rsidRDefault="001D445D" w:rsidP="00193F0E">
      <w:pPr>
        <w:pStyle w:val="ListParagraph"/>
        <w:numPr>
          <w:ilvl w:val="0"/>
          <w:numId w:val="1"/>
        </w:numPr>
        <w:spacing w:after="120"/>
        <w:contextualSpacing w:val="0"/>
        <w:rPr>
          <w:rFonts w:cstheme="minorHAnsi"/>
          <w:color w:val="000000" w:themeColor="text1"/>
        </w:rPr>
      </w:pPr>
      <w:r w:rsidRPr="003324B4">
        <w:rPr>
          <w:rFonts w:cstheme="minorHAnsi"/>
          <w:color w:val="000000" w:themeColor="text1"/>
        </w:rPr>
        <w:t xml:space="preserve">Increased productivity and </w:t>
      </w:r>
      <w:r w:rsidR="007C36B7" w:rsidRPr="003324B4">
        <w:rPr>
          <w:rFonts w:cstheme="minorHAnsi"/>
          <w:color w:val="000000" w:themeColor="text1"/>
        </w:rPr>
        <w:t>enhanced</w:t>
      </w:r>
      <w:r w:rsidR="005A06FD" w:rsidRPr="003324B4">
        <w:rPr>
          <w:rFonts w:cstheme="minorHAnsi"/>
          <w:color w:val="000000" w:themeColor="text1"/>
        </w:rPr>
        <w:t xml:space="preserve"> climate resilience </w:t>
      </w:r>
      <w:r w:rsidR="007C36B7" w:rsidRPr="003324B4">
        <w:rPr>
          <w:rFonts w:cstheme="minorHAnsi"/>
          <w:color w:val="000000" w:themeColor="text1"/>
        </w:rPr>
        <w:t xml:space="preserve">(reduced production variability) </w:t>
      </w:r>
      <w:r w:rsidR="005A06FD" w:rsidRPr="003324B4">
        <w:rPr>
          <w:rFonts w:cstheme="minorHAnsi"/>
          <w:color w:val="000000" w:themeColor="text1"/>
        </w:rPr>
        <w:t>at farm-level, including positive outcomes for women.</w:t>
      </w:r>
    </w:p>
    <w:p w14:paraId="78671412" w14:textId="66487CD4" w:rsidR="00C307A1" w:rsidRPr="003324B4" w:rsidRDefault="00380703" w:rsidP="00193F0E">
      <w:pPr>
        <w:pStyle w:val="ListParagraph"/>
        <w:numPr>
          <w:ilvl w:val="0"/>
          <w:numId w:val="1"/>
        </w:numPr>
        <w:spacing w:after="120"/>
        <w:contextualSpacing w:val="0"/>
        <w:rPr>
          <w:rFonts w:cstheme="minorHAnsi"/>
          <w:color w:val="000000" w:themeColor="text1"/>
        </w:rPr>
      </w:pPr>
      <w:r>
        <w:rPr>
          <w:rFonts w:cstheme="minorHAnsi"/>
          <w:color w:val="000000" w:themeColor="text1"/>
        </w:rPr>
        <w:t>M</w:t>
      </w:r>
      <w:r w:rsidR="00C307A1" w:rsidRPr="003324B4">
        <w:rPr>
          <w:rFonts w:cstheme="minorHAnsi"/>
          <w:color w:val="000000" w:themeColor="text1"/>
        </w:rPr>
        <w:t>ore widespread adoption of CSA technologies due to regional spillovers</w:t>
      </w:r>
      <w:r w:rsidR="009D2062" w:rsidRPr="003324B4">
        <w:rPr>
          <w:rFonts w:cstheme="minorHAnsi"/>
          <w:color w:val="000000" w:themeColor="text1"/>
        </w:rPr>
        <w:t>.</w:t>
      </w:r>
    </w:p>
    <w:p w14:paraId="7C807C82" w14:textId="445EA10E" w:rsidR="002F129F" w:rsidRPr="003324B4" w:rsidRDefault="002F129F" w:rsidP="00193F0E">
      <w:pPr>
        <w:pStyle w:val="ListParagraph"/>
        <w:numPr>
          <w:ilvl w:val="0"/>
          <w:numId w:val="1"/>
        </w:numPr>
        <w:rPr>
          <w:rFonts w:cstheme="minorHAnsi"/>
          <w:color w:val="000000" w:themeColor="text1"/>
        </w:rPr>
      </w:pPr>
      <w:r w:rsidRPr="003324B4">
        <w:rPr>
          <w:rFonts w:cstheme="minorHAnsi"/>
          <w:color w:val="000000" w:themeColor="text1"/>
        </w:rPr>
        <w:t>Climate benefits</w:t>
      </w:r>
      <w:r w:rsidR="00607911" w:rsidRPr="003324B4">
        <w:rPr>
          <w:rFonts w:cstheme="minorHAnsi"/>
          <w:color w:val="000000" w:themeColor="text1"/>
        </w:rPr>
        <w:t xml:space="preserve"> in the form of</w:t>
      </w:r>
      <w:r w:rsidRPr="003324B4">
        <w:rPr>
          <w:rFonts w:cstheme="minorHAnsi"/>
          <w:color w:val="000000" w:themeColor="text1"/>
        </w:rPr>
        <w:t xml:space="preserve"> reduced </w:t>
      </w:r>
      <w:r w:rsidR="00800E16" w:rsidRPr="003324B4">
        <w:rPr>
          <w:rFonts w:cstheme="minorHAnsi"/>
          <w:color w:val="000000" w:themeColor="text1"/>
        </w:rPr>
        <w:t>greenhouse gas (GHG) emissions.</w:t>
      </w:r>
    </w:p>
    <w:p w14:paraId="6D177E9B" w14:textId="77777777" w:rsidR="00133AFF" w:rsidRPr="003324B4" w:rsidRDefault="00133AFF" w:rsidP="003324B4">
      <w:pPr>
        <w:rPr>
          <w:rFonts w:cstheme="minorHAnsi"/>
        </w:rPr>
      </w:pPr>
    </w:p>
    <w:p w14:paraId="69606BBA" w14:textId="348CDD44" w:rsidR="00E531FA" w:rsidRDefault="006442CE" w:rsidP="003324B4">
      <w:pPr>
        <w:rPr>
          <w:rFonts w:cstheme="minorHAnsi"/>
        </w:rPr>
      </w:pPr>
      <w:r w:rsidRPr="003324B4">
        <w:rPr>
          <w:rFonts w:cstheme="minorHAnsi"/>
        </w:rPr>
        <w:t xml:space="preserve">Estimating the </w:t>
      </w:r>
      <w:r w:rsidR="00010DC0" w:rsidRPr="003324B4">
        <w:rPr>
          <w:rFonts w:cstheme="minorHAnsi"/>
        </w:rPr>
        <w:t xml:space="preserve">economic value of the </w:t>
      </w:r>
      <w:r w:rsidRPr="003324B4">
        <w:rPr>
          <w:rFonts w:cstheme="minorHAnsi"/>
        </w:rPr>
        <w:t xml:space="preserve">benefits </w:t>
      </w:r>
      <w:r w:rsidR="00010DC0" w:rsidRPr="003324B4">
        <w:rPr>
          <w:rFonts w:cstheme="minorHAnsi"/>
        </w:rPr>
        <w:t>described under</w:t>
      </w:r>
      <w:r w:rsidRPr="003324B4">
        <w:rPr>
          <w:rFonts w:cstheme="minorHAnsi"/>
        </w:rPr>
        <w:t xml:space="preserve"> bullets 1</w:t>
      </w:r>
      <w:r w:rsidR="009D2062" w:rsidRPr="003324B4">
        <w:rPr>
          <w:rFonts w:cstheme="minorHAnsi"/>
        </w:rPr>
        <w:t>,</w:t>
      </w:r>
      <w:r w:rsidRPr="003324B4">
        <w:rPr>
          <w:rFonts w:cstheme="minorHAnsi"/>
        </w:rPr>
        <w:t xml:space="preserve"> </w:t>
      </w:r>
      <w:r w:rsidR="009D2062" w:rsidRPr="003324B4">
        <w:rPr>
          <w:rFonts w:cstheme="minorHAnsi"/>
        </w:rPr>
        <w:t xml:space="preserve">2, </w:t>
      </w:r>
      <w:r w:rsidRPr="003324B4">
        <w:rPr>
          <w:rFonts w:cstheme="minorHAnsi"/>
        </w:rPr>
        <w:t xml:space="preserve">and </w:t>
      </w:r>
      <w:r w:rsidR="009D2062" w:rsidRPr="003324B4">
        <w:rPr>
          <w:rFonts w:cstheme="minorHAnsi"/>
        </w:rPr>
        <w:t>3</w:t>
      </w:r>
      <w:r w:rsidRPr="003324B4">
        <w:rPr>
          <w:rFonts w:cstheme="minorHAnsi"/>
        </w:rPr>
        <w:t xml:space="preserve"> </w:t>
      </w:r>
      <w:r w:rsidR="009D2062" w:rsidRPr="003324B4">
        <w:rPr>
          <w:rFonts w:cstheme="minorHAnsi"/>
        </w:rPr>
        <w:t>would be</w:t>
      </w:r>
      <w:r w:rsidRPr="003324B4">
        <w:rPr>
          <w:rFonts w:cstheme="minorHAnsi"/>
        </w:rPr>
        <w:t xml:space="preserve"> </w:t>
      </w:r>
      <w:r w:rsidR="00CD2A35">
        <w:rPr>
          <w:rFonts w:cstheme="minorHAnsi"/>
        </w:rPr>
        <w:t>difficult</w:t>
      </w:r>
      <w:r w:rsidR="006175C2">
        <w:rPr>
          <w:rFonts w:cstheme="minorHAnsi"/>
        </w:rPr>
        <w:t xml:space="preserve"> (costly, time consuming, and conceptually challenging)</w:t>
      </w:r>
      <w:r w:rsidR="00717B03">
        <w:rPr>
          <w:rFonts w:cstheme="minorHAnsi"/>
        </w:rPr>
        <w:t xml:space="preserve">, and it will not be </w:t>
      </w:r>
      <w:r w:rsidR="00CD2A35">
        <w:rPr>
          <w:rFonts w:cstheme="minorHAnsi"/>
        </w:rPr>
        <w:t>attempted</w:t>
      </w:r>
      <w:r w:rsidR="006175C2">
        <w:rPr>
          <w:rFonts w:cstheme="minorHAnsi"/>
        </w:rPr>
        <w:t xml:space="preserve"> for pu</w:t>
      </w:r>
      <w:r w:rsidR="008179C2">
        <w:rPr>
          <w:rFonts w:cstheme="minorHAnsi"/>
        </w:rPr>
        <w:t>rposes of the PAD</w:t>
      </w:r>
      <w:r w:rsidRPr="003324B4">
        <w:rPr>
          <w:rFonts w:cstheme="minorHAnsi"/>
        </w:rPr>
        <w:t>.</w:t>
      </w:r>
      <w:r w:rsidR="00E83F62">
        <w:rPr>
          <w:rFonts w:cstheme="minorHAnsi"/>
        </w:rPr>
        <w:t xml:space="preserve"> </w:t>
      </w:r>
      <w:r w:rsidR="00E531FA">
        <w:rPr>
          <w:rFonts w:cstheme="minorHAnsi"/>
        </w:rPr>
        <w:t xml:space="preserve">Nevertheless, the meta-analysis </w:t>
      </w:r>
      <w:r w:rsidR="00B33D11">
        <w:rPr>
          <w:rFonts w:cstheme="minorHAnsi"/>
        </w:rPr>
        <w:t xml:space="preserve">done by </w:t>
      </w:r>
      <w:proofErr w:type="spellStart"/>
      <w:r w:rsidR="00E531FA">
        <w:rPr>
          <w:rFonts w:cstheme="minorHAnsi"/>
        </w:rPr>
        <w:t>Pardey</w:t>
      </w:r>
      <w:proofErr w:type="spellEnd"/>
      <w:r w:rsidR="00E531FA">
        <w:rPr>
          <w:rFonts w:cstheme="minorHAnsi"/>
        </w:rPr>
        <w:t xml:space="preserve"> et al. (2016) provides compelling evidence </w:t>
      </w:r>
      <w:r w:rsidR="00B33D11">
        <w:rPr>
          <w:rFonts w:cstheme="minorHAnsi"/>
        </w:rPr>
        <w:t>that</w:t>
      </w:r>
      <w:r w:rsidR="00E531FA">
        <w:rPr>
          <w:rFonts w:cstheme="minorHAnsi"/>
        </w:rPr>
        <w:t xml:space="preserve"> investments in food and agriculture research and development </w:t>
      </w:r>
      <w:r w:rsidR="00B33D11">
        <w:rPr>
          <w:rFonts w:cstheme="minorHAnsi"/>
        </w:rPr>
        <w:t xml:space="preserve">made </w:t>
      </w:r>
      <w:r w:rsidR="00E531FA">
        <w:rPr>
          <w:rFonts w:cstheme="minorHAnsi"/>
        </w:rPr>
        <w:t xml:space="preserve">in sub-Saharan Africa </w:t>
      </w:r>
      <w:r w:rsidR="00100173">
        <w:rPr>
          <w:rFonts w:cstheme="minorHAnsi"/>
        </w:rPr>
        <w:t xml:space="preserve">(SSA) </w:t>
      </w:r>
      <w:r w:rsidR="00E531FA">
        <w:rPr>
          <w:rFonts w:cstheme="minorHAnsi"/>
        </w:rPr>
        <w:t>over the last 40-50 years</w:t>
      </w:r>
      <w:r w:rsidR="00B33D11">
        <w:rPr>
          <w:rFonts w:cstheme="minorHAnsi"/>
        </w:rPr>
        <w:t xml:space="preserve"> have generated attractive returns</w:t>
      </w:r>
      <w:r w:rsidR="00E531FA">
        <w:rPr>
          <w:rFonts w:cstheme="minorHAnsi"/>
        </w:rPr>
        <w:t>.</w:t>
      </w:r>
    </w:p>
    <w:p w14:paraId="46A333B6" w14:textId="77777777" w:rsidR="00E531FA" w:rsidRPr="003324B4" w:rsidRDefault="00E531FA" w:rsidP="003324B4">
      <w:pPr>
        <w:rPr>
          <w:rFonts w:cstheme="minorHAnsi"/>
        </w:rPr>
      </w:pPr>
    </w:p>
    <w:p w14:paraId="24B0AC9A" w14:textId="525321BA" w:rsidR="00D57527" w:rsidRPr="003324B4" w:rsidRDefault="00D57527" w:rsidP="003324B4">
      <w:pPr>
        <w:rPr>
          <w:rFonts w:cstheme="minorHAnsi"/>
        </w:rPr>
      </w:pPr>
      <w:r w:rsidRPr="003324B4">
        <w:rPr>
          <w:rFonts w:cstheme="minorHAnsi"/>
        </w:rPr>
        <w:t xml:space="preserve">Since the benefits </w:t>
      </w:r>
      <w:r w:rsidR="001E406B" w:rsidRPr="003324B4">
        <w:rPr>
          <w:rFonts w:cstheme="minorHAnsi"/>
        </w:rPr>
        <w:t>described under bullets 1</w:t>
      </w:r>
      <w:r w:rsidR="002D06C0" w:rsidRPr="003324B4">
        <w:rPr>
          <w:rFonts w:cstheme="minorHAnsi"/>
        </w:rPr>
        <w:t xml:space="preserve">, 2, and 3 </w:t>
      </w:r>
      <w:r w:rsidR="001E406B" w:rsidRPr="003324B4">
        <w:rPr>
          <w:rFonts w:cstheme="minorHAnsi"/>
        </w:rPr>
        <w:t>are “enablers” of the benefits described under bullet</w:t>
      </w:r>
      <w:r w:rsidR="007D096A">
        <w:rPr>
          <w:rFonts w:cstheme="minorHAnsi"/>
        </w:rPr>
        <w:t>s</w:t>
      </w:r>
      <w:r w:rsidR="001E406B" w:rsidRPr="003324B4">
        <w:rPr>
          <w:rFonts w:cstheme="minorHAnsi"/>
        </w:rPr>
        <w:t xml:space="preserve"> </w:t>
      </w:r>
      <w:r w:rsidR="002D06C0" w:rsidRPr="003324B4">
        <w:rPr>
          <w:rFonts w:cstheme="minorHAnsi"/>
        </w:rPr>
        <w:t>4</w:t>
      </w:r>
      <w:r w:rsidR="001E406B" w:rsidRPr="003324B4">
        <w:rPr>
          <w:rFonts w:cstheme="minorHAnsi"/>
        </w:rPr>
        <w:t xml:space="preserve">, </w:t>
      </w:r>
      <w:r w:rsidR="007D096A">
        <w:rPr>
          <w:rFonts w:cstheme="minorHAnsi"/>
        </w:rPr>
        <w:t xml:space="preserve">5, and 6, </w:t>
      </w:r>
      <w:r w:rsidR="001E406B" w:rsidRPr="003324B4">
        <w:rPr>
          <w:rFonts w:cstheme="minorHAnsi"/>
        </w:rPr>
        <w:t>the economic and financial analysis (EFA) focus</w:t>
      </w:r>
      <w:r w:rsidR="00246EBE">
        <w:rPr>
          <w:rFonts w:cstheme="minorHAnsi"/>
        </w:rPr>
        <w:t>es</w:t>
      </w:r>
      <w:r w:rsidR="001E406B" w:rsidRPr="003324B4">
        <w:rPr>
          <w:rFonts w:cstheme="minorHAnsi"/>
        </w:rPr>
        <w:t xml:space="preserve"> on the benefits described under </w:t>
      </w:r>
      <w:r w:rsidR="00A12281">
        <w:rPr>
          <w:rFonts w:cstheme="minorHAnsi"/>
        </w:rPr>
        <w:t>the latter three</w:t>
      </w:r>
      <w:r w:rsidR="001E406B" w:rsidRPr="003324B4">
        <w:rPr>
          <w:rFonts w:cstheme="minorHAnsi"/>
        </w:rPr>
        <w:t>.</w:t>
      </w:r>
      <w:r w:rsidR="00563244" w:rsidRPr="003324B4">
        <w:rPr>
          <w:rFonts w:cstheme="minorHAnsi"/>
        </w:rPr>
        <w:t xml:space="preserve"> </w:t>
      </w:r>
      <w:r w:rsidR="002D06C0" w:rsidRPr="003324B4">
        <w:rPr>
          <w:rFonts w:cstheme="minorHAnsi"/>
        </w:rPr>
        <w:t>C</w:t>
      </w:r>
      <w:r w:rsidR="008439CA" w:rsidRPr="003324B4">
        <w:rPr>
          <w:rFonts w:cstheme="minorHAnsi"/>
        </w:rPr>
        <w:t>aveat: the benefits described under bullet</w:t>
      </w:r>
      <w:r w:rsidR="001D3400">
        <w:rPr>
          <w:rFonts w:cstheme="minorHAnsi"/>
        </w:rPr>
        <w:t>s</w:t>
      </w:r>
      <w:r w:rsidR="008439CA" w:rsidRPr="003324B4">
        <w:rPr>
          <w:rFonts w:cstheme="minorHAnsi"/>
        </w:rPr>
        <w:t xml:space="preserve"> </w:t>
      </w:r>
      <w:r w:rsidR="002D06C0" w:rsidRPr="003324B4">
        <w:rPr>
          <w:rFonts w:cstheme="minorHAnsi"/>
        </w:rPr>
        <w:t>4</w:t>
      </w:r>
      <w:r w:rsidR="001D3400">
        <w:rPr>
          <w:rFonts w:cstheme="minorHAnsi"/>
        </w:rPr>
        <w:t>, 5, and 6</w:t>
      </w:r>
      <w:r w:rsidR="008439CA" w:rsidRPr="003324B4">
        <w:rPr>
          <w:rFonts w:cstheme="minorHAnsi"/>
        </w:rPr>
        <w:t xml:space="preserve"> </w:t>
      </w:r>
      <w:r w:rsidR="00DA3643">
        <w:rPr>
          <w:rFonts w:cstheme="minorHAnsi"/>
        </w:rPr>
        <w:t>fall under the sphere of influence of the Project, but not under the sphere of control</w:t>
      </w:r>
      <w:r w:rsidR="0064669C">
        <w:rPr>
          <w:rFonts w:cstheme="minorHAnsi"/>
        </w:rPr>
        <w:t xml:space="preserve">, because they </w:t>
      </w:r>
      <w:r w:rsidR="008439CA" w:rsidRPr="003324B4">
        <w:rPr>
          <w:rFonts w:cstheme="minorHAnsi"/>
        </w:rPr>
        <w:t>depend in part on factors beyond the control of the Project</w:t>
      </w:r>
      <w:r w:rsidR="001053C9" w:rsidRPr="003324B4">
        <w:rPr>
          <w:rFonts w:cstheme="minorHAnsi"/>
        </w:rPr>
        <w:t xml:space="preserve"> (e.g., price incentives, availability of purchased inputs, weather conditions, etc.)</w:t>
      </w:r>
    </w:p>
    <w:p w14:paraId="6F805EF1" w14:textId="4A0EEB10" w:rsidR="006442CE" w:rsidRDefault="006442CE" w:rsidP="003324B4">
      <w:pPr>
        <w:rPr>
          <w:rFonts w:cstheme="minorHAnsi"/>
        </w:rPr>
      </w:pPr>
    </w:p>
    <w:p w14:paraId="46D3DE0D" w14:textId="29030D84" w:rsidR="00E845DF" w:rsidRDefault="00E845DF" w:rsidP="00957835">
      <w:pPr>
        <w:rPr>
          <w:rFonts w:eastAsia="Times New Roman"/>
          <w:lang w:val="en-US"/>
        </w:rPr>
      </w:pPr>
      <w:r w:rsidRPr="00E845DF">
        <w:rPr>
          <w:rFonts w:eastAsia="Times New Roman"/>
          <w:lang w:val="en-US"/>
        </w:rPr>
        <w:t>The EFA is carried out in four stages. In the first stage, the area that could potentially benefit from AICCRA is calculated (</w:t>
      </w:r>
      <w:r w:rsidR="004D4353">
        <w:rPr>
          <w:rFonts w:eastAsia="Times New Roman"/>
          <w:lang w:val="en-US"/>
        </w:rPr>
        <w:t xml:space="preserve">including both the </w:t>
      </w:r>
      <w:r w:rsidRPr="00E845DF">
        <w:rPr>
          <w:rFonts w:eastAsia="Times New Roman"/>
          <w:lang w:val="en-US"/>
        </w:rPr>
        <w:t xml:space="preserve">target countries and </w:t>
      </w:r>
      <w:r w:rsidR="004D4353">
        <w:rPr>
          <w:rFonts w:eastAsia="Times New Roman"/>
          <w:lang w:val="en-US"/>
        </w:rPr>
        <w:t xml:space="preserve">the </w:t>
      </w:r>
      <w:r w:rsidRPr="00E845DF">
        <w:rPr>
          <w:rFonts w:eastAsia="Times New Roman"/>
          <w:lang w:val="en-US"/>
        </w:rPr>
        <w:t>extrapolation domain). In the second stage, the value is calculated of the benefits that would result from a 1% increase in crop and livestock productivity over th</w:t>
      </w:r>
      <w:r w:rsidR="00E73F6C">
        <w:rPr>
          <w:rFonts w:eastAsia="Times New Roman"/>
          <w:lang w:val="en-US"/>
        </w:rPr>
        <w:t>is</w:t>
      </w:r>
      <w:r w:rsidRPr="00E845DF">
        <w:rPr>
          <w:rFonts w:eastAsia="Times New Roman"/>
          <w:lang w:val="en-US"/>
        </w:rPr>
        <w:t xml:space="preserve"> entire area. In the third stage, the value of the benefits is adjusted in recognition of the fact that adoption will occur gradually over time and will not reach the entire area. In the fourth stage, measures of project worth are calculated recognizing that the investments to be made under AICCRA will make up only a very small share of investments to increase uptake of CSA technologies and use of CIS.</w:t>
      </w:r>
    </w:p>
    <w:p w14:paraId="752A5000" w14:textId="77777777" w:rsidR="00957835" w:rsidRPr="00E845DF" w:rsidRDefault="00957835" w:rsidP="00957835">
      <w:pPr>
        <w:rPr>
          <w:rFonts w:eastAsia="Times New Roman"/>
          <w:lang w:val="en-US"/>
        </w:rPr>
      </w:pPr>
    </w:p>
    <w:p w14:paraId="3161B355" w14:textId="7734EEB0" w:rsidR="00F906B0" w:rsidRPr="00A04AF8" w:rsidRDefault="002824C4" w:rsidP="00957835">
      <w:pPr>
        <w:rPr>
          <w:b/>
          <w:bCs/>
        </w:rPr>
      </w:pPr>
      <w:r>
        <w:rPr>
          <w:b/>
          <w:bCs/>
        </w:rPr>
        <w:lastRenderedPageBreak/>
        <w:t xml:space="preserve">2.  </w:t>
      </w:r>
      <w:r w:rsidR="002B5D4D" w:rsidRPr="00A04AF8">
        <w:rPr>
          <w:b/>
          <w:bCs/>
        </w:rPr>
        <w:t>Literature review: Benefits of CSA and CIS adoption</w:t>
      </w:r>
    </w:p>
    <w:p w14:paraId="45F72528" w14:textId="77777777" w:rsidR="00957835" w:rsidRDefault="00957835" w:rsidP="003324B4">
      <w:pPr>
        <w:rPr>
          <w:rFonts w:cstheme="minorHAnsi"/>
        </w:rPr>
      </w:pPr>
    </w:p>
    <w:p w14:paraId="6BAB3332" w14:textId="734C020A" w:rsidR="00AE4EA8" w:rsidRDefault="00A0620B" w:rsidP="003324B4">
      <w:pPr>
        <w:rPr>
          <w:rFonts w:cstheme="minorHAnsi"/>
        </w:rPr>
      </w:pPr>
      <w:r>
        <w:rPr>
          <w:rFonts w:cstheme="minorHAnsi"/>
        </w:rPr>
        <w:t xml:space="preserve">Climate change </w:t>
      </w:r>
      <w:r w:rsidR="000956A2">
        <w:rPr>
          <w:rFonts w:cstheme="minorHAnsi"/>
        </w:rPr>
        <w:t xml:space="preserve">poses a major threat in the areas being targeted by </w:t>
      </w:r>
      <w:r w:rsidR="00E42E2F" w:rsidRPr="003324B4">
        <w:rPr>
          <w:rFonts w:cstheme="minorHAnsi"/>
        </w:rPr>
        <w:t>AICCRA</w:t>
      </w:r>
      <w:r w:rsidR="002A1A0D">
        <w:rPr>
          <w:rFonts w:cstheme="minorHAnsi"/>
        </w:rPr>
        <w:t>. The Project</w:t>
      </w:r>
      <w:r w:rsidR="00E42E2F" w:rsidRPr="003324B4">
        <w:rPr>
          <w:rFonts w:cstheme="minorHAnsi"/>
        </w:rPr>
        <w:t xml:space="preserve"> will operate in </w:t>
      </w:r>
      <w:r w:rsidR="00193746" w:rsidRPr="003324B4">
        <w:rPr>
          <w:rFonts w:cstheme="minorHAnsi"/>
        </w:rPr>
        <w:t xml:space="preserve">several </w:t>
      </w:r>
      <w:r w:rsidR="00E42E2F" w:rsidRPr="003324B4">
        <w:rPr>
          <w:rFonts w:cstheme="minorHAnsi"/>
        </w:rPr>
        <w:t>agro-ecological zones</w:t>
      </w:r>
      <w:r w:rsidR="006F0EBC">
        <w:rPr>
          <w:rFonts w:cstheme="minorHAnsi"/>
        </w:rPr>
        <w:t xml:space="preserve"> (AEZs)</w:t>
      </w:r>
      <w:r w:rsidR="00E845DF">
        <w:rPr>
          <w:rFonts w:cstheme="minorHAnsi"/>
        </w:rPr>
        <w:t xml:space="preserve">, all </w:t>
      </w:r>
      <w:r w:rsidR="00546344">
        <w:rPr>
          <w:rFonts w:cstheme="minorHAnsi"/>
        </w:rPr>
        <w:t xml:space="preserve">of which </w:t>
      </w:r>
      <w:r w:rsidR="00E42E2F" w:rsidRPr="003324B4">
        <w:rPr>
          <w:rFonts w:cstheme="minorHAnsi"/>
        </w:rPr>
        <w:t>are projected to experience significant temperature increases over the long term</w:t>
      </w:r>
      <w:r w:rsidR="00523D48">
        <w:rPr>
          <w:rFonts w:cstheme="minorHAnsi"/>
        </w:rPr>
        <w:t xml:space="preserve"> –</w:t>
      </w:r>
      <w:r w:rsidR="005759D2">
        <w:rPr>
          <w:rFonts w:cstheme="minorHAnsi"/>
        </w:rPr>
        <w:t xml:space="preserve"> </w:t>
      </w:r>
      <w:r w:rsidR="00523D48">
        <w:rPr>
          <w:rFonts w:cstheme="minorHAnsi"/>
        </w:rPr>
        <w:t xml:space="preserve">up to </w:t>
      </w:r>
      <w:r w:rsidR="00523D48" w:rsidRPr="00523D48">
        <w:rPr>
          <w:rFonts w:cstheme="minorHAnsi"/>
        </w:rPr>
        <w:t>2.7 °C by the 2050s</w:t>
      </w:r>
      <w:r w:rsidR="005759D2">
        <w:rPr>
          <w:rFonts w:cstheme="minorHAnsi"/>
        </w:rPr>
        <w:t>, if</w:t>
      </w:r>
      <w:r w:rsidR="005759D2">
        <w:rPr>
          <w:rFonts w:cstheme="minorHAnsi"/>
        </w:rPr>
        <w:t xml:space="preserve"> current greenhouse gas emission trajectories</w:t>
      </w:r>
      <w:r w:rsidR="005759D2">
        <w:rPr>
          <w:rFonts w:cstheme="minorHAnsi"/>
        </w:rPr>
        <w:t xml:space="preserve"> continue</w:t>
      </w:r>
      <w:r w:rsidR="00523D48">
        <w:rPr>
          <w:rFonts w:cstheme="minorHAnsi"/>
        </w:rPr>
        <w:t xml:space="preserve"> (</w:t>
      </w:r>
      <w:proofErr w:type="spellStart"/>
      <w:r w:rsidR="00523D48">
        <w:rPr>
          <w:rFonts w:cstheme="minorHAnsi"/>
        </w:rPr>
        <w:t>Girvetz</w:t>
      </w:r>
      <w:proofErr w:type="spellEnd"/>
      <w:r w:rsidR="00523D48">
        <w:rPr>
          <w:rFonts w:cstheme="minorHAnsi"/>
        </w:rPr>
        <w:t xml:space="preserve"> et al., 2019)</w:t>
      </w:r>
      <w:r w:rsidR="00523D48" w:rsidRPr="00523D48">
        <w:rPr>
          <w:rFonts w:cstheme="minorHAnsi"/>
        </w:rPr>
        <w:t xml:space="preserve">. </w:t>
      </w:r>
      <w:r w:rsidR="00E42E2F" w:rsidRPr="003324B4">
        <w:rPr>
          <w:rFonts w:cstheme="minorHAnsi"/>
        </w:rPr>
        <w:t>In addition to rising average temperatures, a major source of uncertainty for the region’s farmers and pastoralists will be increased variability in rainfall, which will amplify risk throughout the growing season.</w:t>
      </w:r>
      <w:r w:rsidR="00546344">
        <w:rPr>
          <w:rFonts w:cstheme="minorHAnsi"/>
        </w:rPr>
        <w:t xml:space="preserve"> </w:t>
      </w:r>
    </w:p>
    <w:p w14:paraId="768C61E4" w14:textId="77777777" w:rsidR="00AE4EA8" w:rsidRDefault="00AE4EA8" w:rsidP="003324B4">
      <w:pPr>
        <w:rPr>
          <w:rFonts w:cstheme="minorHAnsi"/>
        </w:rPr>
      </w:pPr>
    </w:p>
    <w:p w14:paraId="4C717C64" w14:textId="6C927EB4" w:rsidR="00E42E2F" w:rsidRDefault="00546344" w:rsidP="003324B4">
      <w:pPr>
        <w:rPr>
          <w:rFonts w:cstheme="minorHAnsi"/>
        </w:rPr>
      </w:pPr>
      <w:r>
        <w:rPr>
          <w:rFonts w:cstheme="minorHAnsi"/>
        </w:rPr>
        <w:t>The following paragraphs provide evidence from the literature of the benefits of adoption of CSA technologies and the benefits of use of CIS.</w:t>
      </w:r>
    </w:p>
    <w:p w14:paraId="4B13BEC5" w14:textId="77777777" w:rsidR="00957835" w:rsidRDefault="00957835" w:rsidP="003324B4">
      <w:pPr>
        <w:rPr>
          <w:rFonts w:cstheme="minorHAnsi"/>
        </w:rPr>
      </w:pPr>
    </w:p>
    <w:p w14:paraId="30DCC97C" w14:textId="2F47C17A" w:rsidR="004E3F71" w:rsidRPr="00A04AF8" w:rsidRDefault="002824C4" w:rsidP="00957835">
      <w:pPr>
        <w:rPr>
          <w:b/>
          <w:bCs/>
        </w:rPr>
      </w:pPr>
      <w:r>
        <w:rPr>
          <w:b/>
          <w:bCs/>
        </w:rPr>
        <w:t>2.1.  B</w:t>
      </w:r>
      <w:r w:rsidR="004E3F71" w:rsidRPr="00A04AF8">
        <w:rPr>
          <w:b/>
          <w:bCs/>
        </w:rPr>
        <w:t>enefits of adoption of CSA technologies</w:t>
      </w:r>
    </w:p>
    <w:p w14:paraId="0A2AA66D" w14:textId="77777777" w:rsidR="00957835" w:rsidRDefault="00957835" w:rsidP="003324B4">
      <w:pPr>
        <w:rPr>
          <w:rFonts w:cstheme="minorHAnsi"/>
          <w:lang w:val="en-US"/>
        </w:rPr>
      </w:pPr>
    </w:p>
    <w:p w14:paraId="58DC7454" w14:textId="4F8A5D50" w:rsidR="00FB04CA" w:rsidRPr="003324B4" w:rsidRDefault="007666F3" w:rsidP="003324B4">
      <w:pPr>
        <w:rPr>
          <w:rFonts w:cstheme="minorHAnsi"/>
        </w:rPr>
      </w:pPr>
      <w:r>
        <w:rPr>
          <w:rFonts w:cstheme="minorHAnsi"/>
          <w:lang w:val="en-US"/>
        </w:rPr>
        <w:t xml:space="preserve">A large and </w:t>
      </w:r>
      <w:r w:rsidR="00193746" w:rsidRPr="003324B4">
        <w:rPr>
          <w:rFonts w:cstheme="minorHAnsi"/>
          <w:lang w:val="en-US"/>
        </w:rPr>
        <w:t xml:space="preserve">robust </w:t>
      </w:r>
      <w:r>
        <w:rPr>
          <w:rFonts w:cstheme="minorHAnsi"/>
          <w:lang w:val="en-US"/>
        </w:rPr>
        <w:t xml:space="preserve">body of </w:t>
      </w:r>
      <w:r w:rsidR="00193746" w:rsidRPr="003324B4">
        <w:rPr>
          <w:rFonts w:cstheme="minorHAnsi"/>
          <w:lang w:val="en-US"/>
        </w:rPr>
        <w:t xml:space="preserve">evidence </w:t>
      </w:r>
      <w:r>
        <w:rPr>
          <w:rFonts w:cstheme="minorHAnsi"/>
          <w:lang w:val="en-US"/>
        </w:rPr>
        <w:t xml:space="preserve">shows </w:t>
      </w:r>
      <w:r w:rsidR="00193746" w:rsidRPr="003324B4">
        <w:rPr>
          <w:rFonts w:cstheme="minorHAnsi"/>
          <w:lang w:val="en-US"/>
        </w:rPr>
        <w:t>that adoption o</w:t>
      </w:r>
      <w:r w:rsidR="00193746" w:rsidRPr="003324B4">
        <w:rPr>
          <w:rFonts w:cstheme="minorHAnsi"/>
        </w:rPr>
        <w:t>f CSA technologies can be profitable and lead to desirable development outcomes.</w:t>
      </w:r>
      <w:r w:rsidR="002C3CD6">
        <w:rPr>
          <w:rFonts w:cstheme="minorHAnsi"/>
        </w:rPr>
        <w:t xml:space="preserve"> </w:t>
      </w:r>
      <w:r w:rsidR="00212C2D">
        <w:rPr>
          <w:rFonts w:cstheme="minorHAnsi"/>
        </w:rPr>
        <w:t>A recent</w:t>
      </w:r>
      <w:r w:rsidR="00193746" w:rsidRPr="003324B4">
        <w:rPr>
          <w:rFonts w:cstheme="minorHAnsi"/>
        </w:rPr>
        <w:t xml:space="preserve"> systematic review of the scientific literature showed that </w:t>
      </w:r>
      <w:r w:rsidR="00212C2D">
        <w:rPr>
          <w:rFonts w:cstheme="minorHAnsi"/>
        </w:rPr>
        <w:t xml:space="preserve">at household level </w:t>
      </w:r>
      <w:r w:rsidR="00193746" w:rsidRPr="003324B4">
        <w:rPr>
          <w:rFonts w:cstheme="minorHAnsi"/>
        </w:rPr>
        <w:t>many CSA technologies can reduce production risks by up to 48% compared with business-as-usual approaches, as well as increasing the economic benefits to farmers by up to 40% (Nowak et al., 2019). The farm-level profitability of adopting CSA practices can vary, however, depending on local context and factors such as the distance to markets and local income inequalities. But a consistent finding is that few farm-level activities produce large benefits when practiced in isolation</w:t>
      </w:r>
      <w:r w:rsidR="00523D48">
        <w:rPr>
          <w:rFonts w:cstheme="minorHAnsi"/>
        </w:rPr>
        <w:t xml:space="preserve"> </w:t>
      </w:r>
      <w:r w:rsidR="001C4496">
        <w:rPr>
          <w:rFonts w:cstheme="minorHAnsi"/>
        </w:rPr>
        <w:t xml:space="preserve">(Steward et al., 2019). </w:t>
      </w:r>
      <w:r w:rsidR="00193746" w:rsidRPr="003324B4">
        <w:rPr>
          <w:rFonts w:cstheme="minorHAnsi"/>
        </w:rPr>
        <w:t xml:space="preserve">There is extensive evidence that combinations of practices out-perform single practices across a variety of regions, agro-ecologies and socio-economic conditions (Khatri-Chhetri et al. 2016; </w:t>
      </w:r>
      <w:proofErr w:type="spellStart"/>
      <w:r w:rsidR="00193746" w:rsidRPr="003324B4">
        <w:rPr>
          <w:rFonts w:cstheme="minorHAnsi"/>
        </w:rPr>
        <w:t>Rigolot</w:t>
      </w:r>
      <w:proofErr w:type="spellEnd"/>
      <w:r w:rsidR="00193746" w:rsidRPr="003324B4">
        <w:rPr>
          <w:rFonts w:cstheme="minorHAnsi"/>
        </w:rPr>
        <w:t xml:space="preserve"> 2017; Henderson et al. 2018; Radeny et al. 2019). </w:t>
      </w:r>
      <w:r w:rsidR="001C4496">
        <w:rPr>
          <w:rFonts w:cstheme="minorHAnsi"/>
        </w:rPr>
        <w:t xml:space="preserve">Nowak </w:t>
      </w:r>
      <w:r w:rsidR="006A2654" w:rsidRPr="003324B4">
        <w:rPr>
          <w:rFonts w:cstheme="minorHAnsi"/>
        </w:rPr>
        <w:t>et al. (2020a) reviewed data from 27 peer-reviewed publications and calculated substantial economic benefits of CSA practices at the farm level, in terms of increases in gross margins per ha compared with conventional practices:</w:t>
      </w:r>
      <w:r w:rsidR="002C3CD6">
        <w:rPr>
          <w:rFonts w:cstheme="minorHAnsi"/>
        </w:rPr>
        <w:t xml:space="preserve"> </w:t>
      </w:r>
      <w:r w:rsidR="006A2654" w:rsidRPr="003324B4">
        <w:rPr>
          <w:rFonts w:cstheme="minorHAnsi"/>
        </w:rPr>
        <w:t>58%, 132%, 210% and 337% increases for agroforestry, soil management, crop management</w:t>
      </w:r>
      <w:r w:rsidR="00BF59C4">
        <w:rPr>
          <w:rFonts w:cstheme="minorHAnsi"/>
        </w:rPr>
        <w:t>,</w:t>
      </w:r>
      <w:r w:rsidR="006A2654" w:rsidRPr="003324B4">
        <w:rPr>
          <w:rFonts w:cstheme="minorHAnsi"/>
        </w:rPr>
        <w:t xml:space="preserve"> and nutrient management practices, respectively. Most of these practices result in lower risks for farmers. Similar analysis for Malawi indicates gross margin changes of +47% and +61% for soil management and nutrient management practices, respectively, though a small decrease (-3%) for agroforestry practices (</w:t>
      </w:r>
      <w:r w:rsidR="001C4496">
        <w:rPr>
          <w:rFonts w:cstheme="minorHAnsi"/>
        </w:rPr>
        <w:t xml:space="preserve">Nowak </w:t>
      </w:r>
      <w:r w:rsidR="006A2654" w:rsidRPr="003324B4">
        <w:rPr>
          <w:rFonts w:cstheme="minorHAnsi"/>
        </w:rPr>
        <w:t>et al., 2020b).</w:t>
      </w:r>
      <w:r w:rsidR="002C3CD6">
        <w:rPr>
          <w:rFonts w:cstheme="minorHAnsi"/>
        </w:rPr>
        <w:t xml:space="preserve"> </w:t>
      </w:r>
      <w:r w:rsidR="006C20D6" w:rsidRPr="003324B4">
        <w:rPr>
          <w:rFonts w:cstheme="minorHAnsi"/>
        </w:rPr>
        <w:t>Adoption of drought tolerant maize varieties increased maize yields by 13% and reduced yield variance by 53% in Nigeria (</w:t>
      </w:r>
      <w:proofErr w:type="spellStart"/>
      <w:r w:rsidR="006C20D6" w:rsidRPr="003324B4">
        <w:rPr>
          <w:rFonts w:cstheme="minorHAnsi"/>
        </w:rPr>
        <w:t>Wossen</w:t>
      </w:r>
      <w:proofErr w:type="spellEnd"/>
      <w:r w:rsidR="006C20D6" w:rsidRPr="003324B4">
        <w:rPr>
          <w:rFonts w:cstheme="minorHAnsi"/>
        </w:rPr>
        <w:t xml:space="preserve"> et al., 2017), and increased yields </w:t>
      </w:r>
      <w:r w:rsidR="00905E35">
        <w:rPr>
          <w:rFonts w:cstheme="minorHAnsi"/>
        </w:rPr>
        <w:t xml:space="preserve">by 150% </w:t>
      </w:r>
      <w:r w:rsidR="006C20D6" w:rsidRPr="003324B4">
        <w:rPr>
          <w:rFonts w:cstheme="minorHAnsi"/>
        </w:rPr>
        <w:t>in northern Ghana (</w:t>
      </w:r>
      <w:proofErr w:type="spellStart"/>
      <w:r w:rsidR="006C20D6" w:rsidRPr="003324B4">
        <w:rPr>
          <w:rFonts w:cstheme="minorHAnsi"/>
        </w:rPr>
        <w:t>Martey</w:t>
      </w:r>
      <w:proofErr w:type="spellEnd"/>
      <w:r w:rsidR="006C20D6" w:rsidRPr="003324B4">
        <w:rPr>
          <w:rFonts w:cstheme="minorHAnsi"/>
        </w:rPr>
        <w:t xml:space="preserve"> et al., 2020). </w:t>
      </w:r>
      <w:r w:rsidR="00410646">
        <w:rPr>
          <w:rFonts w:cstheme="minorHAnsi"/>
        </w:rPr>
        <w:t>The reasons for adoption and non-adoption of CSA practices at farm level are complex, and may relate to i</w:t>
      </w:r>
      <w:r w:rsidR="00FB04CA" w:rsidRPr="003324B4">
        <w:rPr>
          <w:rFonts w:cstheme="minorHAnsi"/>
        </w:rPr>
        <w:t>nformation availability, labo</w:t>
      </w:r>
      <w:r w:rsidR="001C4496">
        <w:rPr>
          <w:rFonts w:cstheme="minorHAnsi"/>
        </w:rPr>
        <w:t>u</w:t>
      </w:r>
      <w:r w:rsidR="00FB04CA" w:rsidRPr="003324B4">
        <w:rPr>
          <w:rFonts w:cstheme="minorHAnsi"/>
        </w:rPr>
        <w:t xml:space="preserve">r </w:t>
      </w:r>
      <w:r w:rsidR="00410646">
        <w:rPr>
          <w:rFonts w:cstheme="minorHAnsi"/>
        </w:rPr>
        <w:t xml:space="preserve">availability, </w:t>
      </w:r>
      <w:r w:rsidR="00FB04CA" w:rsidRPr="003324B4">
        <w:rPr>
          <w:rFonts w:cstheme="minorHAnsi"/>
        </w:rPr>
        <w:t>credit availability for purchases of inputs (</w:t>
      </w:r>
      <w:proofErr w:type="spellStart"/>
      <w:r w:rsidR="00FB04CA" w:rsidRPr="003324B4">
        <w:rPr>
          <w:rFonts w:cstheme="minorHAnsi"/>
        </w:rPr>
        <w:t>Ouédraogo</w:t>
      </w:r>
      <w:proofErr w:type="spellEnd"/>
      <w:r w:rsidR="00FB04CA" w:rsidRPr="003324B4">
        <w:rPr>
          <w:rFonts w:cstheme="minorHAnsi"/>
        </w:rPr>
        <w:t xml:space="preserve"> et al., 2019; </w:t>
      </w:r>
      <w:proofErr w:type="spellStart"/>
      <w:r w:rsidR="00FB04CA" w:rsidRPr="003324B4">
        <w:rPr>
          <w:rFonts w:cstheme="minorHAnsi"/>
        </w:rPr>
        <w:t>Diro</w:t>
      </w:r>
      <w:proofErr w:type="spellEnd"/>
      <w:r w:rsidR="00FB04CA" w:rsidRPr="003324B4">
        <w:rPr>
          <w:rFonts w:cstheme="minorHAnsi"/>
        </w:rPr>
        <w:t xml:space="preserve"> et al., 2019)</w:t>
      </w:r>
      <w:r w:rsidR="00410646">
        <w:rPr>
          <w:rFonts w:cstheme="minorHAnsi"/>
        </w:rPr>
        <w:t xml:space="preserve">, and other factors such as </w:t>
      </w:r>
      <w:r w:rsidR="00410646" w:rsidRPr="00410646">
        <w:rPr>
          <w:rFonts w:cstheme="minorHAnsi"/>
        </w:rPr>
        <w:t>wealth indicators and tenure security</w:t>
      </w:r>
      <w:r w:rsidR="00410646">
        <w:rPr>
          <w:rFonts w:cstheme="minorHAnsi"/>
        </w:rPr>
        <w:t xml:space="preserve"> (Arslan et al., 2020).</w:t>
      </w:r>
    </w:p>
    <w:p w14:paraId="3DE00DB1" w14:textId="77777777" w:rsidR="006C20D6" w:rsidRPr="003324B4" w:rsidRDefault="006C20D6" w:rsidP="003324B4">
      <w:pPr>
        <w:rPr>
          <w:rFonts w:cstheme="minorHAnsi"/>
        </w:rPr>
      </w:pPr>
    </w:p>
    <w:p w14:paraId="66FAD50B" w14:textId="144314C1" w:rsidR="00193746" w:rsidRDefault="005277A6" w:rsidP="003324B4">
      <w:pPr>
        <w:rPr>
          <w:rFonts w:cstheme="minorHAnsi"/>
        </w:rPr>
      </w:pPr>
      <w:r>
        <w:rPr>
          <w:rFonts w:cstheme="minorHAnsi"/>
        </w:rPr>
        <w:t>Beyond the large body of</w:t>
      </w:r>
      <w:r w:rsidR="003B1E18">
        <w:rPr>
          <w:rFonts w:cstheme="minorHAnsi"/>
        </w:rPr>
        <w:t xml:space="preserve"> </w:t>
      </w:r>
      <w:r>
        <w:rPr>
          <w:rFonts w:cstheme="minorHAnsi"/>
        </w:rPr>
        <w:t xml:space="preserve">farm-level </w:t>
      </w:r>
      <w:r w:rsidR="003B1E18">
        <w:rPr>
          <w:rFonts w:cstheme="minorHAnsi"/>
        </w:rPr>
        <w:t>evidence, s</w:t>
      </w:r>
      <w:r w:rsidR="00193746" w:rsidRPr="003324B4">
        <w:rPr>
          <w:rFonts w:cstheme="minorHAnsi"/>
        </w:rPr>
        <w:t xml:space="preserve">ubstantial benefits have been demonstrated </w:t>
      </w:r>
      <w:r w:rsidR="00C27000">
        <w:rPr>
          <w:rFonts w:cstheme="minorHAnsi"/>
        </w:rPr>
        <w:t xml:space="preserve">at national level </w:t>
      </w:r>
      <w:r w:rsidR="00193746" w:rsidRPr="003324B4">
        <w:rPr>
          <w:rFonts w:cstheme="minorHAnsi"/>
        </w:rPr>
        <w:t>as well. Adopting CSA on 25% of the area planted to maize and wheat in Ethiopia would increase annual gross domestic product (GDP) by 0.18% (US$49.8 million) and reduce the national poverty rate by 0.15 percentage points. Moreover, CSA would be more effective than doubling fertilizer use on the same area (</w:t>
      </w:r>
      <w:proofErr w:type="spellStart"/>
      <w:r w:rsidR="00193746" w:rsidRPr="003324B4">
        <w:rPr>
          <w:rFonts w:cstheme="minorHAnsi"/>
        </w:rPr>
        <w:t>Komarek</w:t>
      </w:r>
      <w:proofErr w:type="spellEnd"/>
      <w:r w:rsidR="00193746" w:rsidRPr="003324B4">
        <w:rPr>
          <w:rFonts w:cstheme="minorHAnsi"/>
        </w:rPr>
        <w:t xml:space="preserve"> et al. 2019).</w:t>
      </w:r>
    </w:p>
    <w:p w14:paraId="6C7FFC63" w14:textId="77777777" w:rsidR="00957835" w:rsidRPr="003324B4" w:rsidRDefault="00957835" w:rsidP="003324B4">
      <w:pPr>
        <w:rPr>
          <w:rFonts w:cstheme="minorHAnsi"/>
        </w:rPr>
      </w:pPr>
    </w:p>
    <w:p w14:paraId="36542147" w14:textId="0F545205" w:rsidR="004E3F71" w:rsidRPr="00A04AF8" w:rsidRDefault="002824C4" w:rsidP="00957835">
      <w:pPr>
        <w:rPr>
          <w:b/>
          <w:bCs/>
        </w:rPr>
      </w:pPr>
      <w:r>
        <w:rPr>
          <w:b/>
          <w:bCs/>
        </w:rPr>
        <w:t>2.2.  B</w:t>
      </w:r>
      <w:r w:rsidR="004E3F71" w:rsidRPr="00A04AF8">
        <w:rPr>
          <w:b/>
          <w:bCs/>
        </w:rPr>
        <w:t>enefits of use of CIS</w:t>
      </w:r>
    </w:p>
    <w:p w14:paraId="46F8A351" w14:textId="77777777" w:rsidR="00957835" w:rsidRDefault="00957835" w:rsidP="003324B4">
      <w:pPr>
        <w:rPr>
          <w:rFonts w:cstheme="minorHAnsi"/>
        </w:rPr>
      </w:pPr>
    </w:p>
    <w:p w14:paraId="0FD5B15E" w14:textId="620B5E08" w:rsidR="00193746" w:rsidRDefault="00DB6382" w:rsidP="003324B4">
      <w:pPr>
        <w:rPr>
          <w:rFonts w:cstheme="minorHAnsi"/>
        </w:rPr>
      </w:pPr>
      <w:r>
        <w:rPr>
          <w:rFonts w:cstheme="minorHAnsi"/>
        </w:rPr>
        <w:t>F</w:t>
      </w:r>
      <w:r w:rsidR="00193746" w:rsidRPr="003324B4">
        <w:rPr>
          <w:rFonts w:cstheme="minorHAnsi"/>
        </w:rPr>
        <w:t>armers</w:t>
      </w:r>
      <w:r>
        <w:rPr>
          <w:rFonts w:cstheme="minorHAnsi"/>
        </w:rPr>
        <w:t xml:space="preserve"> who make</w:t>
      </w:r>
      <w:r w:rsidR="00193746" w:rsidRPr="003324B4">
        <w:rPr>
          <w:rFonts w:cstheme="minorHAnsi"/>
        </w:rPr>
        <w:t xml:space="preserve"> use of CIS </w:t>
      </w:r>
      <w:r>
        <w:rPr>
          <w:rFonts w:cstheme="minorHAnsi"/>
        </w:rPr>
        <w:t>usually</w:t>
      </w:r>
      <w:r w:rsidR="00193746" w:rsidRPr="003324B4">
        <w:rPr>
          <w:rFonts w:cstheme="minorHAnsi"/>
        </w:rPr>
        <w:t xml:space="preserve"> </w:t>
      </w:r>
      <w:r>
        <w:rPr>
          <w:rFonts w:cstheme="minorHAnsi"/>
        </w:rPr>
        <w:t>realize benefits</w:t>
      </w:r>
      <w:r w:rsidR="00193746" w:rsidRPr="003324B4">
        <w:rPr>
          <w:rFonts w:cstheme="minorHAnsi"/>
        </w:rPr>
        <w:t xml:space="preserve">, although the evidence is less conclusive (Vaughan et al., 2019). Evidence on the benefits of using CIS comes in the form of productivity or income benefits elicited through surveys or workshops, willingness to pay studies, field trials, and model-based decision analysis. One economy-wide equilibrium modeling study estimated the GDP gain from widespread adoption of seasonal forecasts across Kenya, Malawi, Mozambique, Tanzania, and Zambia would average $113 million per year, with a disproportionate </w:t>
      </w:r>
      <w:r w:rsidR="000A3352">
        <w:rPr>
          <w:rFonts w:cstheme="minorHAnsi"/>
        </w:rPr>
        <w:t>share of the amount</w:t>
      </w:r>
      <w:r w:rsidR="00193746" w:rsidRPr="003324B4">
        <w:rPr>
          <w:rFonts w:cstheme="minorHAnsi"/>
        </w:rPr>
        <w:t xml:space="preserve"> going to poorer households (Rodrigues et al. 2016). A more recent analysis estimated a 5% gain in GDP resulting from widespread adoption of weather and climate services in Ethiopia (</w:t>
      </w:r>
      <w:proofErr w:type="spellStart"/>
      <w:r w:rsidR="00193746" w:rsidRPr="003324B4">
        <w:rPr>
          <w:rFonts w:cstheme="minorHAnsi"/>
        </w:rPr>
        <w:t>Beyene</w:t>
      </w:r>
      <w:proofErr w:type="spellEnd"/>
      <w:r w:rsidR="00193746" w:rsidRPr="003324B4">
        <w:rPr>
          <w:rFonts w:cstheme="minorHAnsi"/>
        </w:rPr>
        <w:t xml:space="preserve"> et al. 2020). </w:t>
      </w:r>
      <w:r w:rsidR="00841E48">
        <w:rPr>
          <w:rFonts w:cstheme="minorHAnsi"/>
        </w:rPr>
        <w:t xml:space="preserve">A </w:t>
      </w:r>
      <w:r w:rsidR="00193746" w:rsidRPr="003324B4">
        <w:rPr>
          <w:rFonts w:cstheme="minorHAnsi"/>
        </w:rPr>
        <w:t>CCAFS</w:t>
      </w:r>
      <w:r w:rsidR="00C10173">
        <w:rPr>
          <w:rFonts w:cstheme="minorHAnsi"/>
        </w:rPr>
        <w:t>-led</w:t>
      </w:r>
      <w:r w:rsidR="00193746" w:rsidRPr="003324B4">
        <w:rPr>
          <w:rFonts w:cstheme="minorHAnsi"/>
        </w:rPr>
        <w:t xml:space="preserve"> </w:t>
      </w:r>
      <w:r w:rsidR="00841E48">
        <w:rPr>
          <w:rFonts w:cstheme="minorHAnsi"/>
        </w:rPr>
        <w:t>initiative</w:t>
      </w:r>
      <w:r w:rsidR="00193746" w:rsidRPr="003324B4">
        <w:rPr>
          <w:rFonts w:cstheme="minorHAnsi"/>
        </w:rPr>
        <w:t xml:space="preserve"> in Rwanda has enabled more than 100,000 farmers to gain access to climate information services, through a combination of participatory processes (extension based, and radio </w:t>
      </w:r>
      <w:r w:rsidR="00193746" w:rsidRPr="003324B4">
        <w:rPr>
          <w:rFonts w:cstheme="minorHAnsi"/>
        </w:rPr>
        <w:lastRenderedPageBreak/>
        <w:t xml:space="preserve">listener programs). Relative to </w:t>
      </w:r>
      <w:r w:rsidR="00841E48">
        <w:rPr>
          <w:rFonts w:cstheme="minorHAnsi"/>
        </w:rPr>
        <w:t xml:space="preserve">a </w:t>
      </w:r>
      <w:r w:rsidR="00193746" w:rsidRPr="003324B4">
        <w:rPr>
          <w:rFonts w:cstheme="minorHAnsi"/>
        </w:rPr>
        <w:t xml:space="preserve">control population, farmers that adopted climate services </w:t>
      </w:r>
      <w:r w:rsidR="00622E97">
        <w:rPr>
          <w:rFonts w:cstheme="minorHAnsi"/>
        </w:rPr>
        <w:t>realized</w:t>
      </w:r>
      <w:r w:rsidR="00193746" w:rsidRPr="003324B4">
        <w:rPr>
          <w:rFonts w:cstheme="minorHAnsi"/>
        </w:rPr>
        <w:t xml:space="preserve"> productivity gains of 24% or higher, and income gains of 30% or higher (</w:t>
      </w:r>
      <w:proofErr w:type="spellStart"/>
      <w:r w:rsidR="00193746" w:rsidRPr="003324B4">
        <w:rPr>
          <w:rFonts w:cstheme="minorHAnsi"/>
        </w:rPr>
        <w:t>Birachi</w:t>
      </w:r>
      <w:proofErr w:type="spellEnd"/>
      <w:r w:rsidR="00193746" w:rsidRPr="003324B4">
        <w:rPr>
          <w:rFonts w:cstheme="minorHAnsi"/>
        </w:rPr>
        <w:t xml:space="preserve"> et al. 2020). In Senegal, CCAFS has </w:t>
      </w:r>
      <w:r w:rsidR="006B6970">
        <w:rPr>
          <w:rFonts w:cstheme="minorHAnsi"/>
        </w:rPr>
        <w:t>promoted uptake of</w:t>
      </w:r>
      <w:r w:rsidR="00193746" w:rsidRPr="003324B4">
        <w:rPr>
          <w:rFonts w:cstheme="minorHAnsi"/>
        </w:rPr>
        <w:t xml:space="preserve"> CIS </w:t>
      </w:r>
      <w:r w:rsidR="000D4FCF">
        <w:rPr>
          <w:rFonts w:cstheme="minorHAnsi"/>
        </w:rPr>
        <w:t>by providing</w:t>
      </w:r>
      <w:r w:rsidR="00193746" w:rsidRPr="003324B4">
        <w:rPr>
          <w:rFonts w:cstheme="minorHAnsi"/>
        </w:rPr>
        <w:t xml:space="preserve"> advisory services supported by operational climate information, including seasonal forecasts. Relative to </w:t>
      </w:r>
      <w:r w:rsidR="00BB14D2">
        <w:rPr>
          <w:rFonts w:cstheme="minorHAnsi"/>
        </w:rPr>
        <w:t xml:space="preserve">the </w:t>
      </w:r>
      <w:r w:rsidR="00193746" w:rsidRPr="003324B4">
        <w:rPr>
          <w:rFonts w:cstheme="minorHAnsi"/>
        </w:rPr>
        <w:t xml:space="preserve">control population, farmers </w:t>
      </w:r>
      <w:r w:rsidR="000D4FCF">
        <w:rPr>
          <w:rFonts w:cstheme="minorHAnsi"/>
        </w:rPr>
        <w:t>making use of</w:t>
      </w:r>
      <w:r w:rsidR="00193746" w:rsidRPr="003324B4">
        <w:rPr>
          <w:rFonts w:cstheme="minorHAnsi"/>
        </w:rPr>
        <w:t xml:space="preserve"> the climate </w:t>
      </w:r>
      <w:r w:rsidR="00E93CB5">
        <w:rPr>
          <w:rFonts w:cstheme="minorHAnsi"/>
        </w:rPr>
        <w:t xml:space="preserve">advisory </w:t>
      </w:r>
      <w:r w:rsidR="00193746" w:rsidRPr="003324B4">
        <w:rPr>
          <w:rFonts w:cstheme="minorHAnsi"/>
        </w:rPr>
        <w:t>service have realized up to 20% gains in income, deriving from improvements in land preparation, crop choice, planting and harvesting dates, and conservation decisions (</w:t>
      </w:r>
      <w:proofErr w:type="spellStart"/>
      <w:r w:rsidR="00193746" w:rsidRPr="003324B4">
        <w:rPr>
          <w:rFonts w:cstheme="minorHAnsi"/>
        </w:rPr>
        <w:t>Chiputwa</w:t>
      </w:r>
      <w:proofErr w:type="spellEnd"/>
      <w:r w:rsidR="00193746" w:rsidRPr="003324B4">
        <w:rPr>
          <w:rFonts w:cstheme="minorHAnsi"/>
        </w:rPr>
        <w:t xml:space="preserve"> et al.</w:t>
      </w:r>
      <w:r w:rsidR="00BB14D2">
        <w:rPr>
          <w:rFonts w:cstheme="minorHAnsi"/>
        </w:rPr>
        <w:t>,</w:t>
      </w:r>
      <w:r w:rsidR="00193746" w:rsidRPr="003324B4">
        <w:rPr>
          <w:rFonts w:cstheme="minorHAnsi"/>
        </w:rPr>
        <w:t xml:space="preserve"> 2020).</w:t>
      </w:r>
    </w:p>
    <w:p w14:paraId="69233C7C" w14:textId="77777777" w:rsidR="00957835" w:rsidRPr="003324B4" w:rsidRDefault="00957835" w:rsidP="003324B4">
      <w:pPr>
        <w:rPr>
          <w:rFonts w:cstheme="minorHAnsi"/>
        </w:rPr>
      </w:pPr>
    </w:p>
    <w:p w14:paraId="06A7C417" w14:textId="1528FB18" w:rsidR="00D20437" w:rsidRPr="00D20437" w:rsidRDefault="00A04AF8" w:rsidP="00957835">
      <w:pPr>
        <w:rPr>
          <w:b/>
          <w:bCs/>
        </w:rPr>
      </w:pPr>
      <w:r>
        <w:rPr>
          <w:b/>
          <w:bCs/>
        </w:rPr>
        <w:t xml:space="preserve">3. </w:t>
      </w:r>
      <w:r w:rsidR="00D20437" w:rsidRPr="00D20437">
        <w:rPr>
          <w:b/>
          <w:bCs/>
        </w:rPr>
        <w:t xml:space="preserve"> Economic analysis</w:t>
      </w:r>
    </w:p>
    <w:p w14:paraId="76312D9F" w14:textId="77777777" w:rsidR="00957835" w:rsidRDefault="00957835" w:rsidP="003324B4">
      <w:pPr>
        <w:rPr>
          <w:rFonts w:cstheme="minorHAnsi"/>
          <w:lang w:val="en-US"/>
        </w:rPr>
      </w:pPr>
    </w:p>
    <w:p w14:paraId="60A12389" w14:textId="5192910A" w:rsidR="00740CF8" w:rsidRPr="00957835" w:rsidRDefault="00740CF8" w:rsidP="00740CF8">
      <w:pPr>
        <w:rPr>
          <w:b/>
          <w:bCs/>
        </w:rPr>
      </w:pPr>
      <w:r>
        <w:rPr>
          <w:b/>
          <w:bCs/>
        </w:rPr>
        <w:t xml:space="preserve">3.1.  </w:t>
      </w:r>
      <w:r>
        <w:rPr>
          <w:b/>
          <w:bCs/>
        </w:rPr>
        <w:t>Methodology and data sources</w:t>
      </w:r>
    </w:p>
    <w:p w14:paraId="60A380B3" w14:textId="77777777" w:rsidR="00740CF8" w:rsidRDefault="00740CF8" w:rsidP="003324B4">
      <w:pPr>
        <w:rPr>
          <w:rFonts w:cstheme="minorHAnsi"/>
          <w:lang w:val="en-US"/>
        </w:rPr>
      </w:pPr>
    </w:p>
    <w:p w14:paraId="58228B35" w14:textId="02D4C45D" w:rsidR="00193746" w:rsidRDefault="009605CE" w:rsidP="003324B4">
      <w:pPr>
        <w:rPr>
          <w:rFonts w:cstheme="minorHAnsi"/>
          <w:color w:val="000000" w:themeColor="text1"/>
        </w:rPr>
      </w:pPr>
      <w:r>
        <w:rPr>
          <w:rFonts w:cstheme="minorHAnsi"/>
          <w:lang w:val="en-US"/>
        </w:rPr>
        <w:t>The i</w:t>
      </w:r>
      <w:r w:rsidR="00193746" w:rsidRPr="003324B4">
        <w:rPr>
          <w:rFonts w:cstheme="minorHAnsi"/>
          <w:lang w:val="en-US"/>
        </w:rPr>
        <w:t>ncreased</w:t>
      </w:r>
      <w:r w:rsidR="00193746" w:rsidRPr="003324B4">
        <w:rPr>
          <w:rFonts w:cstheme="minorHAnsi"/>
          <w:color w:val="000000" w:themeColor="text1"/>
        </w:rPr>
        <w:t xml:space="preserve"> productivity and enhanced climate resilience </w:t>
      </w:r>
      <w:r>
        <w:rPr>
          <w:rFonts w:cstheme="minorHAnsi"/>
          <w:color w:val="000000" w:themeColor="text1"/>
        </w:rPr>
        <w:t xml:space="preserve">expected to result from </w:t>
      </w:r>
      <w:r w:rsidR="00193746" w:rsidRPr="003324B4">
        <w:rPr>
          <w:rFonts w:cstheme="minorHAnsi"/>
          <w:color w:val="000000" w:themeColor="text1"/>
        </w:rPr>
        <w:t>AICCRA activities</w:t>
      </w:r>
      <w:r w:rsidR="001048C1">
        <w:rPr>
          <w:rFonts w:cstheme="minorHAnsi"/>
          <w:color w:val="000000" w:themeColor="text1"/>
        </w:rPr>
        <w:t xml:space="preserve"> (</w:t>
      </w:r>
      <w:r w:rsidR="009C7258">
        <w:rPr>
          <w:rFonts w:cstheme="minorHAnsi"/>
          <w:color w:val="000000" w:themeColor="text1"/>
        </w:rPr>
        <w:t xml:space="preserve">i.e., </w:t>
      </w:r>
      <w:r w:rsidR="00383EF2">
        <w:rPr>
          <w:rFonts w:cstheme="minorHAnsi"/>
          <w:color w:val="000000" w:themeColor="text1"/>
        </w:rPr>
        <w:t xml:space="preserve">resulting from </w:t>
      </w:r>
      <w:r w:rsidR="009C7258">
        <w:rPr>
          <w:rFonts w:cstheme="minorHAnsi"/>
          <w:color w:val="000000" w:themeColor="text1"/>
        </w:rPr>
        <w:t>greater use of CIS and more widespread adoption of CSA technologies)</w:t>
      </w:r>
      <w:r w:rsidR="00193746" w:rsidRPr="003324B4">
        <w:rPr>
          <w:rFonts w:cstheme="minorHAnsi"/>
          <w:color w:val="000000" w:themeColor="text1"/>
        </w:rPr>
        <w:t xml:space="preserve"> w</w:t>
      </w:r>
      <w:r w:rsidR="004630C8">
        <w:rPr>
          <w:rFonts w:cstheme="minorHAnsi"/>
          <w:color w:val="000000" w:themeColor="text1"/>
        </w:rPr>
        <w:t>ere</w:t>
      </w:r>
      <w:r w:rsidR="00193746" w:rsidRPr="003324B4">
        <w:rPr>
          <w:rFonts w:cstheme="minorHAnsi"/>
          <w:color w:val="000000" w:themeColor="text1"/>
        </w:rPr>
        <w:t xml:space="preserve"> </w:t>
      </w:r>
      <w:r>
        <w:rPr>
          <w:rFonts w:cstheme="minorHAnsi"/>
          <w:color w:val="000000" w:themeColor="text1"/>
        </w:rPr>
        <w:t>estimated</w:t>
      </w:r>
      <w:r w:rsidR="00193746" w:rsidRPr="003324B4">
        <w:rPr>
          <w:rFonts w:cstheme="minorHAnsi"/>
          <w:color w:val="000000" w:themeColor="text1"/>
        </w:rPr>
        <w:t xml:space="preserve"> as follows.</w:t>
      </w:r>
    </w:p>
    <w:p w14:paraId="613EE100" w14:textId="77777777" w:rsidR="003324B4" w:rsidRPr="003324B4" w:rsidRDefault="003324B4" w:rsidP="003324B4">
      <w:pPr>
        <w:rPr>
          <w:rFonts w:cstheme="minorHAnsi"/>
          <w:color w:val="000000" w:themeColor="text1"/>
        </w:rPr>
      </w:pPr>
    </w:p>
    <w:p w14:paraId="74097230" w14:textId="4F62BA71" w:rsidR="007D61F5" w:rsidRPr="003324B4" w:rsidRDefault="009E7875" w:rsidP="003324B4">
      <w:pPr>
        <w:rPr>
          <w:rFonts w:cstheme="minorHAnsi"/>
          <w:lang w:val="en-US"/>
        </w:rPr>
      </w:pPr>
      <w:r w:rsidRPr="003324B4">
        <w:rPr>
          <w:rFonts w:cstheme="minorHAnsi"/>
          <w:lang w:val="en-US"/>
        </w:rPr>
        <w:t xml:space="preserve">The six </w:t>
      </w:r>
      <w:r w:rsidR="00C72507" w:rsidRPr="003324B4">
        <w:rPr>
          <w:rFonts w:cstheme="minorHAnsi"/>
          <w:lang w:val="en-US"/>
        </w:rPr>
        <w:t xml:space="preserve">target countries </w:t>
      </w:r>
      <w:r w:rsidRPr="003324B4">
        <w:rPr>
          <w:rFonts w:cstheme="minorHAnsi"/>
          <w:lang w:val="en-US"/>
        </w:rPr>
        <w:t xml:space="preserve">and the regions </w:t>
      </w:r>
      <w:r w:rsidR="00344E6F">
        <w:rPr>
          <w:rFonts w:cstheme="minorHAnsi"/>
          <w:lang w:val="en-US"/>
        </w:rPr>
        <w:t>in which they are located</w:t>
      </w:r>
      <w:r w:rsidRPr="003324B4">
        <w:rPr>
          <w:rFonts w:cstheme="minorHAnsi"/>
          <w:lang w:val="en-US"/>
        </w:rPr>
        <w:t xml:space="preserve"> were stratified </w:t>
      </w:r>
      <w:r w:rsidR="006A7FAE">
        <w:rPr>
          <w:rFonts w:cstheme="minorHAnsi"/>
          <w:lang w:val="en-US"/>
        </w:rPr>
        <w:t>based on</w:t>
      </w:r>
      <w:r w:rsidR="00C72507" w:rsidRPr="003324B4">
        <w:rPr>
          <w:rFonts w:cstheme="minorHAnsi"/>
          <w:lang w:val="en-US"/>
        </w:rPr>
        <w:t xml:space="preserve"> </w:t>
      </w:r>
      <w:r w:rsidR="00890D77">
        <w:rPr>
          <w:rFonts w:cstheme="minorHAnsi"/>
          <w:lang w:val="en-US"/>
        </w:rPr>
        <w:t>AEZ</w:t>
      </w:r>
      <w:r w:rsidRPr="003324B4">
        <w:rPr>
          <w:rFonts w:cstheme="minorHAnsi"/>
          <w:lang w:val="en-US"/>
        </w:rPr>
        <w:t xml:space="preserve"> and </w:t>
      </w:r>
      <w:r w:rsidR="00890D77">
        <w:rPr>
          <w:rFonts w:cstheme="minorHAnsi"/>
          <w:lang w:val="en-US"/>
        </w:rPr>
        <w:t xml:space="preserve">prevailing </w:t>
      </w:r>
      <w:r w:rsidR="00C72507" w:rsidRPr="003324B4">
        <w:rPr>
          <w:rFonts w:cstheme="minorHAnsi"/>
          <w:lang w:val="en-US"/>
        </w:rPr>
        <w:t>production system</w:t>
      </w:r>
      <w:r w:rsidRPr="003324B4">
        <w:rPr>
          <w:rFonts w:cstheme="minorHAnsi"/>
          <w:lang w:val="en-US"/>
        </w:rPr>
        <w:t xml:space="preserve">. The classification of </w:t>
      </w:r>
      <w:proofErr w:type="spellStart"/>
      <w:r w:rsidRPr="003324B4">
        <w:rPr>
          <w:rFonts w:cstheme="minorHAnsi"/>
          <w:lang w:val="en-US"/>
        </w:rPr>
        <w:t>Ser</w:t>
      </w:r>
      <w:r w:rsidR="002D3B7B">
        <w:rPr>
          <w:rFonts w:cstheme="minorHAnsi"/>
          <w:lang w:val="en-US"/>
        </w:rPr>
        <w:t>é</w:t>
      </w:r>
      <w:proofErr w:type="spellEnd"/>
      <w:r w:rsidRPr="003324B4">
        <w:rPr>
          <w:rFonts w:cstheme="minorHAnsi"/>
          <w:lang w:val="en-US"/>
        </w:rPr>
        <w:t xml:space="preserve"> </w:t>
      </w:r>
      <w:r w:rsidR="006B22D7">
        <w:rPr>
          <w:rFonts w:cstheme="minorHAnsi"/>
          <w:lang w:val="en-US"/>
        </w:rPr>
        <w:t xml:space="preserve">and </w:t>
      </w:r>
      <w:r w:rsidRPr="003324B4">
        <w:rPr>
          <w:rFonts w:cstheme="minorHAnsi"/>
          <w:lang w:val="en-US"/>
        </w:rPr>
        <w:t xml:space="preserve">Steinfeld was used (FAO, 1996), as </w:t>
      </w:r>
      <w:r w:rsidR="00D22B86">
        <w:rPr>
          <w:rFonts w:cstheme="minorHAnsi"/>
          <w:lang w:val="en-US"/>
        </w:rPr>
        <w:t>described</w:t>
      </w:r>
      <w:r w:rsidRPr="003324B4">
        <w:rPr>
          <w:rFonts w:cstheme="minorHAnsi"/>
          <w:lang w:val="en-US"/>
        </w:rPr>
        <w:t xml:space="preserve"> in Robinson et al. (2011).</w:t>
      </w:r>
    </w:p>
    <w:p w14:paraId="01942DB7" w14:textId="77777777" w:rsidR="003324B4" w:rsidRDefault="003324B4" w:rsidP="003324B4">
      <w:pPr>
        <w:rPr>
          <w:rFonts w:cstheme="minorHAnsi"/>
          <w:lang w:val="en-US"/>
        </w:rPr>
      </w:pPr>
    </w:p>
    <w:p w14:paraId="008BD5DC" w14:textId="421928D1" w:rsidR="00A22803" w:rsidRDefault="009E7875" w:rsidP="00B97A0C">
      <w:pPr>
        <w:rPr>
          <w:rFonts w:cstheme="minorHAnsi"/>
          <w:lang w:val="en-US"/>
        </w:rPr>
      </w:pPr>
      <w:r w:rsidRPr="003324B4">
        <w:rPr>
          <w:rFonts w:cstheme="minorHAnsi"/>
          <w:lang w:val="en-US"/>
        </w:rPr>
        <w:t>Areas, human population numbers (</w:t>
      </w:r>
      <w:r w:rsidR="009220FA" w:rsidRPr="003324B4">
        <w:rPr>
          <w:rFonts w:cstheme="minorHAnsi"/>
          <w:lang w:val="en-US"/>
        </w:rPr>
        <w:t xml:space="preserve">from </w:t>
      </w:r>
      <w:r w:rsidRPr="003324B4">
        <w:rPr>
          <w:rFonts w:cstheme="minorHAnsi"/>
          <w:lang w:val="en-US"/>
        </w:rPr>
        <w:t xml:space="preserve">CIESIN, 2018), crop areas, production, yields and value of production </w:t>
      </w:r>
      <w:r w:rsidR="009220FA" w:rsidRPr="003324B4">
        <w:rPr>
          <w:rFonts w:cstheme="minorHAnsi"/>
          <w:lang w:val="en-US"/>
        </w:rPr>
        <w:t xml:space="preserve">(from </w:t>
      </w:r>
      <w:proofErr w:type="spellStart"/>
      <w:r w:rsidR="009220FA" w:rsidRPr="003324B4">
        <w:rPr>
          <w:rFonts w:cstheme="minorHAnsi"/>
          <w:lang w:val="en-US"/>
        </w:rPr>
        <w:t>HarvestChoice</w:t>
      </w:r>
      <w:proofErr w:type="spellEnd"/>
      <w:r w:rsidR="009220FA" w:rsidRPr="003324B4">
        <w:rPr>
          <w:rFonts w:cstheme="minorHAnsi"/>
          <w:lang w:val="en-US"/>
        </w:rPr>
        <w:t>, 2017)</w:t>
      </w:r>
      <w:r w:rsidR="003D13B8">
        <w:rPr>
          <w:rFonts w:cstheme="minorHAnsi"/>
          <w:lang w:val="en-US"/>
        </w:rPr>
        <w:t>,</w:t>
      </w:r>
      <w:r w:rsidR="009220FA" w:rsidRPr="003324B4">
        <w:rPr>
          <w:rFonts w:cstheme="minorHAnsi"/>
          <w:lang w:val="en-US"/>
        </w:rPr>
        <w:t xml:space="preserve"> </w:t>
      </w:r>
      <w:r w:rsidRPr="003324B4">
        <w:rPr>
          <w:rFonts w:cstheme="minorHAnsi"/>
          <w:lang w:val="en-US"/>
        </w:rPr>
        <w:t xml:space="preserve">and livestock </w:t>
      </w:r>
      <w:r w:rsidR="009220FA" w:rsidRPr="003324B4">
        <w:rPr>
          <w:rFonts w:cstheme="minorHAnsi"/>
          <w:lang w:val="en-US"/>
        </w:rPr>
        <w:t xml:space="preserve">numbers, production, and value of production (from Herrero et al., 2013) </w:t>
      </w:r>
      <w:r w:rsidRPr="003324B4">
        <w:rPr>
          <w:rFonts w:cstheme="minorHAnsi"/>
          <w:lang w:val="en-US"/>
        </w:rPr>
        <w:t xml:space="preserve">were </w:t>
      </w:r>
      <w:r w:rsidR="009220FA" w:rsidRPr="003324B4">
        <w:rPr>
          <w:rFonts w:cstheme="minorHAnsi"/>
          <w:lang w:val="en-US"/>
        </w:rPr>
        <w:t xml:space="preserve">calculated for </w:t>
      </w:r>
      <w:r w:rsidRPr="003324B4">
        <w:rPr>
          <w:rFonts w:cstheme="minorHAnsi"/>
          <w:lang w:val="en-US"/>
        </w:rPr>
        <w:t>all systems.</w:t>
      </w:r>
      <w:r w:rsidR="00E83F62">
        <w:rPr>
          <w:rFonts w:cstheme="minorHAnsi"/>
          <w:lang w:val="en-US"/>
        </w:rPr>
        <w:t xml:space="preserve"> </w:t>
      </w:r>
      <w:r w:rsidR="0040083F">
        <w:rPr>
          <w:rFonts w:cstheme="minorHAnsi"/>
          <w:lang w:val="en-US"/>
        </w:rPr>
        <w:t xml:space="preserve">For both crops and livestock products, the prices used in the </w:t>
      </w:r>
      <w:proofErr w:type="spellStart"/>
      <w:r w:rsidR="0040083F" w:rsidRPr="0040083F">
        <w:rPr>
          <w:rFonts w:cstheme="minorHAnsi"/>
          <w:lang w:val="en-US"/>
        </w:rPr>
        <w:t>HarvestChoice</w:t>
      </w:r>
      <w:proofErr w:type="spellEnd"/>
      <w:r w:rsidR="0040083F">
        <w:rPr>
          <w:rFonts w:cstheme="minorHAnsi"/>
          <w:lang w:val="en-US"/>
        </w:rPr>
        <w:t xml:space="preserve"> (2017) and the updated </w:t>
      </w:r>
      <w:r w:rsidR="0040083F" w:rsidRPr="0040083F">
        <w:rPr>
          <w:rFonts w:cstheme="minorHAnsi"/>
          <w:lang w:val="en-US"/>
        </w:rPr>
        <w:t xml:space="preserve">Herrero </w:t>
      </w:r>
      <w:r w:rsidR="0040083F">
        <w:rPr>
          <w:rFonts w:cstheme="minorHAnsi"/>
          <w:lang w:val="en-US"/>
        </w:rPr>
        <w:t xml:space="preserve">et al. (2013) data sets relate to 2005 international dollars. </w:t>
      </w:r>
      <w:r w:rsidR="009220FA" w:rsidRPr="003324B4">
        <w:rPr>
          <w:rFonts w:cstheme="minorHAnsi"/>
          <w:lang w:val="en-US"/>
        </w:rPr>
        <w:t xml:space="preserve">For crops, </w:t>
      </w:r>
      <w:r w:rsidR="00203FFA">
        <w:rPr>
          <w:rFonts w:cstheme="minorHAnsi"/>
          <w:lang w:val="en-US"/>
        </w:rPr>
        <w:t xml:space="preserve">combined </w:t>
      </w:r>
      <w:r w:rsidR="009220FA" w:rsidRPr="003324B4">
        <w:rPr>
          <w:rFonts w:cstheme="minorHAnsi"/>
          <w:lang w:val="en-US"/>
        </w:rPr>
        <w:t>total</w:t>
      </w:r>
      <w:r w:rsidR="00C10F64" w:rsidRPr="003324B4">
        <w:rPr>
          <w:rFonts w:cstheme="minorHAnsi"/>
          <w:lang w:val="en-US"/>
        </w:rPr>
        <w:t>s</w:t>
      </w:r>
      <w:r w:rsidR="009220FA" w:rsidRPr="003324B4">
        <w:rPr>
          <w:rFonts w:cstheme="minorHAnsi"/>
          <w:lang w:val="en-US"/>
        </w:rPr>
        <w:t xml:space="preserve"> were </w:t>
      </w:r>
      <w:r w:rsidR="00203FFA">
        <w:rPr>
          <w:rFonts w:cstheme="minorHAnsi"/>
          <w:lang w:val="en-US"/>
        </w:rPr>
        <w:t>calculated</w:t>
      </w:r>
      <w:r w:rsidR="009220FA" w:rsidRPr="003324B4">
        <w:rPr>
          <w:rFonts w:cstheme="minorHAnsi"/>
          <w:lang w:val="en-US"/>
        </w:rPr>
        <w:t xml:space="preserve"> for all food crops, and </w:t>
      </w:r>
      <w:r w:rsidR="00331911">
        <w:rPr>
          <w:rFonts w:cstheme="minorHAnsi"/>
          <w:lang w:val="en-US"/>
        </w:rPr>
        <w:t xml:space="preserve">separate totals were calculated </w:t>
      </w:r>
      <w:r w:rsidR="009220FA" w:rsidRPr="003324B4">
        <w:rPr>
          <w:rFonts w:cstheme="minorHAnsi"/>
          <w:lang w:val="en-US"/>
        </w:rPr>
        <w:t>for maize as a</w:t>
      </w:r>
      <w:r w:rsidR="00DF151B">
        <w:rPr>
          <w:rFonts w:cstheme="minorHAnsi"/>
          <w:lang w:val="en-US"/>
        </w:rPr>
        <w:t xml:space="preserve"> widely grown</w:t>
      </w:r>
      <w:r w:rsidR="009220FA" w:rsidRPr="003324B4">
        <w:rPr>
          <w:rFonts w:cstheme="minorHAnsi"/>
          <w:lang w:val="en-US"/>
        </w:rPr>
        <w:t xml:space="preserve"> indicator crop. </w:t>
      </w:r>
      <w:r w:rsidR="00246EBE">
        <w:rPr>
          <w:rFonts w:cstheme="minorHAnsi"/>
          <w:lang w:val="en-US"/>
        </w:rPr>
        <w:t xml:space="preserve">Maize </w:t>
      </w:r>
      <w:r w:rsidR="006D277B">
        <w:rPr>
          <w:rFonts w:cstheme="minorHAnsi"/>
          <w:lang w:val="en-US"/>
        </w:rPr>
        <w:t xml:space="preserve">was used </w:t>
      </w:r>
      <w:r w:rsidR="00246EBE">
        <w:rPr>
          <w:rFonts w:cstheme="minorHAnsi"/>
          <w:lang w:val="en-US"/>
        </w:rPr>
        <w:t xml:space="preserve">as </w:t>
      </w:r>
      <w:r w:rsidR="006D277B">
        <w:rPr>
          <w:rFonts w:cstheme="minorHAnsi"/>
          <w:lang w:val="en-US"/>
        </w:rPr>
        <w:t xml:space="preserve">an </w:t>
      </w:r>
      <w:r w:rsidR="00246EBE">
        <w:rPr>
          <w:rFonts w:cstheme="minorHAnsi"/>
          <w:lang w:val="en-US"/>
        </w:rPr>
        <w:t>indicator crop to provide indicative estimates of CSA benefits, rather than benefits from all food crops</w:t>
      </w:r>
      <w:r w:rsidR="00C20F2F">
        <w:rPr>
          <w:rFonts w:cstheme="minorHAnsi"/>
          <w:lang w:val="en-US"/>
        </w:rPr>
        <w:t xml:space="preserve">. Maize has several characteristics that make it a good indicator crop: it is sensitive to climate, </w:t>
      </w:r>
      <w:r w:rsidR="002B4163">
        <w:rPr>
          <w:rFonts w:cstheme="minorHAnsi"/>
          <w:lang w:val="en-US"/>
        </w:rPr>
        <w:t xml:space="preserve">and </w:t>
      </w:r>
      <w:r w:rsidR="00C20F2F">
        <w:rPr>
          <w:rFonts w:cstheme="minorHAnsi"/>
          <w:lang w:val="en-US"/>
        </w:rPr>
        <w:t xml:space="preserve">it is grown </w:t>
      </w:r>
      <w:r w:rsidR="00C20F2F" w:rsidRPr="00C20F2F">
        <w:rPr>
          <w:rFonts w:cstheme="minorHAnsi"/>
          <w:lang w:val="en-US"/>
        </w:rPr>
        <w:t xml:space="preserve">across a </w:t>
      </w:r>
      <w:r w:rsidR="00C20F2F">
        <w:rPr>
          <w:rFonts w:cstheme="minorHAnsi"/>
          <w:lang w:val="en-US"/>
        </w:rPr>
        <w:t xml:space="preserve">wide </w:t>
      </w:r>
      <w:r w:rsidR="00C20F2F" w:rsidRPr="00C20F2F">
        <w:rPr>
          <w:rFonts w:cstheme="minorHAnsi"/>
          <w:lang w:val="en-US"/>
        </w:rPr>
        <w:t>range of smallholder farm</w:t>
      </w:r>
      <w:r w:rsidR="00C20F2F">
        <w:rPr>
          <w:rFonts w:cstheme="minorHAnsi"/>
          <w:lang w:val="en-US"/>
        </w:rPr>
        <w:t xml:space="preserve"> types</w:t>
      </w:r>
      <w:r w:rsidR="002B4163">
        <w:rPr>
          <w:rFonts w:cstheme="minorHAnsi"/>
          <w:lang w:val="en-US"/>
        </w:rPr>
        <w:t xml:space="preserve">. It is also </w:t>
      </w:r>
      <w:r w:rsidR="00C20F2F" w:rsidRPr="00C20F2F">
        <w:rPr>
          <w:rFonts w:cstheme="minorHAnsi"/>
          <w:lang w:val="en-US"/>
        </w:rPr>
        <w:t>importan</w:t>
      </w:r>
      <w:r w:rsidR="002B4163">
        <w:rPr>
          <w:rFonts w:cstheme="minorHAnsi"/>
          <w:lang w:val="en-US"/>
        </w:rPr>
        <w:t>t for food and nutrition security: in the six AICCRA anchor countries, maize supplies on average 20% of daily calorie requirements (in Zambia, 42%) (FAOSTAT, 2020).</w:t>
      </w:r>
      <w:r w:rsidR="00E83F62">
        <w:rPr>
          <w:rFonts w:cstheme="minorHAnsi"/>
          <w:lang w:val="en-US"/>
        </w:rPr>
        <w:t xml:space="preserve"> </w:t>
      </w:r>
      <w:r w:rsidR="00246EBE">
        <w:rPr>
          <w:rFonts w:cstheme="minorHAnsi"/>
          <w:lang w:val="en-US"/>
        </w:rPr>
        <w:t xml:space="preserve">Maize was also used </w:t>
      </w:r>
      <w:r w:rsidR="001D2194">
        <w:rPr>
          <w:rFonts w:cstheme="minorHAnsi"/>
          <w:lang w:val="en-US"/>
        </w:rPr>
        <w:t xml:space="preserve">as the indicator crop </w:t>
      </w:r>
      <w:r w:rsidR="00246EBE">
        <w:rPr>
          <w:rFonts w:cstheme="minorHAnsi"/>
          <w:lang w:val="en-US"/>
        </w:rPr>
        <w:t xml:space="preserve">to estimate the benefits of avoided yield losses because of reduced climate variability. </w:t>
      </w:r>
      <w:r w:rsidR="006D277B">
        <w:rPr>
          <w:rFonts w:cstheme="minorHAnsi"/>
          <w:lang w:val="en-US"/>
        </w:rPr>
        <w:t xml:space="preserve">Depending on the country, maize accounts for between 8 and 34% of the total food-crop value of production (VOP). </w:t>
      </w:r>
      <w:r w:rsidR="009220FA" w:rsidRPr="003324B4">
        <w:rPr>
          <w:rFonts w:cstheme="minorHAnsi"/>
          <w:lang w:val="en-US"/>
        </w:rPr>
        <w:t xml:space="preserve">For livestock, </w:t>
      </w:r>
      <w:r w:rsidR="00C91F7A">
        <w:rPr>
          <w:rFonts w:cstheme="minorHAnsi"/>
          <w:lang w:val="en-US"/>
        </w:rPr>
        <w:t xml:space="preserve">cattle were used as the indicator species, </w:t>
      </w:r>
      <w:r w:rsidR="00D3573A">
        <w:rPr>
          <w:rFonts w:cstheme="minorHAnsi"/>
          <w:lang w:val="en-US"/>
        </w:rPr>
        <w:t xml:space="preserve">so productivity gains </w:t>
      </w:r>
      <w:r w:rsidR="0085527B">
        <w:rPr>
          <w:rFonts w:cstheme="minorHAnsi"/>
          <w:lang w:val="en-US"/>
        </w:rPr>
        <w:t xml:space="preserve">attributable to adoption of CSA technologies </w:t>
      </w:r>
      <w:r w:rsidR="00D3573A">
        <w:rPr>
          <w:rFonts w:cstheme="minorHAnsi"/>
          <w:lang w:val="en-US"/>
        </w:rPr>
        <w:t xml:space="preserve">were based on productivity gains </w:t>
      </w:r>
      <w:r w:rsidR="0085527B">
        <w:rPr>
          <w:rFonts w:cstheme="minorHAnsi"/>
          <w:lang w:val="en-US"/>
        </w:rPr>
        <w:t xml:space="preserve">that have been </w:t>
      </w:r>
      <w:r w:rsidR="00D3573A">
        <w:rPr>
          <w:rFonts w:cstheme="minorHAnsi"/>
          <w:lang w:val="en-US"/>
        </w:rPr>
        <w:t xml:space="preserve">observed in </w:t>
      </w:r>
      <w:r w:rsidR="009220FA" w:rsidRPr="003324B4">
        <w:rPr>
          <w:rFonts w:cstheme="minorHAnsi"/>
          <w:lang w:val="en-US"/>
        </w:rPr>
        <w:t>bovine meat and milk production.</w:t>
      </w:r>
      <w:r w:rsidR="00B97A0C">
        <w:rPr>
          <w:rFonts w:cstheme="minorHAnsi"/>
          <w:lang w:val="en-US"/>
        </w:rPr>
        <w:t xml:space="preserve"> These data were all for 2005, nominally. </w:t>
      </w:r>
    </w:p>
    <w:p w14:paraId="54F88F8F" w14:textId="77777777" w:rsidR="00A22803" w:rsidRDefault="00A22803" w:rsidP="00B97A0C">
      <w:pPr>
        <w:rPr>
          <w:rFonts w:cstheme="minorHAnsi"/>
          <w:lang w:val="en-US"/>
        </w:rPr>
      </w:pPr>
    </w:p>
    <w:p w14:paraId="0AA1FCF5" w14:textId="4CFBED68" w:rsidR="006E5C3E" w:rsidRDefault="003324B4" w:rsidP="00B97A0C">
      <w:pPr>
        <w:rPr>
          <w:rFonts w:cstheme="minorHAnsi"/>
          <w:lang w:val="en-US"/>
        </w:rPr>
      </w:pPr>
      <w:r w:rsidRPr="003324B4">
        <w:rPr>
          <w:rFonts w:cstheme="minorHAnsi"/>
          <w:lang w:val="en-US"/>
        </w:rPr>
        <w:t xml:space="preserve">This information was generated for the six target countries and </w:t>
      </w:r>
      <w:r w:rsidR="00A22803">
        <w:rPr>
          <w:rFonts w:cstheme="minorHAnsi"/>
          <w:lang w:val="en-US"/>
        </w:rPr>
        <w:t xml:space="preserve">for </w:t>
      </w:r>
      <w:r w:rsidRPr="003324B4">
        <w:rPr>
          <w:rFonts w:cstheme="minorHAnsi"/>
          <w:lang w:val="en-US"/>
        </w:rPr>
        <w:t>20 additional countries in the three regions</w:t>
      </w:r>
      <w:r w:rsidR="002D3B7B">
        <w:rPr>
          <w:rFonts w:cstheme="minorHAnsi"/>
          <w:lang w:val="en-US"/>
        </w:rPr>
        <w:t>, to make up the “extrapolation domain”</w:t>
      </w:r>
      <w:r w:rsidR="00884105">
        <w:rPr>
          <w:rFonts w:cstheme="minorHAnsi"/>
          <w:lang w:val="en-US"/>
        </w:rPr>
        <w:t xml:space="preserve"> including spillovers</w:t>
      </w:r>
      <w:r w:rsidR="002D3B7B">
        <w:rPr>
          <w:rFonts w:cstheme="minorHAnsi"/>
          <w:lang w:val="en-US"/>
        </w:rPr>
        <w:t xml:space="preserve">. </w:t>
      </w:r>
      <w:r w:rsidRPr="003324B4">
        <w:rPr>
          <w:rFonts w:cstheme="minorHAnsi"/>
          <w:lang w:val="en-US"/>
        </w:rPr>
        <w:t xml:space="preserve">For </w:t>
      </w:r>
      <w:r>
        <w:rPr>
          <w:rFonts w:cstheme="minorHAnsi"/>
          <w:lang w:val="en-US"/>
        </w:rPr>
        <w:t xml:space="preserve">all three regions, the mixed crop-livestock production system was used </w:t>
      </w:r>
      <w:r w:rsidR="002D3B7B">
        <w:rPr>
          <w:rFonts w:cstheme="minorHAnsi"/>
          <w:lang w:val="en-US"/>
        </w:rPr>
        <w:t xml:space="preserve">for </w:t>
      </w:r>
      <w:r>
        <w:rPr>
          <w:rFonts w:cstheme="minorHAnsi"/>
          <w:lang w:val="en-US"/>
        </w:rPr>
        <w:t>extrapolation.</w:t>
      </w:r>
      <w:r w:rsidR="00E83F62">
        <w:rPr>
          <w:rFonts w:cstheme="minorHAnsi"/>
          <w:lang w:val="en-US"/>
        </w:rPr>
        <w:t xml:space="preserve"> </w:t>
      </w:r>
      <w:r w:rsidR="00B869E8">
        <w:rPr>
          <w:rFonts w:cstheme="minorHAnsi"/>
          <w:lang w:val="en-US"/>
        </w:rPr>
        <w:t xml:space="preserve">In the </w:t>
      </w:r>
      <w:proofErr w:type="spellStart"/>
      <w:r w:rsidR="00B869E8" w:rsidRPr="00B869E8">
        <w:rPr>
          <w:rFonts w:cstheme="minorHAnsi"/>
          <w:lang w:val="en-US"/>
        </w:rPr>
        <w:t>Seré</w:t>
      </w:r>
      <w:proofErr w:type="spellEnd"/>
      <w:r w:rsidR="00B869E8" w:rsidRPr="00B869E8">
        <w:rPr>
          <w:rFonts w:cstheme="minorHAnsi"/>
          <w:lang w:val="en-US"/>
        </w:rPr>
        <w:t xml:space="preserve"> </w:t>
      </w:r>
      <w:r w:rsidR="00B869E8">
        <w:rPr>
          <w:rFonts w:cstheme="minorHAnsi"/>
          <w:lang w:val="en-US"/>
        </w:rPr>
        <w:t xml:space="preserve">and </w:t>
      </w:r>
      <w:r w:rsidR="00B869E8" w:rsidRPr="00B869E8">
        <w:rPr>
          <w:rFonts w:cstheme="minorHAnsi"/>
          <w:lang w:val="en-US"/>
        </w:rPr>
        <w:t xml:space="preserve">Steinfeld classification </w:t>
      </w:r>
      <w:r w:rsidR="00B869E8">
        <w:rPr>
          <w:rFonts w:cstheme="minorHAnsi"/>
          <w:lang w:val="en-US"/>
        </w:rPr>
        <w:t xml:space="preserve">(FAO, 1996), the mixed crop-livestock systems are broken down into rainfed (MR) and irrigated (MI). The rainfed and irrigated categories are each further broken down into three AEZs: arid-semiarid, defined as </w:t>
      </w:r>
      <w:r w:rsidR="00B869E8" w:rsidRPr="00B869E8">
        <w:rPr>
          <w:rFonts w:cstheme="minorHAnsi"/>
          <w:lang w:val="en-US"/>
        </w:rPr>
        <w:t xml:space="preserve">a length of growing period </w:t>
      </w:r>
      <w:r w:rsidR="00B869E8">
        <w:rPr>
          <w:rFonts w:cstheme="minorHAnsi"/>
          <w:lang w:val="en-US"/>
        </w:rPr>
        <w:t>(LGP) ≤</w:t>
      </w:r>
      <w:r w:rsidR="00B869E8" w:rsidRPr="00B869E8">
        <w:rPr>
          <w:rFonts w:cstheme="minorHAnsi"/>
          <w:lang w:val="en-US"/>
        </w:rPr>
        <w:t>180 days per year</w:t>
      </w:r>
      <w:r w:rsidR="00B869E8">
        <w:rPr>
          <w:rFonts w:cstheme="minorHAnsi"/>
          <w:lang w:val="en-US"/>
        </w:rPr>
        <w:t xml:space="preserve"> (MRA, MIA); humid-</w:t>
      </w:r>
      <w:proofErr w:type="spellStart"/>
      <w:r w:rsidR="00B869E8">
        <w:rPr>
          <w:rFonts w:cstheme="minorHAnsi"/>
          <w:lang w:val="en-US"/>
        </w:rPr>
        <w:t>subhumid</w:t>
      </w:r>
      <w:proofErr w:type="spellEnd"/>
      <w:r w:rsidR="00B869E8">
        <w:rPr>
          <w:rFonts w:cstheme="minorHAnsi"/>
          <w:lang w:val="en-US"/>
        </w:rPr>
        <w:t xml:space="preserve">, with LGP &gt;180 days per year (MRH, MIH); and tropical highland, defined as </w:t>
      </w:r>
      <w:r w:rsidR="00B869E8" w:rsidRPr="00B869E8">
        <w:rPr>
          <w:rFonts w:cstheme="minorHAnsi"/>
          <w:lang w:val="en-US"/>
        </w:rPr>
        <w:t>areas with a</w:t>
      </w:r>
      <w:r w:rsidR="00B869E8">
        <w:rPr>
          <w:rFonts w:cstheme="minorHAnsi"/>
          <w:lang w:val="en-US"/>
        </w:rPr>
        <w:t xml:space="preserve"> </w:t>
      </w:r>
      <w:r w:rsidR="00B869E8" w:rsidRPr="00B869E8">
        <w:rPr>
          <w:rFonts w:cstheme="minorHAnsi"/>
          <w:lang w:val="en-US"/>
        </w:rPr>
        <w:t>daily mean temperature during the growing</w:t>
      </w:r>
      <w:r w:rsidR="00B869E8">
        <w:rPr>
          <w:rFonts w:cstheme="minorHAnsi"/>
          <w:lang w:val="en-US"/>
        </w:rPr>
        <w:t xml:space="preserve"> </w:t>
      </w:r>
      <w:r w:rsidR="00B869E8" w:rsidRPr="00B869E8">
        <w:rPr>
          <w:rFonts w:cstheme="minorHAnsi"/>
          <w:lang w:val="en-US"/>
        </w:rPr>
        <w:t>period of 5</w:t>
      </w:r>
      <w:r w:rsidR="00B869E8">
        <w:rPr>
          <w:rFonts w:cstheme="minorHAnsi"/>
          <w:lang w:val="en-US"/>
        </w:rPr>
        <w:t>-20 °C (MRT, MIT). In West Africa, most of CCAFS’s work with climate-smart villages (CSVs) has been carried out in the drier mixed rainfed systems (MRA)</w:t>
      </w:r>
      <w:r w:rsidR="00FB214D">
        <w:rPr>
          <w:rFonts w:cstheme="minorHAnsi"/>
          <w:lang w:val="en-US"/>
        </w:rPr>
        <w:t>, and so for estimating regional spillovers in West Africa, the MRA system (and the small amounts of MIA system) was used as the extrapolation domain.</w:t>
      </w:r>
      <w:r w:rsidR="00E83F62">
        <w:rPr>
          <w:rFonts w:cstheme="minorHAnsi"/>
          <w:lang w:val="en-US"/>
        </w:rPr>
        <w:t xml:space="preserve"> </w:t>
      </w:r>
      <w:r w:rsidR="00FB214D">
        <w:rPr>
          <w:rFonts w:cstheme="minorHAnsi"/>
          <w:lang w:val="en-US"/>
        </w:rPr>
        <w:t>For Zambia, much of the cropland is located in the MRA and MIA (to a much lesser extent) systems, and so these systems were used for extrapolation purposes in the southern Africa region too. In most countries of both West and southern Africa, there are only small amounts of the MRT system.</w:t>
      </w:r>
      <w:r w:rsidR="00E83F62">
        <w:rPr>
          <w:rFonts w:cstheme="minorHAnsi"/>
          <w:lang w:val="en-US"/>
        </w:rPr>
        <w:t xml:space="preserve"> </w:t>
      </w:r>
      <w:r w:rsidR="00FB214D">
        <w:rPr>
          <w:rFonts w:cstheme="minorHAnsi"/>
          <w:lang w:val="en-US"/>
        </w:rPr>
        <w:t xml:space="preserve">For East Africa, CCAFS has been active across all mixed system types, so for the extrapolation domain for East Africa, the MRA, MRH and MRT systems were used (along with much smaller areas of MIA, MIH and MIT </w:t>
      </w:r>
      <w:r w:rsidR="00FB214D">
        <w:rPr>
          <w:rFonts w:cstheme="minorHAnsi"/>
          <w:lang w:val="en-US"/>
        </w:rPr>
        <w:lastRenderedPageBreak/>
        <w:t>systems).</w:t>
      </w:r>
      <w:r w:rsidR="00E83F62">
        <w:rPr>
          <w:rFonts w:cstheme="minorHAnsi"/>
          <w:lang w:val="en-US"/>
        </w:rPr>
        <w:t xml:space="preserve"> </w:t>
      </w:r>
      <w:r>
        <w:rPr>
          <w:rFonts w:cstheme="minorHAnsi"/>
          <w:lang w:val="en-US"/>
        </w:rPr>
        <w:t>All spatial v</w:t>
      </w:r>
      <w:r w:rsidRPr="003324B4">
        <w:rPr>
          <w:rFonts w:cstheme="minorHAnsi"/>
          <w:lang w:val="en-US"/>
        </w:rPr>
        <w:t xml:space="preserve">ariables </w:t>
      </w:r>
      <w:r>
        <w:rPr>
          <w:rFonts w:cstheme="minorHAnsi"/>
          <w:lang w:val="en-US"/>
        </w:rPr>
        <w:t xml:space="preserve">were standardized to grids of </w:t>
      </w:r>
      <w:r w:rsidRPr="003324B4">
        <w:rPr>
          <w:rFonts w:cstheme="minorHAnsi"/>
          <w:lang w:val="en-US"/>
        </w:rPr>
        <w:t>5 arcminut</w:t>
      </w:r>
      <w:r w:rsidR="00B97A0C">
        <w:rPr>
          <w:rFonts w:cstheme="minorHAnsi"/>
          <w:lang w:val="en-US"/>
        </w:rPr>
        <w:t>e resolution.</w:t>
      </w:r>
      <w:r w:rsidR="00E83F62">
        <w:rPr>
          <w:rFonts w:cstheme="minorHAnsi"/>
          <w:lang w:val="en-US"/>
        </w:rPr>
        <w:t xml:space="preserve"> </w:t>
      </w:r>
      <w:r w:rsidR="00FB214D">
        <w:rPr>
          <w:rFonts w:cstheme="minorHAnsi"/>
          <w:lang w:val="en-US"/>
        </w:rPr>
        <w:t xml:space="preserve">The extrapolation domains for each region </w:t>
      </w:r>
      <w:r w:rsidR="006E5C3E">
        <w:rPr>
          <w:rFonts w:cstheme="minorHAnsi"/>
          <w:lang w:val="en-US"/>
        </w:rPr>
        <w:t>are mapped in Figures 1, 2 and 3</w:t>
      </w:r>
      <w:r w:rsidR="004B7C60">
        <w:rPr>
          <w:rFonts w:cstheme="minorHAnsi"/>
          <w:lang w:val="en-US"/>
        </w:rPr>
        <w:t>. T</w:t>
      </w:r>
      <w:r w:rsidR="00FB214D">
        <w:rPr>
          <w:rFonts w:cstheme="minorHAnsi"/>
          <w:lang w:val="en-US"/>
        </w:rPr>
        <w:t>hese domains includ</w:t>
      </w:r>
      <w:r w:rsidR="004B7C60">
        <w:rPr>
          <w:rFonts w:cstheme="minorHAnsi"/>
          <w:lang w:val="en-US"/>
        </w:rPr>
        <w:t xml:space="preserve">e </w:t>
      </w:r>
      <w:r w:rsidR="00FB214D">
        <w:rPr>
          <w:rFonts w:cstheme="minorHAnsi"/>
          <w:lang w:val="en-US"/>
        </w:rPr>
        <w:t>the countries with significant areas of the mixed crop-livestock systems in the appropriate AEZs</w:t>
      </w:r>
      <w:r w:rsidR="004B7C60">
        <w:rPr>
          <w:rFonts w:cstheme="minorHAnsi"/>
          <w:lang w:val="en-US"/>
        </w:rPr>
        <w:t xml:space="preserve">, on the basis that CSA and CIS technologies that have been validated in </w:t>
      </w:r>
      <w:r w:rsidR="0075077E">
        <w:rPr>
          <w:rFonts w:cstheme="minorHAnsi"/>
          <w:lang w:val="en-US"/>
        </w:rPr>
        <w:t>particular AEZs in the target countries in each region may also have potential for being adopted in similar AEZs in other countries in the same region.</w:t>
      </w:r>
    </w:p>
    <w:p w14:paraId="77CF94C1" w14:textId="77777777" w:rsidR="00957835" w:rsidRDefault="00957835" w:rsidP="00AE3AB2">
      <w:pPr>
        <w:rPr>
          <w:rFonts w:cstheme="minorHAnsi"/>
          <w:lang w:val="en-US"/>
        </w:rPr>
      </w:pPr>
    </w:p>
    <w:p w14:paraId="5931044D" w14:textId="0C04C2A1" w:rsidR="00BB6F6B" w:rsidRPr="00957835" w:rsidRDefault="00A04AF8" w:rsidP="00957835">
      <w:pPr>
        <w:rPr>
          <w:b/>
          <w:bCs/>
        </w:rPr>
      </w:pPr>
      <w:r>
        <w:rPr>
          <w:b/>
          <w:bCs/>
        </w:rPr>
        <w:t xml:space="preserve">3.1.  </w:t>
      </w:r>
      <w:r w:rsidR="002D3B7B" w:rsidRPr="00A04AF8">
        <w:rPr>
          <w:b/>
          <w:bCs/>
        </w:rPr>
        <w:t>Direct benefits of CSA practices</w:t>
      </w:r>
      <w:r w:rsidR="004B1E20" w:rsidRPr="00A04AF8">
        <w:rPr>
          <w:b/>
          <w:bCs/>
        </w:rPr>
        <w:t xml:space="preserve"> via increased yields</w:t>
      </w:r>
      <w:bookmarkStart w:id="1" w:name="_Hlk45642224"/>
    </w:p>
    <w:p w14:paraId="6DE5FB3A" w14:textId="77777777" w:rsidR="00957835" w:rsidRDefault="00957835" w:rsidP="003324B4">
      <w:pPr>
        <w:rPr>
          <w:rFonts w:cstheme="minorHAnsi"/>
          <w:lang w:val="en-US"/>
        </w:rPr>
      </w:pPr>
    </w:p>
    <w:p w14:paraId="0294B9AA" w14:textId="39AC88FB" w:rsidR="001F44F8" w:rsidRDefault="002D3B7B" w:rsidP="003324B4">
      <w:pPr>
        <w:rPr>
          <w:rFonts w:cstheme="minorHAnsi"/>
          <w:lang w:val="en-US"/>
        </w:rPr>
      </w:pPr>
      <w:r>
        <w:rPr>
          <w:rFonts w:cstheme="minorHAnsi"/>
          <w:lang w:val="en-US"/>
        </w:rPr>
        <w:t>T</w:t>
      </w:r>
      <w:r w:rsidR="00B96BB4">
        <w:rPr>
          <w:rFonts w:cstheme="minorHAnsi"/>
          <w:lang w:val="en-US"/>
        </w:rPr>
        <w:t xml:space="preserve">able 1 shows the </w:t>
      </w:r>
      <w:r w:rsidR="000600E3">
        <w:rPr>
          <w:rFonts w:cstheme="minorHAnsi"/>
          <w:lang w:val="en-US"/>
        </w:rPr>
        <w:t xml:space="preserve">estimated </w:t>
      </w:r>
      <w:r>
        <w:rPr>
          <w:rFonts w:cstheme="minorHAnsi"/>
          <w:lang w:val="en-US"/>
        </w:rPr>
        <w:t>direct benefit</w:t>
      </w:r>
      <w:r w:rsidR="00EA0295">
        <w:rPr>
          <w:rFonts w:cstheme="minorHAnsi"/>
          <w:lang w:val="en-US"/>
        </w:rPr>
        <w:t>s</w:t>
      </w:r>
      <w:r>
        <w:rPr>
          <w:rFonts w:cstheme="minorHAnsi"/>
          <w:lang w:val="en-US"/>
        </w:rPr>
        <w:t xml:space="preserve"> of adoption of CSA practices in the six target countries</w:t>
      </w:r>
      <w:r w:rsidR="001F44F8">
        <w:rPr>
          <w:rFonts w:cstheme="minorHAnsi"/>
          <w:lang w:val="en-US"/>
        </w:rPr>
        <w:t xml:space="preserve">, </w:t>
      </w:r>
      <w:r w:rsidR="00D97A28">
        <w:rPr>
          <w:rFonts w:cstheme="minorHAnsi"/>
          <w:lang w:val="en-US"/>
        </w:rPr>
        <w:t xml:space="preserve">expressed </w:t>
      </w:r>
      <w:r w:rsidR="001F44F8">
        <w:rPr>
          <w:rFonts w:cstheme="minorHAnsi"/>
          <w:lang w:val="en-US"/>
        </w:rPr>
        <w:t xml:space="preserve">as the increase in value of production per year per percentage point increase in crop, meat and milk yield </w:t>
      </w:r>
      <w:r w:rsidR="00246EBE">
        <w:rPr>
          <w:rFonts w:cstheme="minorHAnsi"/>
          <w:lang w:val="en-US"/>
        </w:rPr>
        <w:t xml:space="preserve">– that is, </w:t>
      </w:r>
      <w:r w:rsidR="001F44F8">
        <w:rPr>
          <w:rFonts w:cstheme="minorHAnsi"/>
          <w:lang w:val="en-US"/>
        </w:rPr>
        <w:t>assuming adoption over all the maize area and all cattle in the target systems</w:t>
      </w:r>
      <w:r w:rsidR="00246EBE">
        <w:rPr>
          <w:rFonts w:cstheme="minorHAnsi"/>
          <w:lang w:val="en-US"/>
        </w:rPr>
        <w:t xml:space="preserve"> of a technology that increased production per ha or per animal by 1%.</w:t>
      </w:r>
      <w:bookmarkEnd w:id="1"/>
    </w:p>
    <w:p w14:paraId="73F28177" w14:textId="77777777" w:rsidR="001801A3" w:rsidRDefault="001801A3" w:rsidP="003324B4">
      <w:pPr>
        <w:rPr>
          <w:rFonts w:cstheme="minorHAnsi"/>
          <w:lang w:val="en-US"/>
        </w:rPr>
      </w:pPr>
    </w:p>
    <w:p w14:paraId="3443B65E" w14:textId="0DC0BB7E" w:rsidR="001F44F8" w:rsidRPr="00E10561" w:rsidRDefault="001F44F8" w:rsidP="007F6BEF">
      <w:pPr>
        <w:keepNext/>
      </w:pPr>
      <w:r w:rsidRPr="004F4953">
        <w:rPr>
          <w:b/>
          <w:bCs/>
        </w:rPr>
        <w:t>Table 1.</w:t>
      </w:r>
      <w:r w:rsidRPr="00E10561">
        <w:t xml:space="preserve"> Increases in value of production (2005 USD</w:t>
      </w:r>
      <w:r w:rsidR="006B7A9D" w:rsidRPr="00E10561">
        <w:t xml:space="preserve"> x 1000</w:t>
      </w:r>
      <w:r w:rsidRPr="00E10561">
        <w:t xml:space="preserve">) in food crops, maize, bovine meat and bovine milk for a 1% increase in yield </w:t>
      </w:r>
      <w:r w:rsidR="00355DB0" w:rsidRPr="00E10561">
        <w:t xml:space="preserve">throughout </w:t>
      </w:r>
      <w:r w:rsidR="00B04BAE" w:rsidRPr="00E10561">
        <w:t xml:space="preserve">the mixed crop-livestock systems </w:t>
      </w:r>
      <w:r w:rsidR="00C93F5D">
        <w:t xml:space="preserve">in </w:t>
      </w:r>
      <w:r w:rsidRPr="00E10561">
        <w:t>AICCRA target countries</w:t>
      </w:r>
    </w:p>
    <w:p w14:paraId="24B8163B" w14:textId="77777777" w:rsidR="001F44F8" w:rsidRDefault="001F44F8" w:rsidP="007F6BEF">
      <w:pPr>
        <w:keepNext/>
      </w:pP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7"/>
        <w:gridCol w:w="1288"/>
        <w:gridCol w:w="920"/>
        <w:gridCol w:w="1473"/>
        <w:gridCol w:w="1010"/>
        <w:gridCol w:w="1010"/>
        <w:gridCol w:w="1091"/>
        <w:gridCol w:w="957"/>
      </w:tblGrid>
      <w:tr w:rsidR="00B04BAE" w:rsidRPr="006B7A9D" w14:paraId="408B6923" w14:textId="72E738F9" w:rsidTr="00AE3AB2">
        <w:trPr>
          <w:jc w:val="center"/>
        </w:trPr>
        <w:tc>
          <w:tcPr>
            <w:tcW w:w="796" w:type="pct"/>
            <w:vAlign w:val="center"/>
          </w:tcPr>
          <w:p w14:paraId="47C80E7E" w14:textId="77777777"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3685" w:type="pct"/>
            <w:gridSpan w:val="6"/>
            <w:vAlign w:val="center"/>
          </w:tcPr>
          <w:p w14:paraId="74A6DD79" w14:textId="5405800A"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Country and systems included</w:t>
            </w:r>
          </w:p>
        </w:tc>
        <w:tc>
          <w:tcPr>
            <w:tcW w:w="519" w:type="pct"/>
            <w:vAlign w:val="center"/>
          </w:tcPr>
          <w:p w14:paraId="2B81A643" w14:textId="11BECF6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Total</w:t>
            </w:r>
          </w:p>
        </w:tc>
      </w:tr>
      <w:tr w:rsidR="009F150A" w:rsidRPr="006B7A9D" w14:paraId="6D96B3B3" w14:textId="27D43148" w:rsidTr="00AE3AB2">
        <w:trPr>
          <w:jc w:val="center"/>
        </w:trPr>
        <w:tc>
          <w:tcPr>
            <w:tcW w:w="796" w:type="pct"/>
            <w:vAlign w:val="center"/>
          </w:tcPr>
          <w:p w14:paraId="4FAFD17E" w14:textId="7D199B1F"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699" w:type="pct"/>
            <w:vAlign w:val="center"/>
          </w:tcPr>
          <w:p w14:paraId="7221090B" w14:textId="512102A5"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Ethiopia</w:t>
            </w:r>
          </w:p>
        </w:tc>
        <w:tc>
          <w:tcPr>
            <w:tcW w:w="499" w:type="pct"/>
            <w:vAlign w:val="center"/>
          </w:tcPr>
          <w:p w14:paraId="40D18BAA" w14:textId="3B91B5F3"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Ghana</w:t>
            </w:r>
          </w:p>
        </w:tc>
        <w:tc>
          <w:tcPr>
            <w:tcW w:w="799" w:type="pct"/>
            <w:vAlign w:val="center"/>
          </w:tcPr>
          <w:p w14:paraId="77750FD6" w14:textId="1A66EBB9"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Kenya</w:t>
            </w:r>
          </w:p>
        </w:tc>
        <w:tc>
          <w:tcPr>
            <w:tcW w:w="548" w:type="pct"/>
            <w:vAlign w:val="center"/>
          </w:tcPr>
          <w:p w14:paraId="60ED73EF" w14:textId="017C239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Mali</w:t>
            </w:r>
          </w:p>
        </w:tc>
        <w:tc>
          <w:tcPr>
            <w:tcW w:w="548" w:type="pct"/>
            <w:vAlign w:val="center"/>
          </w:tcPr>
          <w:p w14:paraId="08D9F6C2" w14:textId="4CDD996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Senegal</w:t>
            </w:r>
          </w:p>
        </w:tc>
        <w:tc>
          <w:tcPr>
            <w:tcW w:w="592" w:type="pct"/>
            <w:vAlign w:val="center"/>
          </w:tcPr>
          <w:p w14:paraId="108586F2" w14:textId="4A70F6ED"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Zambia</w:t>
            </w:r>
          </w:p>
        </w:tc>
        <w:tc>
          <w:tcPr>
            <w:tcW w:w="519" w:type="pct"/>
            <w:vAlign w:val="center"/>
          </w:tcPr>
          <w:p w14:paraId="127361F0" w14:textId="7777777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p>
        </w:tc>
      </w:tr>
      <w:tr w:rsidR="009F150A" w:rsidRPr="006B7A9D" w14:paraId="7EABD0C0" w14:textId="6F80F24D" w:rsidTr="00AE3AB2">
        <w:trPr>
          <w:jc w:val="center"/>
        </w:trPr>
        <w:tc>
          <w:tcPr>
            <w:tcW w:w="796" w:type="pct"/>
            <w:vAlign w:val="center"/>
          </w:tcPr>
          <w:p w14:paraId="7E316D1E" w14:textId="77777777" w:rsidR="00B04BAE" w:rsidRPr="007944E1" w:rsidRDefault="00B04BAE" w:rsidP="00BC5A07">
            <w:pPr>
              <w:keepNext/>
              <w:autoSpaceDE w:val="0"/>
              <w:autoSpaceDN w:val="0"/>
              <w:adjustRightInd w:val="0"/>
              <w:spacing w:before="60" w:after="60"/>
              <w:rPr>
                <w:rFonts w:cstheme="minorHAnsi"/>
                <w:b/>
                <w:bCs/>
                <w:color w:val="000000"/>
                <w:sz w:val="20"/>
                <w:szCs w:val="20"/>
              </w:rPr>
            </w:pPr>
          </w:p>
        </w:tc>
        <w:tc>
          <w:tcPr>
            <w:tcW w:w="699" w:type="pct"/>
            <w:vAlign w:val="center"/>
          </w:tcPr>
          <w:p w14:paraId="49340C56" w14:textId="42F1BF5A"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499" w:type="pct"/>
            <w:vAlign w:val="center"/>
          </w:tcPr>
          <w:p w14:paraId="6CCA2392" w14:textId="0E4A14E2"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799" w:type="pct"/>
            <w:vAlign w:val="center"/>
          </w:tcPr>
          <w:p w14:paraId="21C37A33" w14:textId="232D78B6"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548" w:type="pct"/>
            <w:vAlign w:val="center"/>
          </w:tcPr>
          <w:p w14:paraId="6333A834" w14:textId="57220150"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48" w:type="pct"/>
            <w:vAlign w:val="center"/>
          </w:tcPr>
          <w:p w14:paraId="4FC8BD23" w14:textId="4E994788"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92" w:type="pct"/>
            <w:vAlign w:val="center"/>
          </w:tcPr>
          <w:p w14:paraId="630CD748" w14:textId="695A14B4"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519" w:type="pct"/>
            <w:vAlign w:val="center"/>
          </w:tcPr>
          <w:p w14:paraId="40DC6411" w14:textId="77777777" w:rsidR="00B04BAE" w:rsidRPr="007944E1" w:rsidRDefault="00B04BAE" w:rsidP="00BC5A07">
            <w:pPr>
              <w:keepNext/>
              <w:autoSpaceDE w:val="0"/>
              <w:autoSpaceDN w:val="0"/>
              <w:adjustRightInd w:val="0"/>
              <w:spacing w:before="60" w:after="60"/>
              <w:jc w:val="center"/>
              <w:rPr>
                <w:rFonts w:cstheme="minorHAnsi"/>
                <w:b/>
                <w:bCs/>
                <w:color w:val="000000"/>
                <w:sz w:val="20"/>
                <w:szCs w:val="20"/>
              </w:rPr>
            </w:pPr>
          </w:p>
        </w:tc>
      </w:tr>
      <w:tr w:rsidR="009F150A" w:rsidRPr="006B7A9D" w14:paraId="536DE1D4" w14:textId="61F7AFD3" w:rsidTr="00AE3AB2">
        <w:trPr>
          <w:jc w:val="center"/>
        </w:trPr>
        <w:tc>
          <w:tcPr>
            <w:tcW w:w="796" w:type="pct"/>
            <w:vAlign w:val="center"/>
          </w:tcPr>
          <w:p w14:paraId="395C3D95" w14:textId="7967CC4E"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699" w:type="pct"/>
            <w:vAlign w:val="center"/>
          </w:tcPr>
          <w:p w14:paraId="4EE2A06A" w14:textId="05B91631"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 xml:space="preserve">4,834 </w:t>
            </w:r>
          </w:p>
        </w:tc>
        <w:tc>
          <w:tcPr>
            <w:tcW w:w="499" w:type="pct"/>
            <w:vAlign w:val="center"/>
          </w:tcPr>
          <w:p w14:paraId="736AA190" w14:textId="0F9E270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9</w:t>
            </w:r>
            <w:r w:rsidR="006B7A9D">
              <w:rPr>
                <w:rFonts w:ascii="Calibri" w:hAnsi="Calibri" w:cs="Calibri"/>
                <w:color w:val="000000"/>
                <w:sz w:val="20"/>
                <w:szCs w:val="20"/>
              </w:rPr>
              <w:t>8</w:t>
            </w:r>
          </w:p>
        </w:tc>
        <w:tc>
          <w:tcPr>
            <w:tcW w:w="799" w:type="pct"/>
            <w:vAlign w:val="center"/>
          </w:tcPr>
          <w:p w14:paraId="53A3AAB5" w14:textId="35D51A99" w:rsidR="00B04BAE" w:rsidRPr="006B7A9D" w:rsidRDefault="00B04BAE" w:rsidP="00AE3AB2">
            <w:pPr>
              <w:keepNext/>
              <w:spacing w:before="60" w:after="60"/>
              <w:ind w:right="72"/>
              <w:jc w:val="right"/>
              <w:rPr>
                <w:rFonts w:cstheme="minorHAnsi"/>
                <w:color w:val="000000"/>
                <w:sz w:val="20"/>
                <w:szCs w:val="20"/>
              </w:rPr>
            </w:pPr>
            <w:r w:rsidRPr="006B7A9D">
              <w:rPr>
                <w:rFonts w:ascii="Calibri" w:hAnsi="Calibri" w:cs="Calibri"/>
                <w:color w:val="000000"/>
                <w:sz w:val="20"/>
                <w:szCs w:val="20"/>
              </w:rPr>
              <w:t>3,52</w:t>
            </w:r>
            <w:r w:rsidR="006B7A9D">
              <w:rPr>
                <w:rFonts w:ascii="Calibri" w:hAnsi="Calibri" w:cs="Calibri"/>
                <w:color w:val="000000"/>
                <w:sz w:val="20"/>
                <w:szCs w:val="20"/>
              </w:rPr>
              <w:t>1</w:t>
            </w:r>
          </w:p>
        </w:tc>
        <w:tc>
          <w:tcPr>
            <w:tcW w:w="548" w:type="pct"/>
            <w:vAlign w:val="center"/>
          </w:tcPr>
          <w:p w14:paraId="48D8BDEA" w14:textId="36B3056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75</w:t>
            </w:r>
            <w:r w:rsidR="006B7A9D">
              <w:rPr>
                <w:rFonts w:ascii="Calibri" w:hAnsi="Calibri" w:cs="Calibri"/>
                <w:color w:val="000000"/>
                <w:sz w:val="20"/>
                <w:szCs w:val="20"/>
              </w:rPr>
              <w:t>8</w:t>
            </w:r>
          </w:p>
        </w:tc>
        <w:tc>
          <w:tcPr>
            <w:tcW w:w="548" w:type="pct"/>
            <w:vAlign w:val="center"/>
          </w:tcPr>
          <w:p w14:paraId="15FCE690" w14:textId="0070B4C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404</w:t>
            </w:r>
          </w:p>
        </w:tc>
        <w:tc>
          <w:tcPr>
            <w:tcW w:w="592" w:type="pct"/>
            <w:vAlign w:val="center"/>
          </w:tcPr>
          <w:p w14:paraId="3DFAA3E2" w14:textId="129BDCC2"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69</w:t>
            </w:r>
            <w:r w:rsidR="006B7A9D">
              <w:rPr>
                <w:rFonts w:ascii="Calibri" w:hAnsi="Calibri" w:cs="Calibri"/>
                <w:color w:val="000000"/>
                <w:sz w:val="20"/>
                <w:szCs w:val="20"/>
              </w:rPr>
              <w:t>1</w:t>
            </w:r>
          </w:p>
        </w:tc>
        <w:tc>
          <w:tcPr>
            <w:tcW w:w="519" w:type="pct"/>
            <w:vAlign w:val="center"/>
          </w:tcPr>
          <w:p w14:paraId="76210EB6" w14:textId="2E3977C4"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10,405</w:t>
            </w:r>
          </w:p>
        </w:tc>
      </w:tr>
      <w:tr w:rsidR="009F150A" w:rsidRPr="006B7A9D" w14:paraId="6079F0C8" w14:textId="6D3E4CE2" w:rsidTr="00AE3AB2">
        <w:trPr>
          <w:jc w:val="center"/>
        </w:trPr>
        <w:tc>
          <w:tcPr>
            <w:tcW w:w="796" w:type="pct"/>
            <w:vAlign w:val="center"/>
          </w:tcPr>
          <w:p w14:paraId="1939B23C" w14:textId="0D275F9E" w:rsidR="00B04BAE" w:rsidRPr="007944E1" w:rsidRDefault="007944E1" w:rsidP="00BC5A07">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Other f</w:t>
            </w:r>
            <w:r w:rsidR="00B04BAE" w:rsidRPr="007944E1">
              <w:rPr>
                <w:rFonts w:cstheme="minorHAnsi"/>
                <w:b/>
                <w:bCs/>
                <w:color w:val="000000"/>
                <w:sz w:val="20"/>
                <w:szCs w:val="20"/>
              </w:rPr>
              <w:t>ood crops</w:t>
            </w:r>
          </w:p>
        </w:tc>
        <w:tc>
          <w:tcPr>
            <w:tcW w:w="699" w:type="pct"/>
            <w:vAlign w:val="center"/>
          </w:tcPr>
          <w:p w14:paraId="593A0BBA" w14:textId="3165557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32,5</w:t>
            </w:r>
            <w:r w:rsidR="006B7A9D">
              <w:rPr>
                <w:rFonts w:ascii="Calibri" w:hAnsi="Calibri" w:cs="Calibri"/>
                <w:color w:val="000000"/>
                <w:sz w:val="20"/>
                <w:szCs w:val="20"/>
              </w:rPr>
              <w:t>50</w:t>
            </w:r>
            <w:r w:rsidR="00B04BAE" w:rsidRPr="006B7A9D">
              <w:rPr>
                <w:rFonts w:ascii="Calibri" w:hAnsi="Calibri" w:cs="Calibri"/>
                <w:color w:val="000000"/>
                <w:sz w:val="20"/>
                <w:szCs w:val="20"/>
              </w:rPr>
              <w:t xml:space="preserve"> </w:t>
            </w:r>
          </w:p>
        </w:tc>
        <w:tc>
          <w:tcPr>
            <w:tcW w:w="499" w:type="pct"/>
            <w:vAlign w:val="center"/>
          </w:tcPr>
          <w:p w14:paraId="104BFA8C" w14:textId="4D0BA88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4,63</w:t>
            </w:r>
            <w:r w:rsidR="006B7A9D">
              <w:rPr>
                <w:rFonts w:ascii="Calibri" w:hAnsi="Calibri" w:cs="Calibri"/>
                <w:color w:val="000000"/>
                <w:sz w:val="20"/>
                <w:szCs w:val="20"/>
              </w:rPr>
              <w:t>8</w:t>
            </w:r>
            <w:r w:rsidR="00B04BAE" w:rsidRPr="006B7A9D">
              <w:rPr>
                <w:rFonts w:ascii="Calibri" w:hAnsi="Calibri" w:cs="Calibri"/>
                <w:color w:val="000000"/>
                <w:sz w:val="20"/>
                <w:szCs w:val="20"/>
              </w:rPr>
              <w:t xml:space="preserve"> </w:t>
            </w:r>
          </w:p>
        </w:tc>
        <w:tc>
          <w:tcPr>
            <w:tcW w:w="799" w:type="pct"/>
            <w:vAlign w:val="center"/>
          </w:tcPr>
          <w:p w14:paraId="5EE41EE0" w14:textId="53B0846D" w:rsidR="00B04BAE" w:rsidRPr="006B7A9D" w:rsidRDefault="00B04BAE" w:rsidP="00AE3AB2">
            <w:pPr>
              <w:keepNext/>
              <w:spacing w:before="60" w:after="60"/>
              <w:ind w:right="72"/>
              <w:jc w:val="right"/>
              <w:rPr>
                <w:rFonts w:cstheme="minorHAnsi"/>
                <w:color w:val="000000"/>
                <w:sz w:val="20"/>
                <w:szCs w:val="20"/>
              </w:rPr>
            </w:pPr>
            <w:r w:rsidRPr="006B7A9D">
              <w:rPr>
                <w:rFonts w:ascii="Calibri" w:hAnsi="Calibri" w:cs="Calibri"/>
                <w:color w:val="000000"/>
                <w:sz w:val="20"/>
                <w:szCs w:val="20"/>
              </w:rPr>
              <w:t>13,43</w:t>
            </w:r>
            <w:r w:rsidR="006B7A9D">
              <w:rPr>
                <w:rFonts w:ascii="Calibri" w:hAnsi="Calibri" w:cs="Calibri"/>
                <w:color w:val="000000"/>
                <w:sz w:val="20"/>
                <w:szCs w:val="20"/>
              </w:rPr>
              <w:t>9</w:t>
            </w:r>
          </w:p>
        </w:tc>
        <w:tc>
          <w:tcPr>
            <w:tcW w:w="548" w:type="pct"/>
            <w:vAlign w:val="center"/>
          </w:tcPr>
          <w:p w14:paraId="7081697D" w14:textId="0F948B06"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7,9</w:t>
            </w:r>
            <w:r w:rsidR="006B7A9D">
              <w:rPr>
                <w:rFonts w:ascii="Calibri" w:hAnsi="Calibri" w:cs="Calibri"/>
                <w:color w:val="000000"/>
                <w:sz w:val="20"/>
                <w:szCs w:val="20"/>
              </w:rPr>
              <w:t>90</w:t>
            </w:r>
            <w:r w:rsidR="00B04BAE" w:rsidRPr="006B7A9D">
              <w:rPr>
                <w:rFonts w:ascii="Calibri" w:hAnsi="Calibri" w:cs="Calibri"/>
                <w:color w:val="000000"/>
                <w:sz w:val="20"/>
                <w:szCs w:val="20"/>
              </w:rPr>
              <w:t xml:space="preserve"> </w:t>
            </w:r>
          </w:p>
        </w:tc>
        <w:tc>
          <w:tcPr>
            <w:tcW w:w="548" w:type="pct"/>
            <w:vAlign w:val="center"/>
          </w:tcPr>
          <w:p w14:paraId="22E5FCC5" w14:textId="7ED4F8C3"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5,47</w:t>
            </w:r>
            <w:r w:rsidR="006B7A9D">
              <w:rPr>
                <w:rFonts w:ascii="Calibri" w:hAnsi="Calibri" w:cs="Calibri"/>
                <w:color w:val="000000"/>
                <w:sz w:val="20"/>
                <w:szCs w:val="20"/>
              </w:rPr>
              <w:t>4</w:t>
            </w:r>
          </w:p>
        </w:tc>
        <w:tc>
          <w:tcPr>
            <w:tcW w:w="592" w:type="pct"/>
            <w:vAlign w:val="center"/>
          </w:tcPr>
          <w:p w14:paraId="2FB8D2C1" w14:textId="4B585080"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1,09</w:t>
            </w:r>
            <w:r w:rsidR="006B7A9D">
              <w:rPr>
                <w:rFonts w:ascii="Calibri" w:hAnsi="Calibri" w:cs="Calibri"/>
                <w:color w:val="000000"/>
                <w:sz w:val="20"/>
                <w:szCs w:val="20"/>
              </w:rPr>
              <w:t>2</w:t>
            </w:r>
          </w:p>
        </w:tc>
        <w:tc>
          <w:tcPr>
            <w:tcW w:w="519" w:type="pct"/>
            <w:vAlign w:val="center"/>
          </w:tcPr>
          <w:p w14:paraId="0A18622E" w14:textId="72346C5F"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65,181</w:t>
            </w:r>
          </w:p>
        </w:tc>
      </w:tr>
      <w:tr w:rsidR="009F150A" w:rsidRPr="006B7A9D" w14:paraId="0366C87D" w14:textId="647B3DB9" w:rsidTr="00AE3AB2">
        <w:trPr>
          <w:jc w:val="center"/>
        </w:trPr>
        <w:tc>
          <w:tcPr>
            <w:tcW w:w="796" w:type="pct"/>
            <w:vAlign w:val="center"/>
          </w:tcPr>
          <w:p w14:paraId="2C1224F0" w14:textId="2797F19B"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699" w:type="pct"/>
            <w:vAlign w:val="center"/>
          </w:tcPr>
          <w:p w14:paraId="22B61E51" w14:textId="6CD27A5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9,59</w:t>
            </w:r>
            <w:r w:rsidR="006B7A9D">
              <w:rPr>
                <w:rFonts w:ascii="Calibri" w:hAnsi="Calibri" w:cs="Calibri"/>
                <w:color w:val="000000"/>
                <w:sz w:val="20"/>
                <w:szCs w:val="20"/>
              </w:rPr>
              <w:t>4</w:t>
            </w:r>
          </w:p>
        </w:tc>
        <w:tc>
          <w:tcPr>
            <w:tcW w:w="499" w:type="pct"/>
            <w:vAlign w:val="center"/>
          </w:tcPr>
          <w:p w14:paraId="5FCD9021" w14:textId="6C75079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11</w:t>
            </w:r>
            <w:r w:rsidR="006B7A9D">
              <w:rPr>
                <w:rFonts w:ascii="Calibri" w:hAnsi="Calibri" w:cs="Calibri"/>
                <w:color w:val="000000"/>
                <w:sz w:val="20"/>
                <w:szCs w:val="20"/>
              </w:rPr>
              <w:t>9</w:t>
            </w:r>
          </w:p>
        </w:tc>
        <w:tc>
          <w:tcPr>
            <w:tcW w:w="799" w:type="pct"/>
            <w:vAlign w:val="center"/>
          </w:tcPr>
          <w:p w14:paraId="13888767" w14:textId="5EBFD37C"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2,</w:t>
            </w:r>
            <w:r w:rsidR="006B7A9D">
              <w:rPr>
                <w:rFonts w:ascii="Calibri" w:hAnsi="Calibri" w:cs="Calibri"/>
                <w:color w:val="000000"/>
                <w:sz w:val="20"/>
                <w:szCs w:val="20"/>
              </w:rPr>
              <w:t>200</w:t>
            </w:r>
          </w:p>
        </w:tc>
        <w:tc>
          <w:tcPr>
            <w:tcW w:w="548" w:type="pct"/>
            <w:vAlign w:val="center"/>
          </w:tcPr>
          <w:p w14:paraId="77BF30D0" w14:textId="52424727"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792</w:t>
            </w:r>
          </w:p>
        </w:tc>
        <w:tc>
          <w:tcPr>
            <w:tcW w:w="548" w:type="pct"/>
            <w:vAlign w:val="center"/>
          </w:tcPr>
          <w:p w14:paraId="75545354" w14:textId="4692DADF"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54</w:t>
            </w:r>
            <w:r w:rsidR="006B7A9D">
              <w:rPr>
                <w:rFonts w:ascii="Calibri" w:hAnsi="Calibri" w:cs="Calibri"/>
                <w:color w:val="000000"/>
                <w:sz w:val="20"/>
                <w:szCs w:val="20"/>
              </w:rPr>
              <w:t>6</w:t>
            </w:r>
          </w:p>
        </w:tc>
        <w:tc>
          <w:tcPr>
            <w:tcW w:w="592" w:type="pct"/>
            <w:vAlign w:val="center"/>
          </w:tcPr>
          <w:p w14:paraId="7CC096D1" w14:textId="1615193E"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4</w:t>
            </w:r>
            <w:r w:rsidR="006B7A9D">
              <w:rPr>
                <w:rFonts w:ascii="Calibri" w:hAnsi="Calibri" w:cs="Calibri"/>
                <w:color w:val="000000"/>
                <w:sz w:val="20"/>
                <w:szCs w:val="20"/>
              </w:rPr>
              <w:t>4</w:t>
            </w:r>
          </w:p>
        </w:tc>
        <w:tc>
          <w:tcPr>
            <w:tcW w:w="519" w:type="pct"/>
            <w:vAlign w:val="center"/>
          </w:tcPr>
          <w:p w14:paraId="66FBD931" w14:textId="3FEA4D32"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13,294</w:t>
            </w:r>
          </w:p>
        </w:tc>
      </w:tr>
      <w:tr w:rsidR="009F150A" w:rsidRPr="006B7A9D" w14:paraId="247C1CE5" w14:textId="66C817B9" w:rsidTr="00AE3AB2">
        <w:trPr>
          <w:jc w:val="center"/>
        </w:trPr>
        <w:tc>
          <w:tcPr>
            <w:tcW w:w="796" w:type="pct"/>
            <w:vAlign w:val="center"/>
          </w:tcPr>
          <w:p w14:paraId="66CA02CE" w14:textId="232F9C59"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699" w:type="pct"/>
            <w:vAlign w:val="center"/>
          </w:tcPr>
          <w:p w14:paraId="3E780969" w14:textId="071E7FF3"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8,83</w:t>
            </w:r>
            <w:r w:rsidR="006B7A9D">
              <w:rPr>
                <w:rFonts w:ascii="Calibri" w:hAnsi="Calibri" w:cs="Calibri"/>
                <w:color w:val="000000"/>
                <w:sz w:val="20"/>
                <w:szCs w:val="20"/>
              </w:rPr>
              <w:t>4</w:t>
            </w:r>
          </w:p>
        </w:tc>
        <w:tc>
          <w:tcPr>
            <w:tcW w:w="499" w:type="pct"/>
            <w:vAlign w:val="center"/>
          </w:tcPr>
          <w:p w14:paraId="008F84C9" w14:textId="461AA1B8"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32</w:t>
            </w:r>
          </w:p>
        </w:tc>
        <w:tc>
          <w:tcPr>
            <w:tcW w:w="799" w:type="pct"/>
            <w:vAlign w:val="center"/>
          </w:tcPr>
          <w:p w14:paraId="50D80134" w14:textId="3318F01A"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2,11</w:t>
            </w:r>
            <w:r w:rsidR="006B7A9D">
              <w:rPr>
                <w:rFonts w:ascii="Calibri" w:hAnsi="Calibri" w:cs="Calibri"/>
                <w:color w:val="000000"/>
                <w:sz w:val="20"/>
                <w:szCs w:val="20"/>
              </w:rPr>
              <w:t>7</w:t>
            </w:r>
          </w:p>
        </w:tc>
        <w:tc>
          <w:tcPr>
            <w:tcW w:w="548" w:type="pct"/>
            <w:vAlign w:val="center"/>
          </w:tcPr>
          <w:p w14:paraId="09B30E9F" w14:textId="1CE7675B"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194</w:t>
            </w:r>
          </w:p>
        </w:tc>
        <w:tc>
          <w:tcPr>
            <w:tcW w:w="548" w:type="pct"/>
            <w:vAlign w:val="center"/>
          </w:tcPr>
          <w:p w14:paraId="08FB3E39" w14:textId="0AE36FBC"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13</w:t>
            </w:r>
            <w:r w:rsidR="006B7A9D">
              <w:rPr>
                <w:rFonts w:ascii="Calibri" w:hAnsi="Calibri" w:cs="Calibri"/>
                <w:color w:val="000000"/>
                <w:sz w:val="20"/>
                <w:szCs w:val="20"/>
              </w:rPr>
              <w:t>4</w:t>
            </w:r>
          </w:p>
        </w:tc>
        <w:tc>
          <w:tcPr>
            <w:tcW w:w="592" w:type="pct"/>
            <w:vAlign w:val="center"/>
          </w:tcPr>
          <w:p w14:paraId="35449E5D" w14:textId="427611BA" w:rsidR="00B04BAE" w:rsidRPr="006B7A9D" w:rsidRDefault="00E83F62" w:rsidP="00AE3AB2">
            <w:pPr>
              <w:keepNext/>
              <w:spacing w:before="60" w:after="60"/>
              <w:ind w:right="72"/>
              <w:jc w:val="right"/>
              <w:rPr>
                <w:rFonts w:cstheme="minorHAnsi"/>
                <w:color w:val="000000"/>
                <w:sz w:val="20"/>
                <w:szCs w:val="20"/>
              </w:rPr>
            </w:pPr>
            <w:r>
              <w:rPr>
                <w:rFonts w:ascii="Calibri" w:hAnsi="Calibri" w:cs="Calibri"/>
                <w:color w:val="000000"/>
                <w:sz w:val="20"/>
                <w:szCs w:val="20"/>
              </w:rPr>
              <w:t xml:space="preserve"> </w:t>
            </w:r>
            <w:r w:rsidR="00B04BAE" w:rsidRPr="006B7A9D">
              <w:rPr>
                <w:rFonts w:ascii="Calibri" w:hAnsi="Calibri" w:cs="Calibri"/>
                <w:color w:val="000000"/>
                <w:sz w:val="20"/>
                <w:szCs w:val="20"/>
              </w:rPr>
              <w:t>65</w:t>
            </w:r>
          </w:p>
        </w:tc>
        <w:tc>
          <w:tcPr>
            <w:tcW w:w="519" w:type="pct"/>
            <w:vAlign w:val="center"/>
          </w:tcPr>
          <w:p w14:paraId="2542F5C4" w14:textId="0A731B89" w:rsidR="00B04BAE" w:rsidRPr="006B7A9D"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11,37</w:t>
            </w:r>
            <w:r w:rsidR="006B7A9D">
              <w:rPr>
                <w:rFonts w:ascii="Calibri" w:hAnsi="Calibri" w:cs="Calibri"/>
                <w:color w:val="000000"/>
                <w:sz w:val="20"/>
                <w:szCs w:val="20"/>
              </w:rPr>
              <w:t>7</w:t>
            </w:r>
          </w:p>
        </w:tc>
      </w:tr>
      <w:tr w:rsidR="009F150A" w:rsidRPr="006B7A9D" w14:paraId="4D8396C1" w14:textId="14DB26B7" w:rsidTr="00AE3AB2">
        <w:trPr>
          <w:jc w:val="center"/>
        </w:trPr>
        <w:tc>
          <w:tcPr>
            <w:tcW w:w="796" w:type="pct"/>
            <w:vAlign w:val="center"/>
          </w:tcPr>
          <w:p w14:paraId="221BA8D6" w14:textId="0CBE9085" w:rsidR="00B04BAE" w:rsidRPr="007944E1" w:rsidRDefault="00B04BAE" w:rsidP="00BC5A07">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699" w:type="pct"/>
            <w:vAlign w:val="center"/>
          </w:tcPr>
          <w:p w14:paraId="165CF2CA" w14:textId="35AA328B"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55,81</w:t>
            </w:r>
            <w:r w:rsidR="006B7A9D">
              <w:rPr>
                <w:rFonts w:ascii="Calibri" w:hAnsi="Calibri" w:cstheme="minorHAnsi"/>
                <w:color w:val="000000"/>
                <w:sz w:val="20"/>
                <w:szCs w:val="20"/>
              </w:rPr>
              <w:t>3</w:t>
            </w:r>
          </w:p>
        </w:tc>
        <w:tc>
          <w:tcPr>
            <w:tcW w:w="499" w:type="pct"/>
            <w:vAlign w:val="center"/>
          </w:tcPr>
          <w:p w14:paraId="375B7808" w14:textId="3E503C2F"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4,986</w:t>
            </w:r>
          </w:p>
        </w:tc>
        <w:tc>
          <w:tcPr>
            <w:tcW w:w="799" w:type="pct"/>
            <w:vAlign w:val="center"/>
          </w:tcPr>
          <w:p w14:paraId="2BCE3E13" w14:textId="5AB3767F"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21,27</w:t>
            </w:r>
            <w:r w:rsidR="006B7A9D">
              <w:rPr>
                <w:rFonts w:ascii="Calibri" w:hAnsi="Calibri" w:cstheme="minorHAnsi"/>
                <w:color w:val="000000"/>
                <w:sz w:val="20"/>
                <w:szCs w:val="20"/>
              </w:rPr>
              <w:t>6</w:t>
            </w:r>
          </w:p>
        </w:tc>
        <w:tc>
          <w:tcPr>
            <w:tcW w:w="548" w:type="pct"/>
            <w:vAlign w:val="center"/>
          </w:tcPr>
          <w:p w14:paraId="22303586" w14:textId="0D9B59DB"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9,734</w:t>
            </w:r>
          </w:p>
        </w:tc>
        <w:tc>
          <w:tcPr>
            <w:tcW w:w="548" w:type="pct"/>
            <w:vAlign w:val="center"/>
          </w:tcPr>
          <w:p w14:paraId="62824DD8" w14:textId="3C2BFF40"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6,557</w:t>
            </w:r>
          </w:p>
        </w:tc>
        <w:tc>
          <w:tcPr>
            <w:tcW w:w="592" w:type="pct"/>
            <w:vAlign w:val="center"/>
          </w:tcPr>
          <w:p w14:paraId="2E820842" w14:textId="378457B6" w:rsidR="00B04BAE" w:rsidRPr="006B7A9D" w:rsidRDefault="00B04BAE" w:rsidP="00AE3AB2">
            <w:pPr>
              <w:keepNext/>
              <w:autoSpaceDE w:val="0"/>
              <w:autoSpaceDN w:val="0"/>
              <w:adjustRightInd w:val="0"/>
              <w:spacing w:before="60" w:after="60"/>
              <w:ind w:right="72"/>
              <w:jc w:val="right"/>
              <w:rPr>
                <w:rFonts w:cstheme="minorHAnsi"/>
                <w:color w:val="000000"/>
                <w:sz w:val="20"/>
                <w:szCs w:val="20"/>
              </w:rPr>
            </w:pPr>
            <w:r w:rsidRPr="006B7A9D">
              <w:rPr>
                <w:rFonts w:ascii="Calibri" w:hAnsi="Calibri" w:cstheme="minorHAnsi"/>
                <w:color w:val="000000"/>
                <w:sz w:val="20"/>
                <w:szCs w:val="20"/>
              </w:rPr>
              <w:t>1,89</w:t>
            </w:r>
            <w:r w:rsidR="006B7A9D">
              <w:rPr>
                <w:rFonts w:ascii="Calibri" w:hAnsi="Calibri" w:cstheme="minorHAnsi"/>
                <w:color w:val="000000"/>
                <w:sz w:val="20"/>
                <w:szCs w:val="20"/>
              </w:rPr>
              <w:t>1</w:t>
            </w:r>
          </w:p>
        </w:tc>
        <w:tc>
          <w:tcPr>
            <w:tcW w:w="519" w:type="pct"/>
            <w:vAlign w:val="center"/>
          </w:tcPr>
          <w:p w14:paraId="3668EB09" w14:textId="113EF17A" w:rsidR="00B04BAE" w:rsidRPr="00396440" w:rsidRDefault="00B04BAE" w:rsidP="00AE3AB2">
            <w:pPr>
              <w:keepNext/>
              <w:spacing w:before="60" w:after="60"/>
              <w:ind w:right="72"/>
              <w:jc w:val="right"/>
              <w:rPr>
                <w:rFonts w:ascii="Calibri" w:hAnsi="Calibri" w:cs="Calibri"/>
                <w:color w:val="000000"/>
                <w:sz w:val="20"/>
                <w:szCs w:val="20"/>
              </w:rPr>
            </w:pPr>
            <w:r w:rsidRPr="006B7A9D">
              <w:rPr>
                <w:rFonts w:ascii="Calibri" w:hAnsi="Calibri" w:cs="Calibri"/>
                <w:color w:val="000000"/>
                <w:sz w:val="20"/>
                <w:szCs w:val="20"/>
              </w:rPr>
              <w:t>100,25</w:t>
            </w:r>
            <w:r w:rsidR="006B7A9D">
              <w:rPr>
                <w:rFonts w:ascii="Calibri" w:hAnsi="Calibri" w:cs="Calibri"/>
                <w:color w:val="000000"/>
                <w:sz w:val="20"/>
                <w:szCs w:val="20"/>
              </w:rPr>
              <w:t>8</w:t>
            </w:r>
          </w:p>
        </w:tc>
      </w:tr>
    </w:tbl>
    <w:p w14:paraId="5E6B514C" w14:textId="77777777" w:rsidR="001F44F8" w:rsidRDefault="001F44F8" w:rsidP="007F6BEF">
      <w:pPr>
        <w:keepNext/>
      </w:pPr>
    </w:p>
    <w:p w14:paraId="2404E993" w14:textId="436A0D78" w:rsidR="007944E1" w:rsidRPr="007944E1" w:rsidRDefault="007944E1" w:rsidP="007F6BEF">
      <w:pPr>
        <w:keepNext/>
        <w:rPr>
          <w:rFonts w:cstheme="minorHAnsi"/>
          <w:sz w:val="18"/>
          <w:szCs w:val="18"/>
          <w:lang w:val="en-US"/>
        </w:rPr>
      </w:pPr>
      <w:r w:rsidRPr="007944E1">
        <w:rPr>
          <w:rFonts w:cstheme="minorHAnsi"/>
          <w:sz w:val="18"/>
          <w:szCs w:val="18"/>
          <w:lang w:val="en-US"/>
        </w:rPr>
        <w:t xml:space="preserve">Systems </w:t>
      </w:r>
      <w:r w:rsidR="00F03D9E">
        <w:rPr>
          <w:rFonts w:cstheme="minorHAnsi"/>
          <w:sz w:val="18"/>
          <w:szCs w:val="18"/>
          <w:lang w:val="en-US"/>
        </w:rPr>
        <w:t xml:space="preserve">based on </w:t>
      </w:r>
      <w:r w:rsidRPr="007944E1">
        <w:rPr>
          <w:rFonts w:cstheme="minorHAnsi"/>
          <w:sz w:val="18"/>
          <w:szCs w:val="18"/>
          <w:lang w:val="en-US"/>
        </w:rPr>
        <w:t>Robinson et al</w:t>
      </w:r>
      <w:r w:rsidR="00F03D9E">
        <w:rPr>
          <w:rFonts w:cstheme="minorHAnsi"/>
          <w:sz w:val="18"/>
          <w:szCs w:val="18"/>
          <w:lang w:val="en-US"/>
        </w:rPr>
        <w:t>.</w:t>
      </w:r>
      <w:r w:rsidRPr="007944E1">
        <w:rPr>
          <w:rFonts w:cstheme="minorHAnsi"/>
          <w:sz w:val="18"/>
          <w:szCs w:val="18"/>
          <w:lang w:val="en-US"/>
        </w:rPr>
        <w:t xml:space="preserve"> </w:t>
      </w:r>
      <w:r w:rsidR="00F03D9E">
        <w:rPr>
          <w:rFonts w:cstheme="minorHAnsi"/>
          <w:sz w:val="18"/>
          <w:szCs w:val="18"/>
          <w:lang w:val="en-US"/>
        </w:rPr>
        <w:t>(</w:t>
      </w:r>
      <w:r w:rsidRPr="007944E1">
        <w:rPr>
          <w:rFonts w:cstheme="minorHAnsi"/>
          <w:sz w:val="18"/>
          <w:szCs w:val="18"/>
          <w:lang w:val="en-US"/>
        </w:rPr>
        <w:t>2011): MR</w:t>
      </w:r>
      <w:r w:rsidR="00D97A28">
        <w:rPr>
          <w:rFonts w:cstheme="minorHAnsi"/>
          <w:sz w:val="18"/>
          <w:szCs w:val="18"/>
          <w:lang w:val="en-US"/>
        </w:rPr>
        <w:t xml:space="preserve"> =</w:t>
      </w:r>
      <w:r w:rsidRPr="007944E1">
        <w:rPr>
          <w:rFonts w:cstheme="minorHAnsi"/>
          <w:sz w:val="18"/>
          <w:szCs w:val="18"/>
          <w:lang w:val="en-US"/>
        </w:rPr>
        <w:t xml:space="preserve"> mixed rainfed; MI</w:t>
      </w:r>
      <w:r w:rsidR="00D97A28">
        <w:rPr>
          <w:rFonts w:cstheme="minorHAnsi"/>
          <w:sz w:val="18"/>
          <w:szCs w:val="18"/>
          <w:lang w:val="en-US"/>
        </w:rPr>
        <w:t xml:space="preserve"> =</w:t>
      </w:r>
      <w:r w:rsidRPr="007944E1">
        <w:rPr>
          <w:rFonts w:cstheme="minorHAnsi"/>
          <w:sz w:val="18"/>
          <w:szCs w:val="18"/>
          <w:lang w:val="en-US"/>
        </w:rPr>
        <w:t xml:space="preserve"> mixed irrigated; A</w:t>
      </w:r>
      <w:r w:rsidR="00D97A28">
        <w:rPr>
          <w:rFonts w:cstheme="minorHAnsi"/>
          <w:sz w:val="18"/>
          <w:szCs w:val="18"/>
          <w:lang w:val="en-US"/>
        </w:rPr>
        <w:t xml:space="preserve"> =</w:t>
      </w:r>
      <w:r w:rsidRPr="007944E1">
        <w:rPr>
          <w:rFonts w:cstheme="minorHAnsi"/>
          <w:sz w:val="18"/>
          <w:szCs w:val="18"/>
          <w:lang w:val="en-US"/>
        </w:rPr>
        <w:t xml:space="preserve"> arid-semiarid; H</w:t>
      </w:r>
      <w:r w:rsidR="00A660D2">
        <w:rPr>
          <w:rFonts w:cstheme="minorHAnsi"/>
          <w:sz w:val="18"/>
          <w:szCs w:val="18"/>
          <w:lang w:val="en-US"/>
        </w:rPr>
        <w:t xml:space="preserve"> =</w:t>
      </w:r>
      <w:r w:rsidRPr="007944E1">
        <w:rPr>
          <w:rFonts w:cstheme="minorHAnsi"/>
          <w:sz w:val="18"/>
          <w:szCs w:val="18"/>
          <w:lang w:val="en-US"/>
        </w:rPr>
        <w:t xml:space="preserve"> humid-</w:t>
      </w:r>
      <w:proofErr w:type="spellStart"/>
      <w:r w:rsidRPr="007944E1">
        <w:rPr>
          <w:rFonts w:cstheme="minorHAnsi"/>
          <w:sz w:val="18"/>
          <w:szCs w:val="18"/>
          <w:lang w:val="en-US"/>
        </w:rPr>
        <w:t>subhumid</w:t>
      </w:r>
      <w:proofErr w:type="spellEnd"/>
      <w:r w:rsidRPr="007944E1">
        <w:rPr>
          <w:rFonts w:cstheme="minorHAnsi"/>
          <w:sz w:val="18"/>
          <w:szCs w:val="18"/>
          <w:lang w:val="en-US"/>
        </w:rPr>
        <w:t>; T</w:t>
      </w:r>
      <w:r w:rsidR="00A660D2">
        <w:rPr>
          <w:rFonts w:cstheme="minorHAnsi"/>
          <w:sz w:val="18"/>
          <w:szCs w:val="18"/>
          <w:lang w:val="en-US"/>
        </w:rPr>
        <w:t xml:space="preserve"> =</w:t>
      </w:r>
      <w:r w:rsidRPr="007944E1">
        <w:rPr>
          <w:rFonts w:cstheme="minorHAnsi"/>
          <w:sz w:val="18"/>
          <w:szCs w:val="18"/>
          <w:lang w:val="en-US"/>
        </w:rPr>
        <w:t xml:space="preserve"> tropical highland</w:t>
      </w:r>
      <w:r w:rsidR="00A660D2">
        <w:rPr>
          <w:rFonts w:cstheme="minorHAnsi"/>
          <w:sz w:val="18"/>
          <w:szCs w:val="18"/>
          <w:lang w:val="en-US"/>
        </w:rPr>
        <w:t>.</w:t>
      </w:r>
    </w:p>
    <w:p w14:paraId="624FD278" w14:textId="77777777" w:rsidR="007944E1" w:rsidRPr="007944E1" w:rsidRDefault="007944E1" w:rsidP="003324B4">
      <w:pPr>
        <w:rPr>
          <w:rFonts w:cstheme="minorHAnsi"/>
          <w:sz w:val="18"/>
          <w:szCs w:val="18"/>
          <w:lang w:val="en-US"/>
        </w:rPr>
      </w:pPr>
    </w:p>
    <w:p w14:paraId="1B76AE34" w14:textId="77777777" w:rsidR="00CC7C19" w:rsidRDefault="00CC7C19" w:rsidP="00CC7C19">
      <w:pPr>
        <w:rPr>
          <w:b/>
          <w:bCs/>
        </w:rPr>
      </w:pPr>
    </w:p>
    <w:p w14:paraId="42CD3ABD" w14:textId="387916D0" w:rsidR="007A2429" w:rsidRDefault="007A2429" w:rsidP="007A2429">
      <w:pPr>
        <w:rPr>
          <w:rFonts w:cstheme="minorHAnsi"/>
          <w:lang w:val="en-US"/>
        </w:rPr>
      </w:pPr>
      <w:r>
        <w:rPr>
          <w:rFonts w:cstheme="minorHAnsi"/>
          <w:lang w:val="en-US"/>
        </w:rPr>
        <w:t xml:space="preserve">Table 2 converts the </w:t>
      </w:r>
      <w:r w:rsidRPr="007A2429">
        <w:rPr>
          <w:rFonts w:cstheme="minorHAnsi"/>
          <w:lang w:val="en-US"/>
        </w:rPr>
        <w:t xml:space="preserve">benefits in Table 1 to </w:t>
      </w:r>
      <w:r w:rsidR="00BF7DBC">
        <w:rPr>
          <w:rFonts w:cstheme="minorHAnsi"/>
          <w:lang w:val="en-US"/>
        </w:rPr>
        <w:t xml:space="preserve">a range of plausible </w:t>
      </w:r>
      <w:r w:rsidRPr="007A2429">
        <w:rPr>
          <w:rFonts w:cstheme="minorHAnsi"/>
          <w:lang w:val="en-US"/>
        </w:rPr>
        <w:t xml:space="preserve">adoption </w:t>
      </w:r>
      <w:r w:rsidR="00BF7DBC">
        <w:rPr>
          <w:rFonts w:cstheme="minorHAnsi"/>
          <w:lang w:val="en-US"/>
        </w:rPr>
        <w:t xml:space="preserve">rates </w:t>
      </w:r>
      <w:r w:rsidRPr="007A2429">
        <w:rPr>
          <w:rFonts w:cstheme="minorHAnsi"/>
          <w:lang w:val="en-US"/>
        </w:rPr>
        <w:t xml:space="preserve">and </w:t>
      </w:r>
      <w:r w:rsidR="00E406EA">
        <w:rPr>
          <w:rFonts w:cstheme="minorHAnsi"/>
          <w:lang w:val="en-US"/>
        </w:rPr>
        <w:t>pr</w:t>
      </w:r>
      <w:r w:rsidR="000E6608">
        <w:rPr>
          <w:rFonts w:cstheme="minorHAnsi"/>
          <w:lang w:val="en-US"/>
        </w:rPr>
        <w:t>oductivity</w:t>
      </w:r>
      <w:r w:rsidR="00E406EA" w:rsidRPr="007A2429">
        <w:rPr>
          <w:rFonts w:cstheme="minorHAnsi"/>
          <w:lang w:val="en-US"/>
        </w:rPr>
        <w:t xml:space="preserve"> </w:t>
      </w:r>
      <w:r w:rsidRPr="007A2429">
        <w:rPr>
          <w:rFonts w:cstheme="minorHAnsi"/>
          <w:lang w:val="en-US"/>
        </w:rPr>
        <w:t>increment</w:t>
      </w:r>
      <w:r w:rsidR="00BF7DBC">
        <w:rPr>
          <w:rFonts w:cstheme="minorHAnsi"/>
          <w:lang w:val="en-US"/>
        </w:rPr>
        <w:t>s at scale</w:t>
      </w:r>
      <w:r>
        <w:rPr>
          <w:rFonts w:cstheme="minorHAnsi"/>
          <w:lang w:val="en-US"/>
        </w:rPr>
        <w:t>. Calculations are shown in the annex.</w:t>
      </w:r>
      <w:r w:rsidR="00200A5D">
        <w:rPr>
          <w:rFonts w:cstheme="minorHAnsi"/>
          <w:lang w:val="en-US"/>
        </w:rPr>
        <w:t xml:space="preserve"> The productivity increments in Table 2 are well within what has been observed in many situations </w:t>
      </w:r>
      <w:r w:rsidR="00E8003A">
        <w:rPr>
          <w:rFonts w:cstheme="minorHAnsi"/>
          <w:lang w:val="en-US"/>
        </w:rPr>
        <w:t xml:space="preserve">for a range of single CSA practices as well as combinations </w:t>
      </w:r>
      <w:r w:rsidR="00200A5D">
        <w:rPr>
          <w:rFonts w:cstheme="minorHAnsi"/>
          <w:lang w:val="en-US"/>
        </w:rPr>
        <w:t xml:space="preserve">(see text above). </w:t>
      </w:r>
      <w:r w:rsidR="00E8003A">
        <w:rPr>
          <w:rFonts w:cstheme="minorHAnsi"/>
          <w:lang w:val="en-US"/>
        </w:rPr>
        <w:t xml:space="preserve">Regarding adoption </w:t>
      </w:r>
      <w:r w:rsidR="00200A5D">
        <w:rPr>
          <w:rFonts w:cstheme="minorHAnsi"/>
          <w:lang w:val="en-US"/>
        </w:rPr>
        <w:t xml:space="preserve">rates, there are </w:t>
      </w:r>
      <w:r w:rsidR="00E8003A">
        <w:rPr>
          <w:rFonts w:cstheme="minorHAnsi"/>
          <w:lang w:val="en-US"/>
        </w:rPr>
        <w:t xml:space="preserve">not many </w:t>
      </w:r>
      <w:r w:rsidR="00200A5D">
        <w:rPr>
          <w:rFonts w:cstheme="minorHAnsi"/>
          <w:lang w:val="en-US"/>
        </w:rPr>
        <w:t xml:space="preserve">examples of </w:t>
      </w:r>
      <w:r w:rsidR="00E8003A">
        <w:rPr>
          <w:rFonts w:cstheme="minorHAnsi"/>
          <w:lang w:val="en-US"/>
        </w:rPr>
        <w:t xml:space="preserve">agricultural technology </w:t>
      </w:r>
      <w:r w:rsidR="00200A5D">
        <w:rPr>
          <w:rFonts w:cstheme="minorHAnsi"/>
          <w:lang w:val="en-US"/>
        </w:rPr>
        <w:t>adoption rates</w:t>
      </w:r>
      <w:r w:rsidR="00E8003A">
        <w:rPr>
          <w:rFonts w:cstheme="minorHAnsi"/>
          <w:lang w:val="en-US"/>
        </w:rPr>
        <w:t xml:space="preserve"> at scale </w:t>
      </w:r>
      <w:r w:rsidR="00200A5D">
        <w:rPr>
          <w:rFonts w:cstheme="minorHAnsi"/>
          <w:lang w:val="en-US"/>
        </w:rPr>
        <w:t xml:space="preserve">in excess of </w:t>
      </w:r>
      <w:r w:rsidR="00E8003A">
        <w:rPr>
          <w:rFonts w:cstheme="minorHAnsi"/>
          <w:lang w:val="en-US"/>
        </w:rPr>
        <w:t>2% per year (see Thornton and Herrero, 2010, for example).</w:t>
      </w:r>
      <w:r w:rsidR="00C76F09">
        <w:rPr>
          <w:rFonts w:cstheme="minorHAnsi"/>
          <w:lang w:val="en-US"/>
        </w:rPr>
        <w:t xml:space="preserve"> The annual adoption rates used in Table 2 refer to the </w:t>
      </w:r>
      <w:r w:rsidR="00E216F6">
        <w:rPr>
          <w:rFonts w:cstheme="minorHAnsi"/>
          <w:lang w:val="en-US"/>
        </w:rPr>
        <w:t xml:space="preserve">total </w:t>
      </w:r>
      <w:r w:rsidR="00C76F09">
        <w:rPr>
          <w:rFonts w:cstheme="minorHAnsi"/>
          <w:lang w:val="en-US"/>
        </w:rPr>
        <w:t xml:space="preserve">area </w:t>
      </w:r>
      <w:r w:rsidR="00E216F6">
        <w:rPr>
          <w:rFonts w:cstheme="minorHAnsi"/>
          <w:lang w:val="en-US"/>
        </w:rPr>
        <w:t xml:space="preserve">of crop and </w:t>
      </w:r>
      <w:r w:rsidR="00C76F09">
        <w:rPr>
          <w:rFonts w:cstheme="minorHAnsi"/>
          <w:lang w:val="en-US"/>
        </w:rPr>
        <w:t xml:space="preserve">number of cattle </w:t>
      </w:r>
      <w:r w:rsidR="00E216F6">
        <w:rPr>
          <w:rFonts w:cstheme="minorHAnsi"/>
          <w:lang w:val="en-US"/>
        </w:rPr>
        <w:t xml:space="preserve">that have not yet adopted over a ten-year period, so 2% adoption in year 8 is not the same number as 2% adoption in year 2, for example. For this reason, </w:t>
      </w:r>
      <w:r w:rsidR="00C76F09">
        <w:rPr>
          <w:rFonts w:cstheme="minorHAnsi"/>
          <w:lang w:val="en-US"/>
        </w:rPr>
        <w:t>the estimates of VOP addition are not simple linear multiples</w:t>
      </w:r>
      <w:r w:rsidR="00E216F6">
        <w:rPr>
          <w:rFonts w:cstheme="minorHAnsi"/>
          <w:lang w:val="en-US"/>
        </w:rPr>
        <w:t xml:space="preserve"> of the adoption rate per year shown.</w:t>
      </w:r>
    </w:p>
    <w:p w14:paraId="186D0846" w14:textId="29E32FAF" w:rsidR="00DB5193" w:rsidRDefault="00DB5193" w:rsidP="007A2429">
      <w:pPr>
        <w:rPr>
          <w:rFonts w:cstheme="minorHAnsi"/>
          <w:lang w:val="en-US"/>
        </w:rPr>
      </w:pPr>
    </w:p>
    <w:p w14:paraId="0BA926A4" w14:textId="77777777" w:rsidR="00DB5193" w:rsidRDefault="00DB5193" w:rsidP="007A2429">
      <w:pPr>
        <w:rPr>
          <w:rFonts w:cstheme="minorHAnsi"/>
          <w:lang w:val="en-US"/>
        </w:rPr>
      </w:pPr>
    </w:p>
    <w:p w14:paraId="41679C13" w14:textId="14F4DA33" w:rsidR="00CC7C19" w:rsidRPr="00E10561" w:rsidRDefault="00CC7C19" w:rsidP="00CC7C19">
      <w:r w:rsidRPr="00DB5193">
        <w:rPr>
          <w:b/>
          <w:bCs/>
        </w:rPr>
        <w:lastRenderedPageBreak/>
        <w:t xml:space="preserve">Table 2. </w:t>
      </w:r>
      <w:r w:rsidRPr="00E10561">
        <w:t>Marginal increases</w:t>
      </w:r>
      <w:r w:rsidR="007A2429" w:rsidRPr="00E10561">
        <w:t xml:space="preserve"> </w:t>
      </w:r>
      <w:r w:rsidRPr="00E10561">
        <w:t xml:space="preserve">in value of production </w:t>
      </w:r>
      <w:r w:rsidR="007A2429" w:rsidRPr="00E10561">
        <w:t xml:space="preserve">per year at year 10 </w:t>
      </w:r>
      <w:r w:rsidRPr="00E10561">
        <w:t>(2005 USD</w:t>
      </w:r>
      <w:r w:rsidR="00105153" w:rsidRPr="00E10561">
        <w:t>, millions</w:t>
      </w:r>
      <w:r w:rsidRPr="00E10561">
        <w:t xml:space="preserve">) </w:t>
      </w:r>
      <w:r w:rsidR="00407E3D" w:rsidRPr="00E10561">
        <w:t xml:space="preserve">of </w:t>
      </w:r>
      <w:r w:rsidRPr="00E10561">
        <w:t xml:space="preserve">maize, bovine meat and bovine milk </w:t>
      </w:r>
      <w:r w:rsidR="00407E3D" w:rsidRPr="00E10561">
        <w:t xml:space="preserve">for different plausible </w:t>
      </w:r>
      <w:r w:rsidRPr="00E10561">
        <w:t>yield benefit</w:t>
      </w:r>
      <w:r w:rsidR="00407E3D" w:rsidRPr="00E10561">
        <w:t>s</w:t>
      </w:r>
      <w:r w:rsidRPr="00E10561">
        <w:t xml:space="preserve"> and </w:t>
      </w:r>
      <w:r w:rsidR="00C93F5D">
        <w:t xml:space="preserve">annual </w:t>
      </w:r>
      <w:r w:rsidRPr="00E10561">
        <w:t>adoption rate</w:t>
      </w:r>
      <w:r w:rsidR="00407E3D" w:rsidRPr="00E10561">
        <w:t xml:space="preserve">s </w:t>
      </w:r>
      <w:r w:rsidRPr="00E10561">
        <w:t xml:space="preserve">in the mixed crop-livestock systems </w:t>
      </w:r>
      <w:r w:rsidR="00C93F5D">
        <w:t xml:space="preserve">in </w:t>
      </w:r>
      <w:r w:rsidRPr="00E10561">
        <w:t>AICCRA target countries</w:t>
      </w:r>
      <w:r w:rsidR="00105153" w:rsidRPr="00E10561">
        <w:t xml:space="preserve"> (Ethiopia, Ghana, Kenya, Mali, Senegal, Zambia)</w:t>
      </w:r>
    </w:p>
    <w:p w14:paraId="3EDB6F73" w14:textId="77777777" w:rsidR="00CC7C19" w:rsidRDefault="00CC7C19" w:rsidP="00CC7C19"/>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105153" w:rsidRPr="006B7A9D" w14:paraId="3D4AFD0D" w14:textId="77777777" w:rsidTr="00105153">
        <w:trPr>
          <w:trHeight w:val="288"/>
          <w:jc w:val="right"/>
        </w:trPr>
        <w:tc>
          <w:tcPr>
            <w:tcW w:w="1177" w:type="pct"/>
            <w:vAlign w:val="center"/>
          </w:tcPr>
          <w:p w14:paraId="450C36D7" w14:textId="77777777" w:rsidR="00105153" w:rsidRPr="007944E1" w:rsidRDefault="00105153" w:rsidP="00BC5A07">
            <w:pPr>
              <w:autoSpaceDE w:val="0"/>
              <w:autoSpaceDN w:val="0"/>
              <w:adjustRightInd w:val="0"/>
              <w:spacing w:before="60" w:after="60"/>
              <w:rPr>
                <w:rFonts w:cstheme="minorHAnsi"/>
                <w:b/>
                <w:bCs/>
                <w:color w:val="000000"/>
                <w:sz w:val="20"/>
                <w:szCs w:val="20"/>
              </w:rPr>
            </w:pPr>
          </w:p>
        </w:tc>
        <w:tc>
          <w:tcPr>
            <w:tcW w:w="1967" w:type="pct"/>
            <w:gridSpan w:val="3"/>
            <w:vAlign w:val="center"/>
          </w:tcPr>
          <w:p w14:paraId="41EE4368" w14:textId="0ECE8C67"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5% Productivity increment</w:t>
            </w:r>
          </w:p>
        </w:tc>
        <w:tc>
          <w:tcPr>
            <w:tcW w:w="1856" w:type="pct"/>
            <w:gridSpan w:val="3"/>
            <w:vAlign w:val="center"/>
          </w:tcPr>
          <w:p w14:paraId="668CA962" w14:textId="23565F93"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10% Productivity increment</w:t>
            </w:r>
          </w:p>
        </w:tc>
      </w:tr>
      <w:tr w:rsidR="00105153" w:rsidRPr="006B7A9D" w14:paraId="59F987AF" w14:textId="77777777" w:rsidTr="00105153">
        <w:trPr>
          <w:trHeight w:val="288"/>
          <w:jc w:val="right"/>
        </w:trPr>
        <w:tc>
          <w:tcPr>
            <w:tcW w:w="1177" w:type="pct"/>
            <w:vAlign w:val="center"/>
          </w:tcPr>
          <w:p w14:paraId="60897D29" w14:textId="71E58FE7" w:rsidR="00105153" w:rsidRPr="007944E1" w:rsidRDefault="00105153" w:rsidP="00C93F5D">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C93F5D">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15938731" w14:textId="24ED0C15"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57B628B5" w14:textId="0C407297"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024493A8" w14:textId="77BD0271"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1BE136BA" w14:textId="720637B8"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29FD34DF" w14:textId="24E3967E"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71E21B70" w14:textId="0C4A4DDB" w:rsidR="00105153" w:rsidRPr="007944E1" w:rsidRDefault="00105153" w:rsidP="00BC5A07">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105153" w:rsidRPr="006B7A9D" w14:paraId="0FA4AAE0" w14:textId="77777777" w:rsidTr="00105153">
        <w:trPr>
          <w:trHeight w:val="288"/>
          <w:jc w:val="right"/>
        </w:trPr>
        <w:tc>
          <w:tcPr>
            <w:tcW w:w="1177" w:type="pct"/>
            <w:vAlign w:val="center"/>
          </w:tcPr>
          <w:p w14:paraId="54D7236F"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707" w:type="pct"/>
            <w:vAlign w:val="center"/>
          </w:tcPr>
          <w:p w14:paraId="63B366C6" w14:textId="1BE25107"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$5.44</w:t>
            </w:r>
          </w:p>
        </w:tc>
        <w:tc>
          <w:tcPr>
            <w:tcW w:w="629" w:type="pct"/>
            <w:vAlign w:val="center"/>
          </w:tcPr>
          <w:p w14:paraId="1F8926F6" w14:textId="634468B8"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$ 11.3</w:t>
            </w:r>
            <w:r w:rsidR="002774DC">
              <w:rPr>
                <w:rFonts w:cstheme="minorHAnsi"/>
                <w:color w:val="000000"/>
                <w:sz w:val="20"/>
                <w:szCs w:val="20"/>
              </w:rPr>
              <w:t>9</w:t>
            </w:r>
          </w:p>
        </w:tc>
        <w:tc>
          <w:tcPr>
            <w:tcW w:w="631" w:type="pct"/>
            <w:vAlign w:val="center"/>
          </w:tcPr>
          <w:p w14:paraId="39112AB0" w14:textId="3464116D"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$17.89</w:t>
            </w:r>
          </w:p>
        </w:tc>
        <w:tc>
          <w:tcPr>
            <w:tcW w:w="629" w:type="pct"/>
            <w:vAlign w:val="center"/>
          </w:tcPr>
          <w:p w14:paraId="1AC6D9B1" w14:textId="014ADB59"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$10.89</w:t>
            </w:r>
          </w:p>
        </w:tc>
        <w:tc>
          <w:tcPr>
            <w:tcW w:w="629" w:type="pct"/>
            <w:vAlign w:val="center"/>
          </w:tcPr>
          <w:p w14:paraId="0982D3F2" w14:textId="78C4D62E"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$22.79</w:t>
            </w:r>
          </w:p>
        </w:tc>
        <w:tc>
          <w:tcPr>
            <w:tcW w:w="598" w:type="pct"/>
            <w:vAlign w:val="center"/>
          </w:tcPr>
          <w:p w14:paraId="3D64191A" w14:textId="2BFADD2F" w:rsidR="00105153" w:rsidRPr="006B7A9D" w:rsidRDefault="00105153"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$35.79</w:t>
            </w:r>
          </w:p>
        </w:tc>
      </w:tr>
      <w:tr w:rsidR="00105153" w:rsidRPr="006B7A9D" w14:paraId="2E67DF2D" w14:textId="77777777" w:rsidTr="00105153">
        <w:trPr>
          <w:trHeight w:val="288"/>
          <w:jc w:val="right"/>
        </w:trPr>
        <w:tc>
          <w:tcPr>
            <w:tcW w:w="1177" w:type="pct"/>
            <w:vAlign w:val="center"/>
          </w:tcPr>
          <w:p w14:paraId="1B70F1DE"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707" w:type="pct"/>
            <w:vAlign w:val="center"/>
          </w:tcPr>
          <w:p w14:paraId="0CB2D155" w14:textId="7BAEE68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$6.95</w:t>
            </w:r>
          </w:p>
        </w:tc>
        <w:tc>
          <w:tcPr>
            <w:tcW w:w="629" w:type="pct"/>
            <w:vAlign w:val="center"/>
          </w:tcPr>
          <w:p w14:paraId="253E02A6" w14:textId="36BE7268"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$14.56</w:t>
            </w:r>
          </w:p>
        </w:tc>
        <w:tc>
          <w:tcPr>
            <w:tcW w:w="631" w:type="pct"/>
            <w:vAlign w:val="center"/>
          </w:tcPr>
          <w:p w14:paraId="0F343EAD" w14:textId="603325E2"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$22.86</w:t>
            </w:r>
          </w:p>
        </w:tc>
        <w:tc>
          <w:tcPr>
            <w:tcW w:w="629" w:type="pct"/>
            <w:vAlign w:val="center"/>
          </w:tcPr>
          <w:p w14:paraId="785E47CE" w14:textId="12C6AD5B"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$13.91</w:t>
            </w:r>
          </w:p>
        </w:tc>
        <w:tc>
          <w:tcPr>
            <w:tcW w:w="629" w:type="pct"/>
            <w:vAlign w:val="center"/>
          </w:tcPr>
          <w:p w14:paraId="0EAC3FDF" w14:textId="669F9291"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$29.11</w:t>
            </w:r>
          </w:p>
        </w:tc>
        <w:tc>
          <w:tcPr>
            <w:tcW w:w="598" w:type="pct"/>
            <w:vAlign w:val="center"/>
          </w:tcPr>
          <w:p w14:paraId="04CA01F0" w14:textId="16FF0893"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$45.72</w:t>
            </w:r>
          </w:p>
        </w:tc>
      </w:tr>
      <w:tr w:rsidR="00105153" w:rsidRPr="006B7A9D" w14:paraId="4AF73D35" w14:textId="77777777" w:rsidTr="00105153">
        <w:trPr>
          <w:trHeight w:val="288"/>
          <w:jc w:val="right"/>
        </w:trPr>
        <w:tc>
          <w:tcPr>
            <w:tcW w:w="1177" w:type="pct"/>
            <w:vAlign w:val="center"/>
          </w:tcPr>
          <w:p w14:paraId="61E99664"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707" w:type="pct"/>
            <w:vAlign w:val="center"/>
          </w:tcPr>
          <w:p w14:paraId="55075C8F" w14:textId="4ABBCE93"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$5.95</w:t>
            </w:r>
          </w:p>
        </w:tc>
        <w:tc>
          <w:tcPr>
            <w:tcW w:w="629" w:type="pct"/>
            <w:vAlign w:val="center"/>
          </w:tcPr>
          <w:p w14:paraId="63467945" w14:textId="0DFA95B2"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$12.46</w:t>
            </w:r>
          </w:p>
        </w:tc>
        <w:tc>
          <w:tcPr>
            <w:tcW w:w="631" w:type="pct"/>
            <w:vAlign w:val="center"/>
          </w:tcPr>
          <w:p w14:paraId="247A260D" w14:textId="7659F0B5"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$19.56</w:t>
            </w:r>
          </w:p>
        </w:tc>
        <w:tc>
          <w:tcPr>
            <w:tcW w:w="629" w:type="pct"/>
            <w:vAlign w:val="center"/>
          </w:tcPr>
          <w:p w14:paraId="495C6A8D" w14:textId="54A5B751"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$11.90</w:t>
            </w:r>
          </w:p>
        </w:tc>
        <w:tc>
          <w:tcPr>
            <w:tcW w:w="629" w:type="pct"/>
            <w:vAlign w:val="center"/>
          </w:tcPr>
          <w:p w14:paraId="6B6F2100" w14:textId="23DDCEA8"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$24.91</w:t>
            </w:r>
          </w:p>
        </w:tc>
        <w:tc>
          <w:tcPr>
            <w:tcW w:w="598" w:type="pct"/>
            <w:vAlign w:val="center"/>
          </w:tcPr>
          <w:p w14:paraId="5E18ABEB" w14:textId="25B0DF76"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$39.13</w:t>
            </w:r>
          </w:p>
        </w:tc>
      </w:tr>
      <w:tr w:rsidR="00105153" w:rsidRPr="006B7A9D" w14:paraId="5E38190C" w14:textId="77777777" w:rsidTr="00105153">
        <w:trPr>
          <w:trHeight w:val="288"/>
          <w:jc w:val="right"/>
        </w:trPr>
        <w:tc>
          <w:tcPr>
            <w:tcW w:w="1177" w:type="pct"/>
            <w:vAlign w:val="center"/>
          </w:tcPr>
          <w:p w14:paraId="09F3E915" w14:textId="77777777" w:rsidR="00105153" w:rsidRPr="007944E1" w:rsidRDefault="00105153" w:rsidP="00BC5A07">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707" w:type="pct"/>
            <w:vAlign w:val="center"/>
          </w:tcPr>
          <w:p w14:paraId="6D418166" w14:textId="0C650CA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$18.34</w:t>
            </w:r>
          </w:p>
        </w:tc>
        <w:tc>
          <w:tcPr>
            <w:tcW w:w="629" w:type="pct"/>
            <w:vAlign w:val="center"/>
          </w:tcPr>
          <w:p w14:paraId="050E1DCB" w14:textId="6965FB1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$38.41</w:t>
            </w:r>
          </w:p>
        </w:tc>
        <w:tc>
          <w:tcPr>
            <w:tcW w:w="631" w:type="pct"/>
            <w:vAlign w:val="center"/>
          </w:tcPr>
          <w:p w14:paraId="0999B26A" w14:textId="085F9860"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$60.31</w:t>
            </w:r>
          </w:p>
        </w:tc>
        <w:tc>
          <w:tcPr>
            <w:tcW w:w="629" w:type="pct"/>
            <w:vAlign w:val="center"/>
          </w:tcPr>
          <w:p w14:paraId="685E52CA" w14:textId="5665529F"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$36.70</w:t>
            </w:r>
          </w:p>
        </w:tc>
        <w:tc>
          <w:tcPr>
            <w:tcW w:w="629" w:type="pct"/>
            <w:vAlign w:val="center"/>
          </w:tcPr>
          <w:p w14:paraId="059AF7C3" w14:textId="081F7D00"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$76.81</w:t>
            </w:r>
          </w:p>
        </w:tc>
        <w:tc>
          <w:tcPr>
            <w:tcW w:w="598" w:type="pct"/>
            <w:vAlign w:val="center"/>
          </w:tcPr>
          <w:p w14:paraId="251FA84B" w14:textId="3B0B174E" w:rsidR="00105153" w:rsidRPr="006B7A9D" w:rsidRDefault="00166C15" w:rsidP="00BC5A07">
            <w:pPr>
              <w:autoSpaceDE w:val="0"/>
              <w:autoSpaceDN w:val="0"/>
              <w:adjustRightInd w:val="0"/>
              <w:spacing w:before="60" w:after="60"/>
              <w:jc w:val="center"/>
              <w:rPr>
                <w:rFonts w:cstheme="minorHAnsi"/>
                <w:color w:val="000000"/>
                <w:sz w:val="20"/>
                <w:szCs w:val="20"/>
              </w:rPr>
            </w:pPr>
            <w:r>
              <w:rPr>
                <w:rFonts w:cstheme="minorHAnsi"/>
                <w:color w:val="000000"/>
                <w:sz w:val="20"/>
                <w:szCs w:val="20"/>
              </w:rPr>
              <w:t>$120.64</w:t>
            </w:r>
          </w:p>
        </w:tc>
      </w:tr>
    </w:tbl>
    <w:p w14:paraId="2A7FF79C" w14:textId="587EE4FA" w:rsidR="00E8003A" w:rsidRDefault="00E8003A" w:rsidP="00766EB0">
      <w:pPr>
        <w:rPr>
          <w:rFonts w:cstheme="minorHAnsi"/>
          <w:lang w:val="en-US"/>
        </w:rPr>
      </w:pPr>
    </w:p>
    <w:p w14:paraId="17231D2B" w14:textId="77777777" w:rsidR="00957835" w:rsidRPr="00A04AF8" w:rsidRDefault="00957835" w:rsidP="00766EB0">
      <w:pPr>
        <w:rPr>
          <w:rFonts w:cstheme="minorHAnsi"/>
          <w:lang w:val="en-US"/>
        </w:rPr>
      </w:pPr>
    </w:p>
    <w:p w14:paraId="4D3C3831" w14:textId="04592B10" w:rsidR="00766EB0" w:rsidRPr="00A04AF8" w:rsidRDefault="00A04AF8" w:rsidP="00957835">
      <w:pPr>
        <w:rPr>
          <w:b/>
          <w:bCs/>
        </w:rPr>
      </w:pPr>
      <w:r>
        <w:rPr>
          <w:b/>
          <w:bCs/>
        </w:rPr>
        <w:t xml:space="preserve">3.2.  </w:t>
      </w:r>
      <w:r w:rsidR="00CE325E" w:rsidRPr="00A04AF8">
        <w:rPr>
          <w:b/>
          <w:bCs/>
        </w:rPr>
        <w:t xml:space="preserve">CSA adoption: </w:t>
      </w:r>
      <w:r>
        <w:rPr>
          <w:b/>
          <w:bCs/>
        </w:rPr>
        <w:t>S</w:t>
      </w:r>
      <w:r w:rsidR="00766EB0" w:rsidRPr="00A04AF8">
        <w:rPr>
          <w:b/>
          <w:bCs/>
        </w:rPr>
        <w:t>pillover benefits</w:t>
      </w:r>
    </w:p>
    <w:p w14:paraId="4E80180A" w14:textId="77777777" w:rsidR="00957835" w:rsidRDefault="00957835" w:rsidP="0059312A">
      <w:pPr>
        <w:keepNext/>
        <w:rPr>
          <w:rFonts w:cstheme="minorHAnsi"/>
          <w:lang w:val="en-US"/>
        </w:rPr>
      </w:pPr>
    </w:p>
    <w:p w14:paraId="0B2753DC" w14:textId="4CBEAF39" w:rsidR="008E0333" w:rsidRDefault="00827661" w:rsidP="0059312A">
      <w:pPr>
        <w:keepNext/>
        <w:rPr>
          <w:rFonts w:cstheme="minorHAnsi"/>
          <w:lang w:val="en-US"/>
        </w:rPr>
      </w:pPr>
      <w:r w:rsidRPr="00827661">
        <w:rPr>
          <w:rFonts w:cstheme="minorHAnsi"/>
          <w:lang w:val="en-US"/>
        </w:rPr>
        <w:t>T</w:t>
      </w:r>
      <w:r w:rsidR="00DD6E53">
        <w:rPr>
          <w:rFonts w:cstheme="minorHAnsi"/>
          <w:lang w:val="en-US"/>
        </w:rPr>
        <w:t>able 3 shows th</w:t>
      </w:r>
      <w:r w:rsidRPr="00827661">
        <w:rPr>
          <w:rFonts w:cstheme="minorHAnsi"/>
          <w:lang w:val="en-US"/>
        </w:rPr>
        <w:t xml:space="preserve">e </w:t>
      </w:r>
      <w:r w:rsidR="00DD6E53">
        <w:rPr>
          <w:rFonts w:cstheme="minorHAnsi"/>
          <w:lang w:val="en-US"/>
        </w:rPr>
        <w:t xml:space="preserve">estimated </w:t>
      </w:r>
      <w:r>
        <w:rPr>
          <w:rFonts w:cstheme="minorHAnsi"/>
          <w:lang w:val="en-US"/>
        </w:rPr>
        <w:t xml:space="preserve">spillover </w:t>
      </w:r>
      <w:r w:rsidRPr="00827661">
        <w:rPr>
          <w:rFonts w:cstheme="minorHAnsi"/>
          <w:lang w:val="en-US"/>
        </w:rPr>
        <w:t>benefit</w:t>
      </w:r>
      <w:r>
        <w:rPr>
          <w:rFonts w:cstheme="minorHAnsi"/>
          <w:lang w:val="en-US"/>
        </w:rPr>
        <w:t>s</w:t>
      </w:r>
      <w:r w:rsidRPr="00827661">
        <w:rPr>
          <w:rFonts w:cstheme="minorHAnsi"/>
          <w:lang w:val="en-US"/>
        </w:rPr>
        <w:t xml:space="preserve"> of adoption of CSA practices in the </w:t>
      </w:r>
      <w:r w:rsidR="005A55A0">
        <w:rPr>
          <w:rFonts w:cstheme="minorHAnsi"/>
          <w:lang w:val="en-US"/>
        </w:rPr>
        <w:t xml:space="preserve">20 </w:t>
      </w:r>
      <w:r w:rsidR="00327C31">
        <w:rPr>
          <w:rFonts w:cstheme="minorHAnsi"/>
          <w:lang w:val="en-US"/>
        </w:rPr>
        <w:t xml:space="preserve">“extrapolation </w:t>
      </w:r>
      <w:r w:rsidR="0041109D">
        <w:rPr>
          <w:rFonts w:cstheme="minorHAnsi"/>
          <w:lang w:val="en-US"/>
        </w:rPr>
        <w:t>domain</w:t>
      </w:r>
      <w:r w:rsidR="00327C31">
        <w:rPr>
          <w:rFonts w:cstheme="minorHAnsi"/>
          <w:lang w:val="en-US"/>
        </w:rPr>
        <w:t>”</w:t>
      </w:r>
      <w:r w:rsidR="0041109D">
        <w:rPr>
          <w:rFonts w:cstheme="minorHAnsi"/>
          <w:lang w:val="en-US"/>
        </w:rPr>
        <w:t xml:space="preserve"> </w:t>
      </w:r>
      <w:r w:rsidRPr="00827661">
        <w:rPr>
          <w:rFonts w:cstheme="minorHAnsi"/>
          <w:lang w:val="en-US"/>
        </w:rPr>
        <w:t xml:space="preserve">countries, </w:t>
      </w:r>
      <w:r w:rsidR="00327C31">
        <w:rPr>
          <w:rFonts w:cstheme="minorHAnsi"/>
          <w:lang w:val="en-US"/>
        </w:rPr>
        <w:t xml:space="preserve">expressed </w:t>
      </w:r>
      <w:r w:rsidR="00BF7DBC">
        <w:rPr>
          <w:rFonts w:cstheme="minorHAnsi"/>
          <w:lang w:val="en-US"/>
        </w:rPr>
        <w:t xml:space="preserve">as </w:t>
      </w:r>
      <w:r w:rsidR="00327C31">
        <w:rPr>
          <w:rFonts w:cstheme="minorHAnsi"/>
          <w:lang w:val="en-US"/>
        </w:rPr>
        <w:t>in</w:t>
      </w:r>
      <w:r w:rsidR="00BF7DBC">
        <w:rPr>
          <w:rFonts w:cstheme="minorHAnsi"/>
          <w:lang w:val="en-US"/>
        </w:rPr>
        <w:t xml:space="preserve"> Table 1 in terms of </w:t>
      </w:r>
      <w:r w:rsidRPr="00827661">
        <w:rPr>
          <w:rFonts w:cstheme="minorHAnsi"/>
          <w:lang w:val="en-US"/>
        </w:rPr>
        <w:t>the increase in value of production per year per percentage point increase in crop, meat and milk yield (i.e.</w:t>
      </w:r>
      <w:r w:rsidR="00C9116D">
        <w:rPr>
          <w:rFonts w:cstheme="minorHAnsi"/>
          <w:lang w:val="en-US"/>
        </w:rPr>
        <w:t>,</w:t>
      </w:r>
      <w:r w:rsidRPr="00827661">
        <w:rPr>
          <w:rFonts w:cstheme="minorHAnsi"/>
          <w:lang w:val="en-US"/>
        </w:rPr>
        <w:t xml:space="preserve"> assuming adoption over all the </w:t>
      </w:r>
      <w:r w:rsidR="00BF7DBC">
        <w:rPr>
          <w:rFonts w:cstheme="minorHAnsi"/>
          <w:lang w:val="en-US"/>
        </w:rPr>
        <w:t xml:space="preserve">cropping </w:t>
      </w:r>
      <w:r w:rsidRPr="00827661">
        <w:rPr>
          <w:rFonts w:cstheme="minorHAnsi"/>
          <w:lang w:val="en-US"/>
        </w:rPr>
        <w:t>area</w:t>
      </w:r>
      <w:r w:rsidR="00BF7DBC">
        <w:rPr>
          <w:rFonts w:cstheme="minorHAnsi"/>
          <w:lang w:val="en-US"/>
        </w:rPr>
        <w:t>s</w:t>
      </w:r>
      <w:r w:rsidRPr="00827661">
        <w:rPr>
          <w:rFonts w:cstheme="minorHAnsi"/>
          <w:lang w:val="en-US"/>
        </w:rPr>
        <w:t xml:space="preserve"> and all cattle in the target systems).</w:t>
      </w:r>
      <w:r w:rsidR="002C3CD6">
        <w:rPr>
          <w:rFonts w:cstheme="minorHAnsi"/>
          <w:lang w:val="en-US"/>
        </w:rPr>
        <w:t xml:space="preserve"> </w:t>
      </w:r>
      <w:r w:rsidR="00BF7DBC">
        <w:rPr>
          <w:rFonts w:cstheme="minorHAnsi"/>
          <w:lang w:val="en-US"/>
        </w:rPr>
        <w:t>Table 4 shows</w:t>
      </w:r>
      <w:r w:rsidR="00A15015">
        <w:rPr>
          <w:rFonts w:cstheme="minorHAnsi"/>
          <w:lang w:val="en-US"/>
        </w:rPr>
        <w:t xml:space="preserve"> the marginal benefits in value of production for plausible (but much lower, given that these are spillover impacts) </w:t>
      </w:r>
      <w:r w:rsidR="008E0333" w:rsidRPr="008E0333">
        <w:rPr>
          <w:rFonts w:cstheme="minorHAnsi"/>
          <w:lang w:val="en-US"/>
        </w:rPr>
        <w:t xml:space="preserve">adoption </w:t>
      </w:r>
      <w:r w:rsidR="00A15015">
        <w:rPr>
          <w:rFonts w:cstheme="minorHAnsi"/>
          <w:lang w:val="en-US"/>
        </w:rPr>
        <w:t xml:space="preserve">rates </w:t>
      </w:r>
      <w:r w:rsidR="008E0333" w:rsidRPr="008E0333">
        <w:rPr>
          <w:rFonts w:cstheme="minorHAnsi"/>
          <w:lang w:val="en-US"/>
        </w:rPr>
        <w:t xml:space="preserve">and </w:t>
      </w:r>
      <w:r w:rsidR="00E8003A">
        <w:rPr>
          <w:rFonts w:cstheme="minorHAnsi"/>
          <w:lang w:val="en-US"/>
        </w:rPr>
        <w:t xml:space="preserve">the same productivity </w:t>
      </w:r>
      <w:r w:rsidR="008E0333" w:rsidRPr="008E0333">
        <w:rPr>
          <w:rFonts w:cstheme="minorHAnsi"/>
          <w:lang w:val="en-US"/>
        </w:rPr>
        <w:t>increment</w:t>
      </w:r>
      <w:r w:rsidR="00A15015">
        <w:rPr>
          <w:rFonts w:cstheme="minorHAnsi"/>
          <w:lang w:val="en-US"/>
        </w:rPr>
        <w:t>s as in Table 2.</w:t>
      </w:r>
    </w:p>
    <w:p w14:paraId="2EC9BD11" w14:textId="77777777" w:rsidR="001801A3" w:rsidRDefault="001801A3" w:rsidP="00766EB0">
      <w:pPr>
        <w:rPr>
          <w:rFonts w:cstheme="minorHAnsi"/>
          <w:lang w:val="en-US"/>
        </w:rPr>
      </w:pPr>
    </w:p>
    <w:p w14:paraId="450ACD3F" w14:textId="4A70BEA1" w:rsidR="00827661" w:rsidRDefault="00827661" w:rsidP="00766EB0">
      <w:pPr>
        <w:rPr>
          <w:rFonts w:cstheme="minorHAnsi"/>
          <w:lang w:val="en-US"/>
        </w:rPr>
      </w:pPr>
    </w:p>
    <w:p w14:paraId="67A08989" w14:textId="0266684F" w:rsidR="00827661" w:rsidRPr="00E10561" w:rsidRDefault="00827661" w:rsidP="00050C9A">
      <w:pPr>
        <w:keepNext/>
      </w:pPr>
      <w:r w:rsidRPr="00DB5193">
        <w:rPr>
          <w:b/>
          <w:bCs/>
        </w:rPr>
        <w:t xml:space="preserve">Table </w:t>
      </w:r>
      <w:r w:rsidR="00355DB0" w:rsidRPr="00DB5193">
        <w:rPr>
          <w:b/>
          <w:bCs/>
        </w:rPr>
        <w:t>3</w:t>
      </w:r>
      <w:r w:rsidRPr="00DB5193">
        <w:rPr>
          <w:b/>
          <w:bCs/>
        </w:rPr>
        <w:t>.</w:t>
      </w:r>
      <w:r w:rsidRPr="00E10561">
        <w:t xml:space="preserve"> Increases in value of production (2005 USD x 1000) </w:t>
      </w:r>
      <w:r w:rsidR="00407E3D" w:rsidRPr="00E10561">
        <w:t xml:space="preserve">of </w:t>
      </w:r>
      <w:r w:rsidRPr="00E10561">
        <w:t xml:space="preserve">maize, </w:t>
      </w:r>
      <w:r w:rsidR="00481B0D" w:rsidRPr="00E10561">
        <w:t xml:space="preserve">other food crops, </w:t>
      </w:r>
      <w:r w:rsidRPr="00E10561">
        <w:t xml:space="preserve">bovine meat and bovine milk for a 1% increase in yield </w:t>
      </w:r>
      <w:r w:rsidR="00355DB0" w:rsidRPr="00E10561">
        <w:t xml:space="preserve">throughout </w:t>
      </w:r>
      <w:r w:rsidRPr="00E10561">
        <w:t xml:space="preserve">the mixed crop-livestock systems </w:t>
      </w:r>
      <w:r w:rsidR="00481B0D" w:rsidRPr="00E10561">
        <w:t xml:space="preserve">in the </w:t>
      </w:r>
      <w:r w:rsidR="009859AB" w:rsidRPr="00E10561">
        <w:t xml:space="preserve">20 </w:t>
      </w:r>
      <w:r w:rsidRPr="00E10561">
        <w:t>AICCRA “spillover” countries</w:t>
      </w:r>
      <w:r w:rsidR="00355DB0" w:rsidRPr="00E10561">
        <w:t>.</w:t>
      </w:r>
    </w:p>
    <w:p w14:paraId="14C931B3" w14:textId="77777777" w:rsidR="00827661" w:rsidRDefault="00827661" w:rsidP="00050C9A">
      <w:pPr>
        <w:keepN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6"/>
        <w:gridCol w:w="1771"/>
        <w:gridCol w:w="2552"/>
        <w:gridCol w:w="1843"/>
        <w:gridCol w:w="1224"/>
      </w:tblGrid>
      <w:tr w:rsidR="00827661" w:rsidRPr="006B7A9D" w14:paraId="113522F3" w14:textId="77777777" w:rsidTr="00827661">
        <w:trPr>
          <w:trHeight w:val="288"/>
        </w:trPr>
        <w:tc>
          <w:tcPr>
            <w:tcW w:w="902" w:type="pct"/>
            <w:vAlign w:val="center"/>
          </w:tcPr>
          <w:p w14:paraId="205D1279"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3419" w:type="pct"/>
            <w:gridSpan w:val="3"/>
            <w:vAlign w:val="center"/>
          </w:tcPr>
          <w:p w14:paraId="7EFE190B" w14:textId="49156BB7" w:rsidR="0082766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Region, Countries, Systems</w:t>
            </w:r>
          </w:p>
        </w:tc>
        <w:tc>
          <w:tcPr>
            <w:tcW w:w="679" w:type="pct"/>
            <w:vAlign w:val="center"/>
          </w:tcPr>
          <w:p w14:paraId="7513BC8B"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p>
        </w:tc>
      </w:tr>
      <w:tr w:rsidR="00827661" w:rsidRPr="006B7A9D" w14:paraId="3205F2C5" w14:textId="77777777" w:rsidTr="00827661">
        <w:trPr>
          <w:trHeight w:val="288"/>
        </w:trPr>
        <w:tc>
          <w:tcPr>
            <w:tcW w:w="902" w:type="pct"/>
            <w:vAlign w:val="center"/>
          </w:tcPr>
          <w:p w14:paraId="0915F1A9"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982" w:type="pct"/>
          </w:tcPr>
          <w:p w14:paraId="7C754F5C"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E</w:t>
            </w:r>
            <w:r>
              <w:rPr>
                <w:rFonts w:cstheme="minorHAnsi"/>
                <w:b/>
                <w:bCs/>
                <w:color w:val="000000"/>
                <w:sz w:val="20"/>
                <w:szCs w:val="20"/>
              </w:rPr>
              <w:t>ast Africa:</w:t>
            </w:r>
          </w:p>
          <w:p w14:paraId="29E48436" w14:textId="3B7275A8"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Burundi, Rwanda, Tanzania, Uganda</w:t>
            </w:r>
          </w:p>
        </w:tc>
        <w:tc>
          <w:tcPr>
            <w:tcW w:w="1415" w:type="pct"/>
          </w:tcPr>
          <w:p w14:paraId="148BCE69" w14:textId="77777777" w:rsidR="0082766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West Africa:</w:t>
            </w:r>
          </w:p>
          <w:p w14:paraId="3EB0DEB7" w14:textId="527A5BA6"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827661">
              <w:rPr>
                <w:rFonts w:cstheme="minorHAnsi"/>
                <w:b/>
                <w:bCs/>
                <w:color w:val="000000"/>
                <w:sz w:val="20"/>
                <w:szCs w:val="20"/>
              </w:rPr>
              <w:t xml:space="preserve">Benin, Burkina Faso, </w:t>
            </w:r>
            <w:r>
              <w:rPr>
                <w:rFonts w:cstheme="minorHAnsi"/>
                <w:b/>
                <w:bCs/>
                <w:color w:val="000000"/>
                <w:sz w:val="20"/>
                <w:szCs w:val="20"/>
              </w:rPr>
              <w:t xml:space="preserve">Chad, </w:t>
            </w:r>
            <w:r w:rsidRPr="00827661">
              <w:rPr>
                <w:rFonts w:cstheme="minorHAnsi"/>
                <w:b/>
                <w:bCs/>
                <w:color w:val="000000"/>
                <w:sz w:val="20"/>
                <w:szCs w:val="20"/>
              </w:rPr>
              <w:t>Cote d’Ivoire, Cameroon, Guinea, Gambia, Guinea-Bissau, Mauritania, Niger, Nigeria, Togo</w:t>
            </w:r>
          </w:p>
        </w:tc>
        <w:tc>
          <w:tcPr>
            <w:tcW w:w="1022" w:type="pct"/>
          </w:tcPr>
          <w:p w14:paraId="07A5FF03" w14:textId="5FB7A811"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 xml:space="preserve">Southern Africa: </w:t>
            </w:r>
            <w:r w:rsidRPr="00827661">
              <w:rPr>
                <w:rFonts w:cstheme="minorHAnsi"/>
                <w:b/>
                <w:bCs/>
                <w:color w:val="000000"/>
                <w:sz w:val="20"/>
                <w:szCs w:val="20"/>
              </w:rPr>
              <w:t>Botswana,</w:t>
            </w:r>
            <w:r>
              <w:rPr>
                <w:rFonts w:cstheme="minorHAnsi"/>
                <w:b/>
                <w:bCs/>
                <w:color w:val="000000"/>
                <w:sz w:val="20"/>
                <w:szCs w:val="20"/>
              </w:rPr>
              <w:t xml:space="preserve"> Malawi,</w:t>
            </w:r>
            <w:r w:rsidRPr="00827661">
              <w:rPr>
                <w:rFonts w:cstheme="minorHAnsi"/>
                <w:b/>
                <w:bCs/>
                <w:color w:val="000000"/>
                <w:sz w:val="20"/>
                <w:szCs w:val="20"/>
              </w:rPr>
              <w:t xml:space="preserve"> Mozambique, </w:t>
            </w:r>
            <w:r>
              <w:rPr>
                <w:rFonts w:cstheme="minorHAnsi"/>
                <w:b/>
                <w:bCs/>
                <w:color w:val="000000"/>
                <w:sz w:val="20"/>
                <w:szCs w:val="20"/>
              </w:rPr>
              <w:t>Zimbabwe</w:t>
            </w:r>
          </w:p>
        </w:tc>
        <w:tc>
          <w:tcPr>
            <w:tcW w:w="679" w:type="pct"/>
            <w:vAlign w:val="center"/>
          </w:tcPr>
          <w:p w14:paraId="0634C8BF" w14:textId="060AFD63"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Total</w:t>
            </w:r>
          </w:p>
        </w:tc>
      </w:tr>
      <w:tr w:rsidR="0041109D" w:rsidRPr="006B7A9D" w14:paraId="2981C751" w14:textId="77777777" w:rsidTr="00827661">
        <w:trPr>
          <w:trHeight w:val="288"/>
        </w:trPr>
        <w:tc>
          <w:tcPr>
            <w:tcW w:w="902" w:type="pct"/>
            <w:vAlign w:val="center"/>
          </w:tcPr>
          <w:p w14:paraId="293F4FED"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p>
        </w:tc>
        <w:tc>
          <w:tcPr>
            <w:tcW w:w="982" w:type="pct"/>
            <w:vAlign w:val="center"/>
          </w:tcPr>
          <w:p w14:paraId="7CEA0133"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MRH, MRT, MIA, MIH, MIT</w:t>
            </w:r>
          </w:p>
        </w:tc>
        <w:tc>
          <w:tcPr>
            <w:tcW w:w="1415" w:type="pct"/>
            <w:vAlign w:val="center"/>
          </w:tcPr>
          <w:p w14:paraId="383CF405"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1022" w:type="pct"/>
            <w:vAlign w:val="center"/>
          </w:tcPr>
          <w:p w14:paraId="75BB00D6"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r w:rsidRPr="007944E1">
              <w:rPr>
                <w:rFonts w:cstheme="minorHAnsi"/>
                <w:b/>
                <w:bCs/>
                <w:color w:val="000000"/>
                <w:sz w:val="20"/>
                <w:szCs w:val="20"/>
              </w:rPr>
              <w:t>MRA, MIA</w:t>
            </w:r>
          </w:p>
        </w:tc>
        <w:tc>
          <w:tcPr>
            <w:tcW w:w="679" w:type="pct"/>
            <w:vAlign w:val="center"/>
          </w:tcPr>
          <w:p w14:paraId="221C0F40" w14:textId="77777777" w:rsidR="00827661" w:rsidRPr="007944E1" w:rsidRDefault="00827661" w:rsidP="00050C9A">
            <w:pPr>
              <w:keepNext/>
              <w:autoSpaceDE w:val="0"/>
              <w:autoSpaceDN w:val="0"/>
              <w:adjustRightInd w:val="0"/>
              <w:spacing w:before="60" w:after="60"/>
              <w:jc w:val="center"/>
              <w:rPr>
                <w:rFonts w:cstheme="minorHAnsi"/>
                <w:b/>
                <w:bCs/>
                <w:color w:val="000000"/>
                <w:sz w:val="20"/>
                <w:szCs w:val="20"/>
              </w:rPr>
            </w:pPr>
          </w:p>
        </w:tc>
      </w:tr>
      <w:tr w:rsidR="0041109D" w:rsidRPr="006B7A9D" w14:paraId="5759CE30" w14:textId="77777777" w:rsidTr="00827661">
        <w:trPr>
          <w:trHeight w:val="288"/>
        </w:trPr>
        <w:tc>
          <w:tcPr>
            <w:tcW w:w="902" w:type="pct"/>
            <w:vAlign w:val="center"/>
          </w:tcPr>
          <w:p w14:paraId="72C849B0"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982" w:type="pct"/>
            <w:vAlign w:val="center"/>
          </w:tcPr>
          <w:p w14:paraId="40655A43" w14:textId="6EA7DA17"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12,7</w:t>
            </w:r>
            <w:r w:rsidR="008E0333">
              <w:rPr>
                <w:rFonts w:ascii="Calibri" w:hAnsi="Calibri" w:cs="Calibri"/>
                <w:color w:val="000000"/>
              </w:rPr>
              <w:t>60</w:t>
            </w:r>
          </w:p>
        </w:tc>
        <w:tc>
          <w:tcPr>
            <w:tcW w:w="1415" w:type="pct"/>
            <w:vAlign w:val="center"/>
          </w:tcPr>
          <w:p w14:paraId="61A1101D" w14:textId="51EC9D50"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15,08</w:t>
            </w:r>
            <w:r w:rsidR="008E0333">
              <w:rPr>
                <w:rFonts w:ascii="Calibri" w:hAnsi="Calibri" w:cs="Calibri"/>
                <w:color w:val="000000"/>
              </w:rPr>
              <w:t>2</w:t>
            </w:r>
          </w:p>
        </w:tc>
        <w:tc>
          <w:tcPr>
            <w:tcW w:w="1022" w:type="pct"/>
            <w:vAlign w:val="center"/>
          </w:tcPr>
          <w:p w14:paraId="1FE4D6F6" w14:textId="7D5BEB23"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6,087</w:t>
            </w:r>
          </w:p>
        </w:tc>
        <w:tc>
          <w:tcPr>
            <w:tcW w:w="679" w:type="pct"/>
            <w:vAlign w:val="center"/>
          </w:tcPr>
          <w:p w14:paraId="7F46B9FB" w14:textId="44DFEFD8"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33,92</w:t>
            </w:r>
            <w:r w:rsidR="008E0333">
              <w:rPr>
                <w:rFonts w:ascii="Calibri" w:hAnsi="Calibri" w:cs="Calibri"/>
                <w:color w:val="000000"/>
              </w:rPr>
              <w:t>9</w:t>
            </w:r>
          </w:p>
        </w:tc>
      </w:tr>
      <w:tr w:rsidR="0041109D" w:rsidRPr="006B7A9D" w14:paraId="6D43B82E" w14:textId="77777777" w:rsidTr="00827661">
        <w:trPr>
          <w:trHeight w:val="288"/>
        </w:trPr>
        <w:tc>
          <w:tcPr>
            <w:tcW w:w="902" w:type="pct"/>
            <w:vAlign w:val="center"/>
          </w:tcPr>
          <w:p w14:paraId="2B47F8F5" w14:textId="77777777" w:rsidR="0041109D" w:rsidRPr="007944E1" w:rsidRDefault="0041109D" w:rsidP="00050C9A">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Other f</w:t>
            </w:r>
            <w:r w:rsidRPr="007944E1">
              <w:rPr>
                <w:rFonts w:cstheme="minorHAnsi"/>
                <w:b/>
                <w:bCs/>
                <w:color w:val="000000"/>
                <w:sz w:val="20"/>
                <w:szCs w:val="20"/>
              </w:rPr>
              <w:t>ood crops</w:t>
            </w:r>
          </w:p>
        </w:tc>
        <w:tc>
          <w:tcPr>
            <w:tcW w:w="982" w:type="pct"/>
            <w:vAlign w:val="center"/>
          </w:tcPr>
          <w:p w14:paraId="78798E11" w14:textId="3866932D" w:rsidR="0041109D"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180,82</w:t>
            </w:r>
            <w:r w:rsidR="008E0333">
              <w:rPr>
                <w:rFonts w:ascii="Calibri" w:hAnsi="Calibri" w:cs="Calibri"/>
                <w:color w:val="000000"/>
              </w:rPr>
              <w:t>4</w:t>
            </w:r>
          </w:p>
        </w:tc>
        <w:tc>
          <w:tcPr>
            <w:tcW w:w="1415" w:type="pct"/>
            <w:vAlign w:val="center"/>
          </w:tcPr>
          <w:p w14:paraId="0490BA59" w14:textId="67B8E53D" w:rsidR="0041109D"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403,85</w:t>
            </w:r>
            <w:r w:rsidR="008E0333">
              <w:rPr>
                <w:rFonts w:ascii="Calibri" w:hAnsi="Calibri" w:cs="Calibri"/>
                <w:color w:val="000000"/>
              </w:rPr>
              <w:t>8</w:t>
            </w:r>
          </w:p>
        </w:tc>
        <w:tc>
          <w:tcPr>
            <w:tcW w:w="1022" w:type="pct"/>
            <w:vAlign w:val="center"/>
          </w:tcPr>
          <w:p w14:paraId="691686FF" w14:textId="07618678" w:rsidR="0041109D"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32,566</w:t>
            </w:r>
          </w:p>
        </w:tc>
        <w:tc>
          <w:tcPr>
            <w:tcW w:w="679" w:type="pct"/>
            <w:vAlign w:val="center"/>
          </w:tcPr>
          <w:p w14:paraId="340CE1EB" w14:textId="3F07562F" w:rsidR="0041109D"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617,248</w:t>
            </w:r>
          </w:p>
        </w:tc>
      </w:tr>
      <w:tr w:rsidR="0041109D" w:rsidRPr="006B7A9D" w14:paraId="5C44FA04" w14:textId="77777777" w:rsidTr="00827661">
        <w:trPr>
          <w:trHeight w:val="288"/>
        </w:trPr>
        <w:tc>
          <w:tcPr>
            <w:tcW w:w="902" w:type="pct"/>
            <w:vAlign w:val="center"/>
          </w:tcPr>
          <w:p w14:paraId="59FDA54F"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982" w:type="pct"/>
            <w:vAlign w:val="center"/>
          </w:tcPr>
          <w:p w14:paraId="2678570B" w14:textId="5228F1B3"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8,477</w:t>
            </w:r>
          </w:p>
        </w:tc>
        <w:tc>
          <w:tcPr>
            <w:tcW w:w="1415" w:type="pct"/>
            <w:vAlign w:val="center"/>
          </w:tcPr>
          <w:p w14:paraId="09DA6E40" w14:textId="6242ED94"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13,18</w:t>
            </w:r>
            <w:r w:rsidR="008E0333">
              <w:rPr>
                <w:rFonts w:ascii="Calibri" w:hAnsi="Calibri" w:cs="Calibri"/>
                <w:color w:val="000000"/>
              </w:rPr>
              <w:t>4</w:t>
            </w:r>
          </w:p>
        </w:tc>
        <w:tc>
          <w:tcPr>
            <w:tcW w:w="1022" w:type="pct"/>
            <w:vAlign w:val="center"/>
          </w:tcPr>
          <w:p w14:paraId="60027DCF" w14:textId="43706948"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1,802</w:t>
            </w:r>
          </w:p>
        </w:tc>
        <w:tc>
          <w:tcPr>
            <w:tcW w:w="679" w:type="pct"/>
            <w:vAlign w:val="center"/>
          </w:tcPr>
          <w:p w14:paraId="7ADF1C13" w14:textId="17822E01"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23,463</w:t>
            </w:r>
          </w:p>
        </w:tc>
      </w:tr>
      <w:tr w:rsidR="0041109D" w:rsidRPr="006B7A9D" w14:paraId="4B5CC073" w14:textId="77777777" w:rsidTr="00827661">
        <w:trPr>
          <w:trHeight w:val="288"/>
        </w:trPr>
        <w:tc>
          <w:tcPr>
            <w:tcW w:w="902" w:type="pct"/>
            <w:vAlign w:val="center"/>
          </w:tcPr>
          <w:p w14:paraId="5D3841B2"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982" w:type="pct"/>
            <w:vAlign w:val="center"/>
          </w:tcPr>
          <w:p w14:paraId="0EEC7903" w14:textId="07CD3D64"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9,94</w:t>
            </w:r>
            <w:r w:rsidR="008E0333">
              <w:rPr>
                <w:rFonts w:ascii="Calibri" w:hAnsi="Calibri" w:cs="Calibri"/>
                <w:color w:val="000000"/>
              </w:rPr>
              <w:t>3</w:t>
            </w:r>
          </w:p>
        </w:tc>
        <w:tc>
          <w:tcPr>
            <w:tcW w:w="1415" w:type="pct"/>
            <w:vAlign w:val="center"/>
          </w:tcPr>
          <w:p w14:paraId="77DDAC37" w14:textId="3B3F530A" w:rsidR="00827661" w:rsidRPr="00D2001F" w:rsidRDefault="0041109D" w:rsidP="00050C9A">
            <w:pPr>
              <w:keepNext/>
              <w:spacing w:before="60" w:after="60"/>
              <w:ind w:right="720"/>
              <w:jc w:val="right"/>
              <w:rPr>
                <w:rFonts w:ascii="Calibri" w:hAnsi="Calibri" w:cs="Calibri"/>
                <w:color w:val="000000"/>
              </w:rPr>
            </w:pPr>
            <w:r>
              <w:rPr>
                <w:rFonts w:ascii="Calibri" w:hAnsi="Calibri" w:cs="Calibri"/>
                <w:color w:val="000000"/>
              </w:rPr>
              <w:t>4,142</w:t>
            </w:r>
          </w:p>
        </w:tc>
        <w:tc>
          <w:tcPr>
            <w:tcW w:w="1022" w:type="pct"/>
            <w:vAlign w:val="center"/>
          </w:tcPr>
          <w:p w14:paraId="5D5555D5" w14:textId="4A83D821" w:rsidR="00827661" w:rsidRPr="00D2001F" w:rsidRDefault="0041109D" w:rsidP="00050C9A">
            <w:pPr>
              <w:keepNext/>
              <w:spacing w:before="60" w:after="60"/>
              <w:ind w:right="432"/>
              <w:jc w:val="right"/>
              <w:rPr>
                <w:rFonts w:ascii="Calibri" w:hAnsi="Calibri" w:cs="Calibri"/>
                <w:color w:val="000000"/>
              </w:rPr>
            </w:pPr>
            <w:r>
              <w:rPr>
                <w:rFonts w:ascii="Calibri" w:hAnsi="Calibri" w:cs="Calibri"/>
                <w:color w:val="000000"/>
              </w:rPr>
              <w:t>1,574</w:t>
            </w:r>
          </w:p>
        </w:tc>
        <w:tc>
          <w:tcPr>
            <w:tcW w:w="679" w:type="pct"/>
            <w:vAlign w:val="center"/>
          </w:tcPr>
          <w:p w14:paraId="51F8A848" w14:textId="782BA989" w:rsidR="00827661" w:rsidRPr="00D2001F" w:rsidRDefault="0041109D" w:rsidP="00050C9A">
            <w:pPr>
              <w:keepNext/>
              <w:spacing w:before="60" w:after="60"/>
              <w:ind w:right="144"/>
              <w:jc w:val="right"/>
              <w:rPr>
                <w:rFonts w:ascii="Calibri" w:hAnsi="Calibri" w:cs="Calibri"/>
                <w:color w:val="000000"/>
              </w:rPr>
            </w:pPr>
            <w:r>
              <w:rPr>
                <w:rFonts w:ascii="Calibri" w:hAnsi="Calibri" w:cs="Calibri"/>
                <w:color w:val="000000"/>
              </w:rPr>
              <w:t>15,659</w:t>
            </w:r>
          </w:p>
        </w:tc>
      </w:tr>
      <w:tr w:rsidR="0041109D" w:rsidRPr="006B7A9D" w14:paraId="6817C5F9" w14:textId="77777777" w:rsidTr="00827661">
        <w:trPr>
          <w:trHeight w:val="288"/>
        </w:trPr>
        <w:tc>
          <w:tcPr>
            <w:tcW w:w="902" w:type="pct"/>
            <w:vAlign w:val="center"/>
          </w:tcPr>
          <w:p w14:paraId="404FE401" w14:textId="77777777" w:rsidR="00827661" w:rsidRPr="007944E1" w:rsidRDefault="00827661" w:rsidP="00050C9A">
            <w:pPr>
              <w:keepNext/>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982" w:type="pct"/>
            <w:vAlign w:val="center"/>
          </w:tcPr>
          <w:p w14:paraId="53EAC73D" w14:textId="18BB86BC" w:rsidR="00827661" w:rsidRPr="006B7A9D" w:rsidRDefault="008E0333" w:rsidP="00050C9A">
            <w:pPr>
              <w:keepNext/>
              <w:spacing w:before="60" w:after="60"/>
              <w:ind w:right="432"/>
              <w:jc w:val="right"/>
              <w:rPr>
                <w:rFonts w:cstheme="minorHAnsi"/>
                <w:color w:val="000000"/>
                <w:sz w:val="20"/>
                <w:szCs w:val="20"/>
              </w:rPr>
            </w:pPr>
            <w:r>
              <w:rPr>
                <w:rFonts w:cstheme="minorHAnsi"/>
                <w:color w:val="000000"/>
                <w:sz w:val="20"/>
                <w:szCs w:val="20"/>
              </w:rPr>
              <w:t>212,004</w:t>
            </w:r>
          </w:p>
        </w:tc>
        <w:tc>
          <w:tcPr>
            <w:tcW w:w="1415" w:type="pct"/>
            <w:vAlign w:val="center"/>
          </w:tcPr>
          <w:p w14:paraId="70EA56EF" w14:textId="47795231" w:rsidR="00827661" w:rsidRPr="006B7A9D" w:rsidRDefault="008E0333" w:rsidP="00050C9A">
            <w:pPr>
              <w:keepNext/>
              <w:spacing w:before="60" w:after="60"/>
              <w:ind w:right="720"/>
              <w:jc w:val="right"/>
              <w:rPr>
                <w:rFonts w:cstheme="minorHAnsi"/>
                <w:color w:val="000000"/>
                <w:sz w:val="20"/>
                <w:szCs w:val="20"/>
              </w:rPr>
            </w:pPr>
            <w:r>
              <w:rPr>
                <w:rFonts w:cstheme="minorHAnsi"/>
                <w:color w:val="000000"/>
                <w:sz w:val="20"/>
                <w:szCs w:val="20"/>
              </w:rPr>
              <w:t>436,266</w:t>
            </w:r>
          </w:p>
        </w:tc>
        <w:tc>
          <w:tcPr>
            <w:tcW w:w="1022" w:type="pct"/>
            <w:vAlign w:val="center"/>
          </w:tcPr>
          <w:p w14:paraId="03D56256" w14:textId="45CA4AE0" w:rsidR="00827661" w:rsidRPr="006B7A9D" w:rsidRDefault="008E0333" w:rsidP="00050C9A">
            <w:pPr>
              <w:keepNext/>
              <w:spacing w:before="60" w:after="60"/>
              <w:ind w:right="432"/>
              <w:jc w:val="right"/>
              <w:rPr>
                <w:rFonts w:cstheme="minorHAnsi"/>
                <w:color w:val="000000"/>
                <w:sz w:val="20"/>
                <w:szCs w:val="20"/>
              </w:rPr>
            </w:pPr>
            <w:r>
              <w:rPr>
                <w:rFonts w:cstheme="minorHAnsi"/>
                <w:color w:val="000000"/>
                <w:sz w:val="20"/>
                <w:szCs w:val="20"/>
              </w:rPr>
              <w:t>42,029</w:t>
            </w:r>
          </w:p>
        </w:tc>
        <w:tc>
          <w:tcPr>
            <w:tcW w:w="679" w:type="pct"/>
            <w:vAlign w:val="center"/>
          </w:tcPr>
          <w:p w14:paraId="2C2A269B" w14:textId="4362EA77" w:rsidR="00827661" w:rsidRPr="00396440" w:rsidRDefault="008E0333" w:rsidP="00050C9A">
            <w:pPr>
              <w:keepNext/>
              <w:spacing w:before="60" w:after="60"/>
              <w:ind w:right="144"/>
              <w:jc w:val="right"/>
              <w:rPr>
                <w:rFonts w:ascii="Calibri" w:hAnsi="Calibri" w:cs="Calibri"/>
                <w:color w:val="000000"/>
                <w:sz w:val="20"/>
                <w:szCs w:val="20"/>
              </w:rPr>
            </w:pPr>
            <w:r>
              <w:rPr>
                <w:rFonts w:ascii="Calibri" w:hAnsi="Calibri" w:cs="Calibri"/>
                <w:color w:val="000000"/>
                <w:sz w:val="20"/>
                <w:szCs w:val="20"/>
              </w:rPr>
              <w:t>690,</w:t>
            </w:r>
            <w:r w:rsidRPr="00050C9A">
              <w:rPr>
                <w:rFonts w:ascii="Calibri" w:hAnsi="Calibri" w:cs="Calibri"/>
                <w:color w:val="000000"/>
              </w:rPr>
              <w:t>299</w:t>
            </w:r>
          </w:p>
        </w:tc>
      </w:tr>
    </w:tbl>
    <w:p w14:paraId="7312CE1A" w14:textId="77777777" w:rsidR="00827661" w:rsidRDefault="00827661" w:rsidP="00050C9A">
      <w:pPr>
        <w:keepNext/>
      </w:pPr>
    </w:p>
    <w:p w14:paraId="3379A3D2" w14:textId="35DAD901" w:rsidR="00827661" w:rsidRPr="007944E1" w:rsidRDefault="00EC5F58" w:rsidP="00050C9A">
      <w:pPr>
        <w:keepNext/>
        <w:rPr>
          <w:rFonts w:cstheme="minorHAnsi"/>
          <w:sz w:val="18"/>
          <w:szCs w:val="18"/>
          <w:lang w:val="en-US"/>
        </w:rPr>
      </w:pPr>
      <w:r w:rsidRPr="007944E1">
        <w:rPr>
          <w:rFonts w:cstheme="minorHAnsi"/>
          <w:sz w:val="18"/>
          <w:szCs w:val="18"/>
          <w:lang w:val="en-US"/>
        </w:rPr>
        <w:t xml:space="preserve">Systems </w:t>
      </w:r>
      <w:r>
        <w:rPr>
          <w:rFonts w:cstheme="minorHAnsi"/>
          <w:sz w:val="18"/>
          <w:szCs w:val="18"/>
          <w:lang w:val="en-US"/>
        </w:rPr>
        <w:t xml:space="preserve">based on </w:t>
      </w:r>
      <w:r w:rsidRPr="007944E1">
        <w:rPr>
          <w:rFonts w:cstheme="minorHAnsi"/>
          <w:sz w:val="18"/>
          <w:szCs w:val="18"/>
          <w:lang w:val="en-US"/>
        </w:rPr>
        <w:t>Robinson et al</w:t>
      </w:r>
      <w:r>
        <w:rPr>
          <w:rFonts w:cstheme="minorHAnsi"/>
          <w:sz w:val="18"/>
          <w:szCs w:val="18"/>
          <w:lang w:val="en-US"/>
        </w:rPr>
        <w:t>.</w:t>
      </w:r>
      <w:r w:rsidRPr="007944E1">
        <w:rPr>
          <w:rFonts w:cstheme="minorHAnsi"/>
          <w:sz w:val="18"/>
          <w:szCs w:val="18"/>
          <w:lang w:val="en-US"/>
        </w:rPr>
        <w:t xml:space="preserve"> </w:t>
      </w:r>
      <w:r>
        <w:rPr>
          <w:rFonts w:cstheme="minorHAnsi"/>
          <w:sz w:val="18"/>
          <w:szCs w:val="18"/>
          <w:lang w:val="en-US"/>
        </w:rPr>
        <w:t>(</w:t>
      </w:r>
      <w:r w:rsidRPr="007944E1">
        <w:rPr>
          <w:rFonts w:cstheme="minorHAnsi"/>
          <w:sz w:val="18"/>
          <w:szCs w:val="18"/>
          <w:lang w:val="en-US"/>
        </w:rPr>
        <w:t>2011): MR</w:t>
      </w:r>
      <w:r>
        <w:rPr>
          <w:rFonts w:cstheme="minorHAnsi"/>
          <w:sz w:val="18"/>
          <w:szCs w:val="18"/>
          <w:lang w:val="en-US"/>
        </w:rPr>
        <w:t xml:space="preserve"> =</w:t>
      </w:r>
      <w:r w:rsidRPr="007944E1">
        <w:rPr>
          <w:rFonts w:cstheme="minorHAnsi"/>
          <w:sz w:val="18"/>
          <w:szCs w:val="18"/>
          <w:lang w:val="en-US"/>
        </w:rPr>
        <w:t xml:space="preserve"> mixed rainfed; MI</w:t>
      </w:r>
      <w:r>
        <w:rPr>
          <w:rFonts w:cstheme="minorHAnsi"/>
          <w:sz w:val="18"/>
          <w:szCs w:val="18"/>
          <w:lang w:val="en-US"/>
        </w:rPr>
        <w:t xml:space="preserve"> =</w:t>
      </w:r>
      <w:r w:rsidRPr="007944E1">
        <w:rPr>
          <w:rFonts w:cstheme="minorHAnsi"/>
          <w:sz w:val="18"/>
          <w:szCs w:val="18"/>
          <w:lang w:val="en-US"/>
        </w:rPr>
        <w:t xml:space="preserve"> mixed irrigated; A</w:t>
      </w:r>
      <w:r>
        <w:rPr>
          <w:rFonts w:cstheme="minorHAnsi"/>
          <w:sz w:val="18"/>
          <w:szCs w:val="18"/>
          <w:lang w:val="en-US"/>
        </w:rPr>
        <w:t xml:space="preserve"> =</w:t>
      </w:r>
      <w:r w:rsidRPr="007944E1">
        <w:rPr>
          <w:rFonts w:cstheme="minorHAnsi"/>
          <w:sz w:val="18"/>
          <w:szCs w:val="18"/>
          <w:lang w:val="en-US"/>
        </w:rPr>
        <w:t xml:space="preserve"> arid-semiarid; H</w:t>
      </w:r>
      <w:r>
        <w:rPr>
          <w:rFonts w:cstheme="minorHAnsi"/>
          <w:sz w:val="18"/>
          <w:szCs w:val="18"/>
          <w:lang w:val="en-US"/>
        </w:rPr>
        <w:t xml:space="preserve"> =</w:t>
      </w:r>
      <w:r w:rsidRPr="007944E1">
        <w:rPr>
          <w:rFonts w:cstheme="minorHAnsi"/>
          <w:sz w:val="18"/>
          <w:szCs w:val="18"/>
          <w:lang w:val="en-US"/>
        </w:rPr>
        <w:t xml:space="preserve"> humid-</w:t>
      </w:r>
      <w:proofErr w:type="spellStart"/>
      <w:r w:rsidRPr="007944E1">
        <w:rPr>
          <w:rFonts w:cstheme="minorHAnsi"/>
          <w:sz w:val="18"/>
          <w:szCs w:val="18"/>
          <w:lang w:val="en-US"/>
        </w:rPr>
        <w:t>subhumid</w:t>
      </w:r>
      <w:proofErr w:type="spellEnd"/>
      <w:r w:rsidRPr="007944E1">
        <w:rPr>
          <w:rFonts w:cstheme="minorHAnsi"/>
          <w:sz w:val="18"/>
          <w:szCs w:val="18"/>
          <w:lang w:val="en-US"/>
        </w:rPr>
        <w:t>; T</w:t>
      </w:r>
      <w:r>
        <w:rPr>
          <w:rFonts w:cstheme="minorHAnsi"/>
          <w:sz w:val="18"/>
          <w:szCs w:val="18"/>
          <w:lang w:val="en-US"/>
        </w:rPr>
        <w:t xml:space="preserve"> =</w:t>
      </w:r>
      <w:r w:rsidRPr="007944E1">
        <w:rPr>
          <w:rFonts w:cstheme="minorHAnsi"/>
          <w:sz w:val="18"/>
          <w:szCs w:val="18"/>
          <w:lang w:val="en-US"/>
        </w:rPr>
        <w:t xml:space="preserve"> tropical highland</w:t>
      </w:r>
      <w:r>
        <w:rPr>
          <w:rFonts w:cstheme="minorHAnsi"/>
          <w:sz w:val="18"/>
          <w:szCs w:val="18"/>
          <w:lang w:val="en-US"/>
        </w:rPr>
        <w:t>.</w:t>
      </w:r>
    </w:p>
    <w:p w14:paraId="35F1148F" w14:textId="2B3C44DE" w:rsidR="00827661" w:rsidRDefault="00827661" w:rsidP="00766EB0">
      <w:pPr>
        <w:rPr>
          <w:rFonts w:cstheme="minorHAnsi"/>
          <w:lang w:val="en-US"/>
        </w:rPr>
      </w:pPr>
    </w:p>
    <w:p w14:paraId="422ABBA2" w14:textId="77777777" w:rsidR="001A56D0" w:rsidRPr="001A56D0" w:rsidRDefault="001A56D0" w:rsidP="00766EB0">
      <w:pPr>
        <w:rPr>
          <w:rFonts w:cstheme="minorHAnsi"/>
          <w:b/>
          <w:bCs/>
          <w:lang w:val="en-US"/>
        </w:rPr>
      </w:pPr>
    </w:p>
    <w:p w14:paraId="542FC501" w14:textId="07619F08" w:rsidR="00481B0D" w:rsidRPr="001A56D0" w:rsidRDefault="00407E3D" w:rsidP="00481B0D">
      <w:pPr>
        <w:rPr>
          <w:b/>
          <w:bCs/>
        </w:rPr>
      </w:pPr>
      <w:r w:rsidRPr="001A56D0">
        <w:rPr>
          <w:b/>
          <w:bCs/>
        </w:rPr>
        <w:t xml:space="preserve">Table 4. </w:t>
      </w:r>
      <w:r w:rsidRPr="00E10561">
        <w:t xml:space="preserve">Marginal increases in value of production per year at year 10 (2005 USD, millions) of maize, bovine meat and bovine milk </w:t>
      </w:r>
      <w:r w:rsidR="00481B0D" w:rsidRPr="00E10561">
        <w:t xml:space="preserve">for a range of plausible productivity </w:t>
      </w:r>
      <w:r w:rsidRPr="00E10561">
        <w:t>benefit</w:t>
      </w:r>
      <w:r w:rsidR="00481B0D" w:rsidRPr="00E10561">
        <w:t>s</w:t>
      </w:r>
      <w:r w:rsidRPr="00E10561">
        <w:t xml:space="preserve"> and adoption rate</w:t>
      </w:r>
      <w:r w:rsidR="00481B0D" w:rsidRPr="00E10561">
        <w:t xml:space="preserve">s per year </w:t>
      </w:r>
      <w:r w:rsidRPr="00E10561">
        <w:t xml:space="preserve">in the mixed crop-livestock systems </w:t>
      </w:r>
      <w:r w:rsidR="00481B0D" w:rsidRPr="00E10561">
        <w:t xml:space="preserve">in the </w:t>
      </w:r>
      <w:r w:rsidR="009859AB" w:rsidRPr="00E10561">
        <w:t xml:space="preserve">20 </w:t>
      </w:r>
      <w:r w:rsidR="00481B0D" w:rsidRPr="00E10561">
        <w:t>AICCRA “spillover” countries.</w:t>
      </w:r>
    </w:p>
    <w:p w14:paraId="47A33B21" w14:textId="78363F85" w:rsidR="00407E3D" w:rsidRDefault="00407E3D" w:rsidP="00407E3D"/>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407E3D" w:rsidRPr="006B7A9D" w14:paraId="1DF08832" w14:textId="77777777" w:rsidTr="00200A5D">
        <w:trPr>
          <w:trHeight w:val="288"/>
          <w:jc w:val="right"/>
        </w:trPr>
        <w:tc>
          <w:tcPr>
            <w:tcW w:w="1177" w:type="pct"/>
            <w:vAlign w:val="center"/>
          </w:tcPr>
          <w:p w14:paraId="5C203163" w14:textId="77777777" w:rsidR="00407E3D" w:rsidRPr="007944E1" w:rsidRDefault="00407E3D" w:rsidP="00F94624">
            <w:pPr>
              <w:autoSpaceDE w:val="0"/>
              <w:autoSpaceDN w:val="0"/>
              <w:adjustRightInd w:val="0"/>
              <w:spacing w:before="60" w:after="60"/>
              <w:rPr>
                <w:rFonts w:cstheme="minorHAnsi"/>
                <w:b/>
                <w:bCs/>
                <w:color w:val="000000"/>
                <w:sz w:val="20"/>
                <w:szCs w:val="20"/>
              </w:rPr>
            </w:pPr>
          </w:p>
        </w:tc>
        <w:tc>
          <w:tcPr>
            <w:tcW w:w="1967" w:type="pct"/>
            <w:gridSpan w:val="3"/>
            <w:vAlign w:val="center"/>
          </w:tcPr>
          <w:p w14:paraId="5A1378FB" w14:textId="77777777" w:rsidR="00407E3D" w:rsidRPr="007944E1" w:rsidRDefault="00407E3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5 % Productivity increment</w:t>
            </w:r>
          </w:p>
        </w:tc>
        <w:tc>
          <w:tcPr>
            <w:tcW w:w="1856" w:type="pct"/>
            <w:gridSpan w:val="3"/>
            <w:vAlign w:val="center"/>
          </w:tcPr>
          <w:p w14:paraId="3815231B" w14:textId="77777777" w:rsidR="00407E3D" w:rsidRPr="007944E1" w:rsidRDefault="00407E3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10% Productivity increment</w:t>
            </w:r>
          </w:p>
        </w:tc>
      </w:tr>
      <w:tr w:rsidR="00407E3D" w:rsidRPr="006B7A9D" w14:paraId="546A70F3" w14:textId="77777777" w:rsidTr="00200A5D">
        <w:trPr>
          <w:trHeight w:val="288"/>
          <w:jc w:val="right"/>
        </w:trPr>
        <w:tc>
          <w:tcPr>
            <w:tcW w:w="1177" w:type="pct"/>
            <w:vAlign w:val="center"/>
          </w:tcPr>
          <w:p w14:paraId="2FA5A149" w14:textId="09A05321" w:rsidR="00407E3D" w:rsidRPr="007944E1" w:rsidRDefault="00407E3D" w:rsidP="00B7108F">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B7108F">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00292D10" w14:textId="6E72E364"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1 %</w:t>
            </w:r>
          </w:p>
        </w:tc>
        <w:tc>
          <w:tcPr>
            <w:tcW w:w="629" w:type="pct"/>
            <w:vAlign w:val="center"/>
          </w:tcPr>
          <w:p w14:paraId="46B2737D" w14:textId="3FAF548E"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9859AB">
              <w:rPr>
                <w:rFonts w:cstheme="minorHAnsi"/>
                <w:b/>
                <w:bCs/>
                <w:color w:val="000000"/>
                <w:sz w:val="20"/>
                <w:szCs w:val="20"/>
              </w:rPr>
              <w:t>2</w:t>
            </w:r>
            <w:r w:rsidR="00407E3D">
              <w:rPr>
                <w:rFonts w:cstheme="minorHAnsi"/>
                <w:b/>
                <w:bCs/>
                <w:color w:val="000000"/>
                <w:sz w:val="20"/>
                <w:szCs w:val="20"/>
              </w:rPr>
              <w:t>%</w:t>
            </w:r>
          </w:p>
        </w:tc>
        <w:tc>
          <w:tcPr>
            <w:tcW w:w="631" w:type="pct"/>
            <w:vAlign w:val="center"/>
          </w:tcPr>
          <w:p w14:paraId="4705507D" w14:textId="00613325"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9859AB">
              <w:rPr>
                <w:rFonts w:cstheme="minorHAnsi"/>
                <w:b/>
                <w:bCs/>
                <w:color w:val="000000"/>
                <w:sz w:val="20"/>
                <w:szCs w:val="20"/>
              </w:rPr>
              <w:t>3</w:t>
            </w:r>
            <w:r w:rsidR="00407E3D">
              <w:rPr>
                <w:rFonts w:cstheme="minorHAnsi"/>
                <w:b/>
                <w:bCs/>
                <w:color w:val="000000"/>
                <w:sz w:val="20"/>
                <w:szCs w:val="20"/>
              </w:rPr>
              <w:t>%</w:t>
            </w:r>
          </w:p>
        </w:tc>
        <w:tc>
          <w:tcPr>
            <w:tcW w:w="629" w:type="pct"/>
            <w:vAlign w:val="center"/>
          </w:tcPr>
          <w:p w14:paraId="31ED979D" w14:textId="653298AD"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1%</w:t>
            </w:r>
          </w:p>
        </w:tc>
        <w:tc>
          <w:tcPr>
            <w:tcW w:w="629" w:type="pct"/>
            <w:vAlign w:val="center"/>
          </w:tcPr>
          <w:p w14:paraId="02DE3177" w14:textId="72B1BF2A"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2%</w:t>
            </w:r>
          </w:p>
        </w:tc>
        <w:tc>
          <w:tcPr>
            <w:tcW w:w="598" w:type="pct"/>
            <w:vAlign w:val="center"/>
          </w:tcPr>
          <w:p w14:paraId="211C4406" w14:textId="1505EB83" w:rsidR="00407E3D" w:rsidRPr="007944E1" w:rsidRDefault="00481B0D" w:rsidP="00F94624">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w:t>
            </w:r>
            <w:r w:rsidR="00407E3D">
              <w:rPr>
                <w:rFonts w:cstheme="minorHAnsi"/>
                <w:b/>
                <w:bCs/>
                <w:color w:val="000000"/>
                <w:sz w:val="20"/>
                <w:szCs w:val="20"/>
              </w:rPr>
              <w:t>3%</w:t>
            </w:r>
          </w:p>
        </w:tc>
      </w:tr>
      <w:tr w:rsidR="00407E3D" w:rsidRPr="006B7A9D" w14:paraId="648A8540" w14:textId="77777777" w:rsidTr="00200A5D">
        <w:trPr>
          <w:trHeight w:val="288"/>
          <w:jc w:val="right"/>
        </w:trPr>
        <w:tc>
          <w:tcPr>
            <w:tcW w:w="1177" w:type="pct"/>
            <w:vAlign w:val="center"/>
          </w:tcPr>
          <w:p w14:paraId="127BF1CC"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Maize</w:t>
            </w:r>
          </w:p>
        </w:tc>
        <w:tc>
          <w:tcPr>
            <w:tcW w:w="707" w:type="pct"/>
            <w:vAlign w:val="center"/>
          </w:tcPr>
          <w:p w14:paraId="37F7D895" w14:textId="06D8E1F8"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$7.77</w:t>
            </w:r>
          </w:p>
        </w:tc>
        <w:tc>
          <w:tcPr>
            <w:tcW w:w="629" w:type="pct"/>
            <w:vAlign w:val="center"/>
          </w:tcPr>
          <w:p w14:paraId="3A3C8BD2" w14:textId="58670056"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$15.49</w:t>
            </w:r>
          </w:p>
        </w:tc>
        <w:tc>
          <w:tcPr>
            <w:tcW w:w="631" w:type="pct"/>
            <w:vAlign w:val="center"/>
          </w:tcPr>
          <w:p w14:paraId="3FCCB9E7" w14:textId="4137A50C"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$23.17</w:t>
            </w:r>
          </w:p>
        </w:tc>
        <w:tc>
          <w:tcPr>
            <w:tcW w:w="629" w:type="pct"/>
            <w:vAlign w:val="center"/>
          </w:tcPr>
          <w:p w14:paraId="2C0498C1" w14:textId="702C1968"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$15.53</w:t>
            </w:r>
          </w:p>
        </w:tc>
        <w:tc>
          <w:tcPr>
            <w:tcW w:w="629" w:type="pct"/>
            <w:vAlign w:val="center"/>
          </w:tcPr>
          <w:p w14:paraId="4764E2AE" w14:textId="14B8702E"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$30.98</w:t>
            </w:r>
          </w:p>
        </w:tc>
        <w:tc>
          <w:tcPr>
            <w:tcW w:w="598" w:type="pct"/>
            <w:vAlign w:val="center"/>
          </w:tcPr>
          <w:p w14:paraId="0458FA64" w14:textId="7D77AE7D" w:rsidR="00407E3D" w:rsidRPr="006B7A9D" w:rsidRDefault="009859AB"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$46.35</w:t>
            </w:r>
          </w:p>
        </w:tc>
      </w:tr>
      <w:tr w:rsidR="00407E3D" w:rsidRPr="006B7A9D" w14:paraId="5B381549" w14:textId="77777777" w:rsidTr="00200A5D">
        <w:trPr>
          <w:trHeight w:val="288"/>
          <w:jc w:val="right"/>
        </w:trPr>
        <w:tc>
          <w:tcPr>
            <w:tcW w:w="1177" w:type="pct"/>
            <w:vAlign w:val="center"/>
          </w:tcPr>
          <w:p w14:paraId="40AAC422"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meat</w:t>
            </w:r>
          </w:p>
        </w:tc>
        <w:tc>
          <w:tcPr>
            <w:tcW w:w="707" w:type="pct"/>
            <w:vAlign w:val="center"/>
          </w:tcPr>
          <w:p w14:paraId="7233109C" w14:textId="5B296FF3"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$61.47</w:t>
            </w:r>
          </w:p>
        </w:tc>
        <w:tc>
          <w:tcPr>
            <w:tcW w:w="629" w:type="pct"/>
            <w:vAlign w:val="center"/>
          </w:tcPr>
          <w:p w14:paraId="2C111CB8" w14:textId="62E6EAA6"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$123.5</w:t>
            </w:r>
            <w:r w:rsidR="000C37F0">
              <w:rPr>
                <w:rFonts w:cstheme="minorHAnsi"/>
                <w:color w:val="000000"/>
                <w:sz w:val="20"/>
                <w:szCs w:val="20"/>
              </w:rPr>
              <w:t>0</w:t>
            </w:r>
          </w:p>
        </w:tc>
        <w:tc>
          <w:tcPr>
            <w:tcW w:w="631" w:type="pct"/>
            <w:vAlign w:val="center"/>
          </w:tcPr>
          <w:p w14:paraId="278795FD" w14:textId="2FAB389A"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$186.09</w:t>
            </w:r>
          </w:p>
        </w:tc>
        <w:tc>
          <w:tcPr>
            <w:tcW w:w="629" w:type="pct"/>
            <w:vAlign w:val="center"/>
          </w:tcPr>
          <w:p w14:paraId="1791C7E8" w14:textId="00B9F45D"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$122.95</w:t>
            </w:r>
          </w:p>
        </w:tc>
        <w:tc>
          <w:tcPr>
            <w:tcW w:w="629" w:type="pct"/>
            <w:vAlign w:val="center"/>
          </w:tcPr>
          <w:p w14:paraId="4EAEBD36" w14:textId="74558D57" w:rsidR="00407E3D"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$247.00</w:t>
            </w:r>
          </w:p>
        </w:tc>
        <w:tc>
          <w:tcPr>
            <w:tcW w:w="598" w:type="pct"/>
            <w:vAlign w:val="center"/>
          </w:tcPr>
          <w:p w14:paraId="209DA7B9" w14:textId="3A38452C" w:rsidR="00EC0EAA" w:rsidRPr="006B7A9D" w:rsidRDefault="00EC0EAA"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$372.18</w:t>
            </w:r>
          </w:p>
        </w:tc>
      </w:tr>
      <w:tr w:rsidR="00407E3D" w:rsidRPr="006B7A9D" w14:paraId="018A77D4" w14:textId="77777777" w:rsidTr="00200A5D">
        <w:trPr>
          <w:trHeight w:val="288"/>
          <w:jc w:val="right"/>
        </w:trPr>
        <w:tc>
          <w:tcPr>
            <w:tcW w:w="1177" w:type="pct"/>
            <w:vAlign w:val="center"/>
          </w:tcPr>
          <w:p w14:paraId="11956A63"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Bovine milk</w:t>
            </w:r>
          </w:p>
        </w:tc>
        <w:tc>
          <w:tcPr>
            <w:tcW w:w="707" w:type="pct"/>
            <w:vAlign w:val="center"/>
          </w:tcPr>
          <w:p w14:paraId="2C1F1BC7" w14:textId="44C9A3C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$0.79</w:t>
            </w:r>
          </w:p>
        </w:tc>
        <w:tc>
          <w:tcPr>
            <w:tcW w:w="629" w:type="pct"/>
            <w:vAlign w:val="center"/>
          </w:tcPr>
          <w:p w14:paraId="40796388" w14:textId="2FEF613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$1.58</w:t>
            </w:r>
          </w:p>
        </w:tc>
        <w:tc>
          <w:tcPr>
            <w:tcW w:w="631" w:type="pct"/>
            <w:vAlign w:val="center"/>
          </w:tcPr>
          <w:p w14:paraId="0BEC21C4" w14:textId="6429601E"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$2.38</w:t>
            </w:r>
          </w:p>
        </w:tc>
        <w:tc>
          <w:tcPr>
            <w:tcW w:w="629" w:type="pct"/>
            <w:vAlign w:val="center"/>
          </w:tcPr>
          <w:p w14:paraId="7CD80902" w14:textId="33305F78"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$1.57</w:t>
            </w:r>
          </w:p>
        </w:tc>
        <w:tc>
          <w:tcPr>
            <w:tcW w:w="629" w:type="pct"/>
            <w:vAlign w:val="center"/>
          </w:tcPr>
          <w:p w14:paraId="06DE8366" w14:textId="17EBA2BC"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$3.16</w:t>
            </w:r>
          </w:p>
        </w:tc>
        <w:tc>
          <w:tcPr>
            <w:tcW w:w="598" w:type="pct"/>
            <w:vAlign w:val="center"/>
          </w:tcPr>
          <w:p w14:paraId="2163824D" w14:textId="23D019BF"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$4.76</w:t>
            </w:r>
          </w:p>
        </w:tc>
      </w:tr>
      <w:tr w:rsidR="00407E3D" w:rsidRPr="006B7A9D" w14:paraId="711EB5A0" w14:textId="77777777" w:rsidTr="00200A5D">
        <w:trPr>
          <w:trHeight w:val="288"/>
          <w:jc w:val="right"/>
        </w:trPr>
        <w:tc>
          <w:tcPr>
            <w:tcW w:w="1177" w:type="pct"/>
            <w:vAlign w:val="center"/>
          </w:tcPr>
          <w:p w14:paraId="3823A7CE" w14:textId="77777777" w:rsidR="00407E3D" w:rsidRPr="007944E1" w:rsidRDefault="00407E3D" w:rsidP="00F94624">
            <w:pPr>
              <w:autoSpaceDE w:val="0"/>
              <w:autoSpaceDN w:val="0"/>
              <w:adjustRightInd w:val="0"/>
              <w:spacing w:before="60" w:after="60"/>
              <w:rPr>
                <w:rFonts w:cstheme="minorHAnsi"/>
                <w:b/>
                <w:bCs/>
                <w:color w:val="000000"/>
                <w:sz w:val="20"/>
                <w:szCs w:val="20"/>
              </w:rPr>
            </w:pPr>
            <w:r w:rsidRPr="007944E1">
              <w:rPr>
                <w:rFonts w:cstheme="minorHAnsi"/>
                <w:b/>
                <w:bCs/>
                <w:color w:val="000000"/>
                <w:sz w:val="20"/>
                <w:szCs w:val="20"/>
              </w:rPr>
              <w:t>Total</w:t>
            </w:r>
          </w:p>
        </w:tc>
        <w:tc>
          <w:tcPr>
            <w:tcW w:w="707" w:type="pct"/>
            <w:vAlign w:val="center"/>
          </w:tcPr>
          <w:p w14:paraId="4AE94E9F" w14:textId="2F8A5670"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$70.03</w:t>
            </w:r>
          </w:p>
        </w:tc>
        <w:tc>
          <w:tcPr>
            <w:tcW w:w="629" w:type="pct"/>
            <w:vAlign w:val="center"/>
          </w:tcPr>
          <w:p w14:paraId="737A0552" w14:textId="0E5EB8DF"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$140.57</w:t>
            </w:r>
          </w:p>
        </w:tc>
        <w:tc>
          <w:tcPr>
            <w:tcW w:w="631" w:type="pct"/>
            <w:vAlign w:val="center"/>
          </w:tcPr>
          <w:p w14:paraId="2B2B19A5" w14:textId="2CC63ED0"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$211.64</w:t>
            </w:r>
          </w:p>
        </w:tc>
        <w:tc>
          <w:tcPr>
            <w:tcW w:w="629" w:type="pct"/>
            <w:vAlign w:val="center"/>
          </w:tcPr>
          <w:p w14:paraId="2F839659" w14:textId="4CD82713"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$295.48</w:t>
            </w:r>
          </w:p>
        </w:tc>
        <w:tc>
          <w:tcPr>
            <w:tcW w:w="629" w:type="pct"/>
            <w:vAlign w:val="center"/>
          </w:tcPr>
          <w:p w14:paraId="662BB224" w14:textId="3B48DACD"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$281.14</w:t>
            </w:r>
          </w:p>
        </w:tc>
        <w:tc>
          <w:tcPr>
            <w:tcW w:w="598" w:type="pct"/>
            <w:vAlign w:val="center"/>
          </w:tcPr>
          <w:p w14:paraId="355DF8CE" w14:textId="45F3D8B3" w:rsidR="00407E3D" w:rsidRPr="006B7A9D" w:rsidRDefault="000C37F0" w:rsidP="00050C9A">
            <w:pPr>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$423.29</w:t>
            </w:r>
          </w:p>
        </w:tc>
      </w:tr>
    </w:tbl>
    <w:p w14:paraId="04C1D706" w14:textId="7635824B" w:rsidR="00827661" w:rsidRDefault="00827661" w:rsidP="00766EB0">
      <w:pPr>
        <w:rPr>
          <w:rFonts w:cstheme="minorHAnsi"/>
          <w:lang w:val="en-US"/>
        </w:rPr>
      </w:pPr>
    </w:p>
    <w:p w14:paraId="7DD466F6" w14:textId="77777777" w:rsidR="00957835" w:rsidRDefault="00957835" w:rsidP="00766EB0">
      <w:pPr>
        <w:rPr>
          <w:rFonts w:cstheme="minorHAnsi"/>
          <w:lang w:val="en-US"/>
        </w:rPr>
      </w:pPr>
    </w:p>
    <w:p w14:paraId="7A813776" w14:textId="0619C295" w:rsidR="00D95B4E" w:rsidRPr="00A04AF8" w:rsidRDefault="00A04AF8" w:rsidP="00957835">
      <w:pPr>
        <w:rPr>
          <w:b/>
          <w:bCs/>
        </w:rPr>
      </w:pPr>
      <w:r>
        <w:rPr>
          <w:b/>
          <w:bCs/>
        </w:rPr>
        <w:t xml:space="preserve">3.3.  </w:t>
      </w:r>
      <w:r w:rsidR="00977E5E" w:rsidRPr="00A04AF8">
        <w:rPr>
          <w:b/>
          <w:bCs/>
        </w:rPr>
        <w:t>B</w:t>
      </w:r>
      <w:r w:rsidR="00D95B4E" w:rsidRPr="00A04AF8">
        <w:rPr>
          <w:b/>
          <w:bCs/>
        </w:rPr>
        <w:t xml:space="preserve">enefits of yield losses </w:t>
      </w:r>
      <w:r w:rsidR="00BB6F6B" w:rsidRPr="00A04AF8">
        <w:rPr>
          <w:b/>
          <w:bCs/>
        </w:rPr>
        <w:t xml:space="preserve">avoided </w:t>
      </w:r>
      <w:r w:rsidR="00230317" w:rsidRPr="00A04AF8">
        <w:rPr>
          <w:b/>
          <w:bCs/>
        </w:rPr>
        <w:t xml:space="preserve">through </w:t>
      </w:r>
      <w:r w:rsidR="00D95B4E" w:rsidRPr="00A04AF8">
        <w:rPr>
          <w:b/>
          <w:bCs/>
        </w:rPr>
        <w:t xml:space="preserve">use of </w:t>
      </w:r>
      <w:r w:rsidR="00CE325E" w:rsidRPr="00A04AF8">
        <w:rPr>
          <w:b/>
          <w:bCs/>
        </w:rPr>
        <w:t>CIS</w:t>
      </w:r>
    </w:p>
    <w:p w14:paraId="72D1D06B" w14:textId="77777777" w:rsidR="00957835" w:rsidRDefault="00957835" w:rsidP="00F94624">
      <w:pPr>
        <w:keepNext/>
      </w:pPr>
    </w:p>
    <w:p w14:paraId="58E8BEFC" w14:textId="77777777" w:rsidR="008B26E9" w:rsidRDefault="00230317" w:rsidP="00F94624">
      <w:pPr>
        <w:keepNext/>
      </w:pPr>
      <w:r>
        <w:t xml:space="preserve">The benefits for farmers </w:t>
      </w:r>
      <w:r w:rsidR="00BE269F">
        <w:t xml:space="preserve">who </w:t>
      </w:r>
      <w:r>
        <w:t>us</w:t>
      </w:r>
      <w:r w:rsidR="00BE269F">
        <w:t>e</w:t>
      </w:r>
      <w:r>
        <w:t xml:space="preserve"> climate information services </w:t>
      </w:r>
      <w:r w:rsidR="005853F7">
        <w:t xml:space="preserve">arise from their being able to adjust their management practices to likely imminent or future weather patterns. If the growing season is likely to be wetter than average, then it may be appropriate to increase the use of purchased inputs to increase production and net revenues, for example. For drier conditions, CIS can help farmers and herders </w:t>
      </w:r>
      <w:r w:rsidRPr="00230317">
        <w:t>reduce production losses</w:t>
      </w:r>
      <w:r w:rsidR="005853F7">
        <w:t xml:space="preserve"> via a range of management decisions (such as sale of animals or reducing cropping inputs). </w:t>
      </w:r>
      <w:r w:rsidR="006A5E08">
        <w:t xml:space="preserve">The long-term implications of a drought on vulnerable households may be profound, because such a “system shock” can push farmers and their families into poverty from which it can be difficult to escape (Barrett et al., 2016). </w:t>
      </w:r>
    </w:p>
    <w:p w14:paraId="66960A33" w14:textId="77777777" w:rsidR="008B26E9" w:rsidRDefault="008B26E9" w:rsidP="00F94624">
      <w:pPr>
        <w:keepNext/>
      </w:pPr>
    </w:p>
    <w:p w14:paraId="118DF911" w14:textId="03680CEF" w:rsidR="005853F7" w:rsidRDefault="005853F7" w:rsidP="00F94624">
      <w:pPr>
        <w:keepNext/>
      </w:pPr>
      <w:r>
        <w:t xml:space="preserve">The </w:t>
      </w:r>
      <w:r w:rsidR="00230317" w:rsidRPr="00230317">
        <w:t>use of CIS will not only reduce production variability, it should also increase average yields</w:t>
      </w:r>
      <w:r>
        <w:t xml:space="preserve">. This </w:t>
      </w:r>
      <w:r w:rsidR="00230317" w:rsidRPr="00230317">
        <w:t>latter effect is not included in the CIS analysis</w:t>
      </w:r>
      <w:r>
        <w:t xml:space="preserve"> </w:t>
      </w:r>
      <w:r w:rsidR="004308E7">
        <w:t>done here</w:t>
      </w:r>
      <w:r>
        <w:t xml:space="preserve"> as </w:t>
      </w:r>
      <w:r w:rsidR="004308E7">
        <w:t>it</w:t>
      </w:r>
      <w:r>
        <w:t xml:space="preserve"> would </w:t>
      </w:r>
      <w:r w:rsidR="00230317" w:rsidRPr="00230317">
        <w:t>double-count the benefits already estimated from CSA technology adoption.</w:t>
      </w:r>
      <w:r w:rsidR="00523A36">
        <w:t xml:space="preserve"> </w:t>
      </w:r>
      <w:r w:rsidR="00AC0ADD">
        <w:t xml:space="preserve">An assumption in the EFA is that </w:t>
      </w:r>
      <w:r w:rsidR="00523A36" w:rsidRPr="00AC0ADD">
        <w:t>CSA adoption leads to production benefits (</w:t>
      </w:r>
      <w:r w:rsidR="00AC0ADD">
        <w:t xml:space="preserve">increases in distribution </w:t>
      </w:r>
      <w:r w:rsidR="00523A36" w:rsidRPr="00AC0ADD">
        <w:t xml:space="preserve">means) and that CSI leads to reductions in yield losses in poorer seasons </w:t>
      </w:r>
      <w:r w:rsidR="00AC0ADD">
        <w:t xml:space="preserve">(reductions in production standard deviations). Thus </w:t>
      </w:r>
      <w:r w:rsidR="00523A36" w:rsidRPr="00AC0ADD">
        <w:t>the target populations for CSA and CIS are essentially the same</w:t>
      </w:r>
      <w:r w:rsidR="00AC0ADD">
        <w:t xml:space="preserve">, which is judged to be appropriate in the AICCRA context in view of </w:t>
      </w:r>
      <w:r w:rsidR="00523A36" w:rsidRPr="00AC0ADD">
        <w:t>th</w:t>
      </w:r>
      <w:r w:rsidR="00AC0ADD">
        <w:t>e</w:t>
      </w:r>
      <w:r w:rsidR="00523A36" w:rsidRPr="00AC0ADD">
        <w:t xml:space="preserve"> fact that</w:t>
      </w:r>
      <w:r w:rsidR="00AC0ADD">
        <w:t xml:space="preserve"> </w:t>
      </w:r>
      <w:r w:rsidR="000E6FD6">
        <w:t xml:space="preserve">weather-related </w:t>
      </w:r>
      <w:r w:rsidR="00AC0ADD">
        <w:t xml:space="preserve">production variability </w:t>
      </w:r>
      <w:r w:rsidR="00523A36" w:rsidRPr="00AC0ADD">
        <w:t>in the arid-semiarid mixed systems</w:t>
      </w:r>
      <w:r w:rsidR="00AC0ADD">
        <w:t xml:space="preserve"> of SSA can be </w:t>
      </w:r>
      <w:r w:rsidR="000E6FD6">
        <w:t>considerable</w:t>
      </w:r>
      <w:r w:rsidR="00AC0ADD">
        <w:t>.</w:t>
      </w:r>
    </w:p>
    <w:p w14:paraId="1045B1ED" w14:textId="5CC781A6" w:rsidR="005853F7" w:rsidRDefault="005853F7" w:rsidP="00F94624">
      <w:pPr>
        <w:keepNext/>
      </w:pPr>
    </w:p>
    <w:p w14:paraId="15D02A53" w14:textId="5959D60E" w:rsidR="00977E5E" w:rsidRDefault="00D95B4E" w:rsidP="00F94624">
      <w:pPr>
        <w:keepNext/>
      </w:pPr>
      <w:r>
        <w:t>A</w:t>
      </w:r>
      <w:r w:rsidR="007944E1">
        <w:t xml:space="preserve">nnual </w:t>
      </w:r>
      <w:r>
        <w:t xml:space="preserve">national </w:t>
      </w:r>
      <w:r w:rsidR="007944E1">
        <w:t xml:space="preserve">yield variability </w:t>
      </w:r>
      <w:r>
        <w:t>was calculated from F</w:t>
      </w:r>
      <w:r w:rsidR="007944E1">
        <w:t xml:space="preserve">AOSTAT for each of the </w:t>
      </w:r>
      <w:r>
        <w:t xml:space="preserve">six target </w:t>
      </w:r>
      <w:r w:rsidR="007944E1">
        <w:t>countries</w:t>
      </w:r>
      <w:r w:rsidR="00A41E4A">
        <w:t xml:space="preserve"> for the last 30 years available (1989-2018</w:t>
      </w:r>
      <w:r w:rsidR="00977E5E">
        <w:t xml:space="preserve">). </w:t>
      </w:r>
      <w:r w:rsidR="00A41E4A">
        <w:t xml:space="preserve">Maize yield CVs for the target and extrapolation countries are about 75% </w:t>
      </w:r>
      <w:r w:rsidR="00977E5E">
        <w:t xml:space="preserve">for </w:t>
      </w:r>
      <w:r w:rsidR="00A41E4A">
        <w:t xml:space="preserve">southern Africa, 37% </w:t>
      </w:r>
      <w:r w:rsidR="00977E5E">
        <w:t xml:space="preserve">for </w:t>
      </w:r>
      <w:r w:rsidR="00A41E4A">
        <w:t>East Africa</w:t>
      </w:r>
      <w:r w:rsidR="00977E5E">
        <w:t xml:space="preserve">, </w:t>
      </w:r>
      <w:r w:rsidR="00A41E4A">
        <w:t>and 34%</w:t>
      </w:r>
      <w:r w:rsidR="00977E5E">
        <w:t xml:space="preserve"> for </w:t>
      </w:r>
      <w:r w:rsidR="00A41E4A">
        <w:t>West Africa</w:t>
      </w:r>
      <w:r w:rsidR="00977E5E">
        <w:t>.</w:t>
      </w:r>
    </w:p>
    <w:p w14:paraId="55D72D0B" w14:textId="77777777" w:rsidR="00977E5E" w:rsidRDefault="00977E5E" w:rsidP="007944E1"/>
    <w:p w14:paraId="06CAB0BF" w14:textId="2D334A3C" w:rsidR="00C60642" w:rsidRDefault="0072058E" w:rsidP="007944E1">
      <w:r>
        <w:t>Because CIS are still relatively new in SSA,</w:t>
      </w:r>
      <w:r w:rsidR="00977E5E">
        <w:t xml:space="preserve"> information on the potential for the use of CIS to reduce yield variability</w:t>
      </w:r>
      <w:r w:rsidR="00B21095">
        <w:t xml:space="preserve"> is still scarce</w:t>
      </w:r>
      <w:r w:rsidR="00C843D9">
        <w:t xml:space="preserve">. To the extent that use of CIS </w:t>
      </w:r>
      <w:r w:rsidR="00CC30DE">
        <w:t xml:space="preserve">prompts changes in technology choice, the impacts can be significant; </w:t>
      </w:r>
      <w:r w:rsidR="00977E5E">
        <w:t xml:space="preserve">as noted above, </w:t>
      </w:r>
      <w:proofErr w:type="spellStart"/>
      <w:r w:rsidR="00977E5E">
        <w:t>Wossen</w:t>
      </w:r>
      <w:proofErr w:type="spellEnd"/>
      <w:r w:rsidR="00977E5E">
        <w:t xml:space="preserve"> et al. (2017) reported that yield variance in farmers’ fields can be halved via the use of drought-tolerant maize.</w:t>
      </w:r>
    </w:p>
    <w:p w14:paraId="621824FC" w14:textId="77777777" w:rsidR="00C60642" w:rsidRDefault="00C60642" w:rsidP="007944E1"/>
    <w:p w14:paraId="382D936A" w14:textId="41106A66" w:rsidR="007944E1" w:rsidRDefault="00C60642" w:rsidP="007944E1">
      <w:r>
        <w:t>One way to t</w:t>
      </w:r>
      <w:r w:rsidR="00977E5E">
        <w:t>ranslat</w:t>
      </w:r>
      <w:r>
        <w:t>e</w:t>
      </w:r>
      <w:r w:rsidR="00977E5E">
        <w:t xml:space="preserve"> </w:t>
      </w:r>
      <w:r w:rsidR="000040EE">
        <w:t xml:space="preserve">reduced yield variability </w:t>
      </w:r>
      <w:r>
        <w:t>into production benefits is to c</w:t>
      </w:r>
      <w:r w:rsidR="00766EB0">
        <w:t xml:space="preserve">alculate the </w:t>
      </w:r>
      <w:r w:rsidR="000040EE">
        <w:t xml:space="preserve">economic </w:t>
      </w:r>
      <w:r w:rsidR="00766EB0">
        <w:t>loss</w:t>
      </w:r>
      <w:r w:rsidR="000040EE">
        <w:t>es avoided</w:t>
      </w:r>
      <w:r w:rsidR="00766EB0">
        <w:t xml:space="preserve"> (in terms of </w:t>
      </w:r>
      <w:r>
        <w:t>value of production</w:t>
      </w:r>
      <w:r w:rsidR="00766EB0">
        <w:t xml:space="preserve">) for a </w:t>
      </w:r>
      <w:r>
        <w:t xml:space="preserve">percentage </w:t>
      </w:r>
      <w:r w:rsidR="00766EB0">
        <w:t xml:space="preserve">reduction in </w:t>
      </w:r>
      <w:r>
        <w:t xml:space="preserve">yield </w:t>
      </w:r>
      <w:r w:rsidR="00766EB0">
        <w:t>CV</w:t>
      </w:r>
      <w:r>
        <w:t xml:space="preserve">, </w:t>
      </w:r>
      <w:r w:rsidR="00014F9A">
        <w:t xml:space="preserve">measured </w:t>
      </w:r>
      <w:r>
        <w:t xml:space="preserve">with respect to the left-hand tail of the production </w:t>
      </w:r>
      <w:r w:rsidR="007944E1">
        <w:t>distributio</w:t>
      </w:r>
      <w:r w:rsidR="00766EB0">
        <w:t>n</w:t>
      </w:r>
      <w:r>
        <w:t>.</w:t>
      </w:r>
      <w:r w:rsidR="002C3CD6">
        <w:t xml:space="preserve"> </w:t>
      </w:r>
      <w:r>
        <w:t>A</w:t>
      </w:r>
      <w:r w:rsidR="006E61E1">
        <w:t xml:space="preserve"> very </w:t>
      </w:r>
      <w:r>
        <w:t xml:space="preserve">approximate </w:t>
      </w:r>
      <w:r w:rsidR="00753B6E">
        <w:t xml:space="preserve">estimate is </w:t>
      </w:r>
      <w:r w:rsidR="006E61E1">
        <w:t xml:space="preserve">to assume </w:t>
      </w:r>
      <w:r w:rsidR="002352F0">
        <w:t xml:space="preserve">that </w:t>
      </w:r>
      <w:r w:rsidR="006E61E1">
        <w:t>maize yield</w:t>
      </w:r>
      <w:r w:rsidR="002352F0">
        <w:t>s in farmers’ fields are</w:t>
      </w:r>
      <w:r w:rsidR="006E61E1">
        <w:t xml:space="preserve"> distribut</w:t>
      </w:r>
      <w:r w:rsidR="002352F0">
        <w:t>ed normally</w:t>
      </w:r>
      <w:r w:rsidR="006E61E1">
        <w:t xml:space="preserve"> and calculate the difference in the probability densities of two normal </w:t>
      </w:r>
      <w:r w:rsidR="00753B6E">
        <w:t xml:space="preserve">yield density </w:t>
      </w:r>
      <w:r w:rsidR="006E61E1">
        <w:t xml:space="preserve">curves, one with the observed mean and yield CV and another with the same mean but a </w:t>
      </w:r>
      <w:r w:rsidR="00753B6E">
        <w:t xml:space="preserve">reduced </w:t>
      </w:r>
      <w:r w:rsidR="006E61E1">
        <w:t>yield CV.</w:t>
      </w:r>
      <w:r w:rsidR="002C3CD6">
        <w:t xml:space="preserve"> </w:t>
      </w:r>
      <w:r w:rsidR="006E61E1">
        <w:t>For maize grown in the MRA systems in the target countries, average yield is 1.</w:t>
      </w:r>
      <w:r w:rsidR="00E14400">
        <w:t>2</w:t>
      </w:r>
      <w:r w:rsidR="006E61E1">
        <w:t xml:space="preserve">4 t/ha, and the yield CV </w:t>
      </w:r>
      <w:r w:rsidR="00753B6E">
        <w:t xml:space="preserve">is about </w:t>
      </w:r>
      <w:r w:rsidR="006E61E1">
        <w:t>35%.</w:t>
      </w:r>
      <w:r w:rsidR="002C3CD6">
        <w:t xml:space="preserve"> </w:t>
      </w:r>
      <w:r w:rsidR="006E61E1">
        <w:t xml:space="preserve">This indicates a yield </w:t>
      </w:r>
      <w:r w:rsidR="006E61E1">
        <w:lastRenderedPageBreak/>
        <w:t xml:space="preserve">standard deviation of 0.43 t/ha. </w:t>
      </w:r>
      <w:r w:rsidR="00CE325E">
        <w:t>For example, i</w:t>
      </w:r>
      <w:r w:rsidR="006E61E1">
        <w:t>f the CV is reduced to 3</w:t>
      </w:r>
      <w:r w:rsidR="00753B6E">
        <w:t>0</w:t>
      </w:r>
      <w:r w:rsidR="006E61E1">
        <w:t>% with the same mean, the new standard deviation is 0.</w:t>
      </w:r>
      <w:r w:rsidR="00753B6E">
        <w:t>37</w:t>
      </w:r>
      <w:r w:rsidR="006E61E1">
        <w:t xml:space="preserve"> t/ha.</w:t>
      </w:r>
      <w:r w:rsidR="002C3CD6">
        <w:t xml:space="preserve"> </w:t>
      </w:r>
      <w:r w:rsidR="006E61E1">
        <w:t xml:space="preserve">The area between the PDFs of these two normal distributions </w:t>
      </w:r>
      <w:r w:rsidR="004A419A">
        <w:t>in the left-hand tails (i.e., the total of the yield loss foregone because of the reduction in CV from 35% to 3</w:t>
      </w:r>
      <w:r w:rsidR="00753B6E">
        <w:t>0</w:t>
      </w:r>
      <w:r w:rsidR="004A419A">
        <w:t>%</w:t>
      </w:r>
      <w:r w:rsidR="00E14400">
        <w:t>)</w:t>
      </w:r>
      <w:r w:rsidR="004A419A">
        <w:t xml:space="preserve">, amounts to </w:t>
      </w:r>
      <w:r w:rsidR="00753B6E">
        <w:t>3</w:t>
      </w:r>
      <w:r w:rsidR="004A419A">
        <w:t>.</w:t>
      </w:r>
      <w:r w:rsidR="00753B6E">
        <w:t>3</w:t>
      </w:r>
      <w:r w:rsidR="004A419A">
        <w:t>% of total production.</w:t>
      </w:r>
      <w:r w:rsidR="00753B6E">
        <w:t xml:space="preserve"> Values of th</w:t>
      </w:r>
      <w:r w:rsidR="00BC40F9">
        <w:t>e</w:t>
      </w:r>
      <w:r w:rsidR="00753B6E">
        <w:t xml:space="preserve"> loss avoided are shown in Table 5 for the same adoption rates used in Tables 2 and 4. In practice, mean yields will increase through the use of CIS, but </w:t>
      </w:r>
      <w:r w:rsidR="00F53E9A">
        <w:t xml:space="preserve">as explained above </w:t>
      </w:r>
      <w:r w:rsidR="00793F5E">
        <w:t xml:space="preserve">the focus here is on </w:t>
      </w:r>
      <w:r w:rsidR="00F53E9A">
        <w:t xml:space="preserve">the </w:t>
      </w:r>
      <w:r w:rsidR="00753B6E">
        <w:t>avoided losses</w:t>
      </w:r>
      <w:r w:rsidR="00F53E9A">
        <w:t>, which</w:t>
      </w:r>
      <w:r w:rsidR="00753B6E">
        <w:t xml:space="preserve"> may be extremely important for household food security.</w:t>
      </w:r>
    </w:p>
    <w:p w14:paraId="6D26BB06" w14:textId="50769542" w:rsidR="00380FBB" w:rsidRDefault="00380FBB" w:rsidP="003324B4">
      <w:pPr>
        <w:rPr>
          <w:rFonts w:cstheme="minorHAnsi"/>
          <w:lang w:val="en-US"/>
        </w:rPr>
      </w:pPr>
    </w:p>
    <w:p w14:paraId="7048D3F3" w14:textId="77777777" w:rsidR="005748D3" w:rsidRDefault="005748D3" w:rsidP="003324B4">
      <w:pPr>
        <w:rPr>
          <w:rFonts w:cstheme="minorHAnsi"/>
          <w:lang w:val="en-US"/>
        </w:rPr>
      </w:pPr>
    </w:p>
    <w:p w14:paraId="7E60C95C" w14:textId="1903A645" w:rsidR="004A419A" w:rsidRPr="001A56D0" w:rsidRDefault="004A419A" w:rsidP="004A419A">
      <w:pPr>
        <w:rPr>
          <w:b/>
          <w:bCs/>
        </w:rPr>
      </w:pPr>
      <w:r w:rsidRPr="001A56D0">
        <w:rPr>
          <w:b/>
          <w:bCs/>
        </w:rPr>
        <w:t xml:space="preserve">Table 5. </w:t>
      </w:r>
      <w:r w:rsidR="001B36A5" w:rsidRPr="00E10561">
        <w:t xml:space="preserve">Value of production losses </w:t>
      </w:r>
      <w:r w:rsidR="00B52206" w:rsidRPr="00E10561">
        <w:t xml:space="preserve">avoided </w:t>
      </w:r>
      <w:r w:rsidRPr="00E10561">
        <w:t xml:space="preserve">per year at year 10 (2005 USD, millions) </w:t>
      </w:r>
      <w:r w:rsidR="00753B6E" w:rsidRPr="00E10561">
        <w:t xml:space="preserve">via a reduction in the CV of annual maize production from 25% to 20% (e.g. through the use of CIS) </w:t>
      </w:r>
      <w:r w:rsidR="001B36A5" w:rsidRPr="00E10561">
        <w:t xml:space="preserve">in the MRA </w:t>
      </w:r>
      <w:r w:rsidRPr="00E10561">
        <w:t>mixed crop-livestock systems</w:t>
      </w:r>
      <w:r w:rsidR="001B36A5" w:rsidRPr="00E10561">
        <w:t>.</w:t>
      </w:r>
    </w:p>
    <w:p w14:paraId="6219D4C4" w14:textId="7D213C50" w:rsidR="004A419A" w:rsidRDefault="004A419A" w:rsidP="004A419A"/>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3"/>
        <w:gridCol w:w="992"/>
        <w:gridCol w:w="992"/>
        <w:gridCol w:w="1132"/>
        <w:gridCol w:w="994"/>
        <w:gridCol w:w="992"/>
        <w:gridCol w:w="801"/>
      </w:tblGrid>
      <w:tr w:rsidR="001B36A5" w:rsidRPr="006B7A9D" w14:paraId="74CF6CAC" w14:textId="77777777" w:rsidTr="001B36A5">
        <w:trPr>
          <w:trHeight w:val="288"/>
          <w:jc w:val="right"/>
        </w:trPr>
        <w:tc>
          <w:tcPr>
            <w:tcW w:w="1727" w:type="pct"/>
            <w:vAlign w:val="center"/>
          </w:tcPr>
          <w:p w14:paraId="73A337FE" w14:textId="77777777" w:rsidR="001B36A5" w:rsidRPr="007944E1" w:rsidRDefault="001B36A5" w:rsidP="007D06B8">
            <w:pPr>
              <w:autoSpaceDE w:val="0"/>
              <w:autoSpaceDN w:val="0"/>
              <w:adjustRightInd w:val="0"/>
              <w:spacing w:before="60" w:after="60"/>
              <w:rPr>
                <w:rFonts w:cstheme="minorHAnsi"/>
                <w:b/>
                <w:bCs/>
                <w:color w:val="000000"/>
                <w:sz w:val="20"/>
                <w:szCs w:val="20"/>
              </w:rPr>
            </w:pPr>
          </w:p>
        </w:tc>
        <w:tc>
          <w:tcPr>
            <w:tcW w:w="3273" w:type="pct"/>
            <w:gridSpan w:val="6"/>
            <w:vAlign w:val="center"/>
          </w:tcPr>
          <w:p w14:paraId="60C8075D" w14:textId="0E23CC2C" w:rsidR="001B36A5" w:rsidRPr="007944E1" w:rsidRDefault="00753B6E"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3.3</w:t>
            </w:r>
            <w:r w:rsidR="001B36A5">
              <w:rPr>
                <w:rFonts w:cstheme="minorHAnsi"/>
                <w:b/>
                <w:bCs/>
                <w:color w:val="000000"/>
                <w:sz w:val="20"/>
                <w:szCs w:val="20"/>
              </w:rPr>
              <w:t>% maize productivity increment (loss avoided)</w:t>
            </w:r>
          </w:p>
        </w:tc>
      </w:tr>
      <w:tr w:rsidR="001B36A5" w:rsidRPr="006B7A9D" w14:paraId="2A533283" w14:textId="77777777" w:rsidTr="001B36A5">
        <w:trPr>
          <w:trHeight w:val="288"/>
          <w:jc w:val="right"/>
        </w:trPr>
        <w:tc>
          <w:tcPr>
            <w:tcW w:w="1727" w:type="pct"/>
            <w:vAlign w:val="center"/>
          </w:tcPr>
          <w:p w14:paraId="54890648" w14:textId="73797D30" w:rsidR="004A419A" w:rsidRPr="007944E1" w:rsidRDefault="00B7108F" w:rsidP="00B7108F">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Annual a</w:t>
            </w:r>
            <w:r w:rsidR="004A419A">
              <w:rPr>
                <w:rFonts w:cstheme="minorHAnsi"/>
                <w:b/>
                <w:bCs/>
                <w:color w:val="000000"/>
                <w:sz w:val="20"/>
                <w:szCs w:val="20"/>
              </w:rPr>
              <w:t>doption rate</w:t>
            </w:r>
          </w:p>
        </w:tc>
        <w:tc>
          <w:tcPr>
            <w:tcW w:w="550" w:type="pct"/>
            <w:vAlign w:val="center"/>
          </w:tcPr>
          <w:p w14:paraId="27C2E57A"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0.1 %</w:t>
            </w:r>
          </w:p>
        </w:tc>
        <w:tc>
          <w:tcPr>
            <w:tcW w:w="550" w:type="pct"/>
            <w:vAlign w:val="center"/>
          </w:tcPr>
          <w:p w14:paraId="7AEA53AE"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0.2%</w:t>
            </w:r>
          </w:p>
        </w:tc>
        <w:tc>
          <w:tcPr>
            <w:tcW w:w="628" w:type="pct"/>
            <w:vAlign w:val="center"/>
          </w:tcPr>
          <w:p w14:paraId="0A993CAA" w14:textId="77777777"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0.3%</w:t>
            </w:r>
          </w:p>
        </w:tc>
        <w:tc>
          <w:tcPr>
            <w:tcW w:w="551" w:type="pct"/>
            <w:vAlign w:val="center"/>
          </w:tcPr>
          <w:p w14:paraId="33B90260" w14:textId="41ACEA3F"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550" w:type="pct"/>
            <w:vAlign w:val="center"/>
          </w:tcPr>
          <w:p w14:paraId="5B9CF4B1" w14:textId="13303150"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444" w:type="pct"/>
            <w:vAlign w:val="center"/>
          </w:tcPr>
          <w:p w14:paraId="2F63FFA5" w14:textId="5000B708" w:rsidR="004A419A" w:rsidRPr="007944E1" w:rsidRDefault="004A419A" w:rsidP="007D06B8">
            <w:pPr>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1B36A5" w:rsidRPr="006B7A9D" w14:paraId="200A6E23" w14:textId="77777777" w:rsidTr="001B36A5">
        <w:trPr>
          <w:trHeight w:val="288"/>
          <w:jc w:val="right"/>
        </w:trPr>
        <w:tc>
          <w:tcPr>
            <w:tcW w:w="1727" w:type="pct"/>
            <w:vAlign w:val="center"/>
          </w:tcPr>
          <w:p w14:paraId="54C58FB3" w14:textId="33F65E47" w:rsidR="004A419A" w:rsidRPr="007944E1" w:rsidRDefault="004A419A" w:rsidP="007D06B8">
            <w:pPr>
              <w:autoSpaceDE w:val="0"/>
              <w:autoSpaceDN w:val="0"/>
              <w:adjustRightInd w:val="0"/>
              <w:spacing w:before="60" w:after="60"/>
              <w:rPr>
                <w:rFonts w:cstheme="minorHAnsi"/>
                <w:b/>
                <w:bCs/>
                <w:color w:val="000000"/>
                <w:sz w:val="20"/>
                <w:szCs w:val="20"/>
              </w:rPr>
            </w:pPr>
            <w:r>
              <w:rPr>
                <w:rFonts w:cstheme="minorHAnsi"/>
                <w:b/>
                <w:bCs/>
                <w:color w:val="000000"/>
                <w:sz w:val="20"/>
                <w:szCs w:val="20"/>
              </w:rPr>
              <w:t>AICCRA target</w:t>
            </w:r>
            <w:r w:rsidR="001B36A5">
              <w:rPr>
                <w:rFonts w:cstheme="minorHAnsi"/>
                <w:b/>
                <w:bCs/>
                <w:color w:val="000000"/>
                <w:sz w:val="20"/>
                <w:szCs w:val="20"/>
              </w:rPr>
              <w:t xml:space="preserve"> </w:t>
            </w:r>
            <w:r>
              <w:rPr>
                <w:rFonts w:cstheme="minorHAnsi"/>
                <w:b/>
                <w:bCs/>
                <w:color w:val="000000"/>
                <w:sz w:val="20"/>
                <w:szCs w:val="20"/>
              </w:rPr>
              <w:t>countries</w:t>
            </w:r>
          </w:p>
        </w:tc>
        <w:tc>
          <w:tcPr>
            <w:tcW w:w="550" w:type="pct"/>
            <w:vAlign w:val="center"/>
          </w:tcPr>
          <w:p w14:paraId="3A26A423" w14:textId="01BE439D"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0" w:type="pct"/>
            <w:vAlign w:val="center"/>
          </w:tcPr>
          <w:p w14:paraId="7773B1F2" w14:textId="29BD6933"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628" w:type="pct"/>
            <w:vAlign w:val="center"/>
          </w:tcPr>
          <w:p w14:paraId="2C7E8BF3" w14:textId="7EB73E57"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1" w:type="pct"/>
            <w:vAlign w:val="center"/>
          </w:tcPr>
          <w:p w14:paraId="0DCBA6A6" w14:textId="4C454000"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16.49</w:t>
            </w:r>
          </w:p>
        </w:tc>
        <w:tc>
          <w:tcPr>
            <w:tcW w:w="550" w:type="pct"/>
            <w:vAlign w:val="center"/>
          </w:tcPr>
          <w:p w14:paraId="58C4D8B7" w14:textId="5220F5FF"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32.08</w:t>
            </w:r>
          </w:p>
        </w:tc>
        <w:tc>
          <w:tcPr>
            <w:tcW w:w="444" w:type="pct"/>
            <w:vAlign w:val="center"/>
          </w:tcPr>
          <w:p w14:paraId="12BAB6FB" w14:textId="019F8744"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46.8</w:t>
            </w:r>
          </w:p>
        </w:tc>
      </w:tr>
      <w:tr w:rsidR="001B36A5" w:rsidRPr="006B7A9D" w14:paraId="272FAC20" w14:textId="77777777" w:rsidTr="001B36A5">
        <w:trPr>
          <w:trHeight w:val="288"/>
          <w:jc w:val="right"/>
        </w:trPr>
        <w:tc>
          <w:tcPr>
            <w:tcW w:w="1727" w:type="pct"/>
            <w:vAlign w:val="center"/>
          </w:tcPr>
          <w:p w14:paraId="4B2FFBF9" w14:textId="692E227A" w:rsidR="004A419A" w:rsidRPr="007944E1" w:rsidRDefault="004A419A" w:rsidP="007D06B8">
            <w:pPr>
              <w:autoSpaceDE w:val="0"/>
              <w:autoSpaceDN w:val="0"/>
              <w:adjustRightInd w:val="0"/>
              <w:spacing w:before="60" w:after="60"/>
              <w:rPr>
                <w:rFonts w:cstheme="minorHAnsi"/>
                <w:b/>
                <w:bCs/>
                <w:color w:val="000000"/>
                <w:sz w:val="20"/>
                <w:szCs w:val="20"/>
              </w:rPr>
            </w:pPr>
            <w:r>
              <w:rPr>
                <w:rFonts w:cstheme="minorHAnsi"/>
                <w:b/>
                <w:bCs/>
                <w:color w:val="000000"/>
                <w:sz w:val="20"/>
                <w:szCs w:val="20"/>
              </w:rPr>
              <w:t>Spillover coun</w:t>
            </w:r>
            <w:r w:rsidR="00E14400">
              <w:rPr>
                <w:rFonts w:cstheme="minorHAnsi"/>
                <w:b/>
                <w:bCs/>
                <w:color w:val="000000"/>
                <w:sz w:val="20"/>
                <w:szCs w:val="20"/>
              </w:rPr>
              <w:t>t</w:t>
            </w:r>
            <w:r>
              <w:rPr>
                <w:rFonts w:cstheme="minorHAnsi"/>
                <w:b/>
                <w:bCs/>
                <w:color w:val="000000"/>
                <w:sz w:val="20"/>
                <w:szCs w:val="20"/>
              </w:rPr>
              <w:t>ries</w:t>
            </w:r>
          </w:p>
        </w:tc>
        <w:tc>
          <w:tcPr>
            <w:tcW w:w="550" w:type="pct"/>
            <w:vAlign w:val="center"/>
          </w:tcPr>
          <w:p w14:paraId="0AE24F56" w14:textId="15779104"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w:t>
            </w:r>
            <w:r w:rsidR="00753B6E">
              <w:rPr>
                <w:rFonts w:cstheme="minorHAnsi"/>
                <w:color w:val="000000"/>
                <w:sz w:val="20"/>
                <w:szCs w:val="20"/>
              </w:rPr>
              <w:t>5.1</w:t>
            </w:r>
          </w:p>
        </w:tc>
        <w:tc>
          <w:tcPr>
            <w:tcW w:w="550" w:type="pct"/>
            <w:vAlign w:val="center"/>
          </w:tcPr>
          <w:p w14:paraId="270A3B7C" w14:textId="7400D88B"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$1</w:t>
            </w:r>
            <w:r w:rsidR="00753B6E">
              <w:rPr>
                <w:rFonts w:cstheme="minorHAnsi"/>
                <w:color w:val="000000"/>
                <w:sz w:val="20"/>
                <w:szCs w:val="20"/>
              </w:rPr>
              <w:t>0.2</w:t>
            </w:r>
          </w:p>
        </w:tc>
        <w:tc>
          <w:tcPr>
            <w:tcW w:w="628" w:type="pct"/>
            <w:vAlign w:val="center"/>
          </w:tcPr>
          <w:p w14:paraId="4E98C216" w14:textId="3D703437" w:rsidR="004A419A" w:rsidRPr="006B7A9D" w:rsidRDefault="004A419A" w:rsidP="00872D06">
            <w:pPr>
              <w:autoSpaceDE w:val="0"/>
              <w:autoSpaceDN w:val="0"/>
              <w:adjustRightInd w:val="0"/>
              <w:spacing w:before="60" w:after="60"/>
              <w:ind w:right="72"/>
              <w:jc w:val="right"/>
              <w:rPr>
                <w:rFonts w:cstheme="minorHAnsi"/>
                <w:color w:val="000000"/>
                <w:sz w:val="20"/>
                <w:szCs w:val="20"/>
              </w:rPr>
            </w:pPr>
            <w:r>
              <w:rPr>
                <w:rFonts w:cstheme="minorHAnsi"/>
                <w:color w:val="000000"/>
                <w:sz w:val="20"/>
                <w:szCs w:val="20"/>
              </w:rPr>
              <w:t>$1</w:t>
            </w:r>
            <w:r w:rsidR="00753B6E">
              <w:rPr>
                <w:rFonts w:cstheme="minorHAnsi"/>
                <w:color w:val="000000"/>
                <w:sz w:val="20"/>
                <w:szCs w:val="20"/>
              </w:rPr>
              <w:t>5.3</w:t>
            </w:r>
          </w:p>
        </w:tc>
        <w:tc>
          <w:tcPr>
            <w:tcW w:w="551" w:type="pct"/>
            <w:vAlign w:val="center"/>
          </w:tcPr>
          <w:p w14:paraId="555AAF1E" w14:textId="0DA1AF90"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550" w:type="pct"/>
            <w:vAlign w:val="center"/>
          </w:tcPr>
          <w:p w14:paraId="12FCE5AC" w14:textId="28302B15"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c>
          <w:tcPr>
            <w:tcW w:w="444" w:type="pct"/>
            <w:vAlign w:val="center"/>
          </w:tcPr>
          <w:p w14:paraId="0B03ADD0" w14:textId="301EB373" w:rsidR="004A419A" w:rsidRPr="006B7A9D" w:rsidRDefault="004A419A" w:rsidP="00872D06">
            <w:pPr>
              <w:autoSpaceDE w:val="0"/>
              <w:autoSpaceDN w:val="0"/>
              <w:adjustRightInd w:val="0"/>
              <w:spacing w:before="60" w:after="60"/>
              <w:ind w:right="72"/>
              <w:jc w:val="right"/>
              <w:rPr>
                <w:rFonts w:cstheme="minorHAnsi"/>
                <w:color w:val="000000"/>
                <w:sz w:val="20"/>
                <w:szCs w:val="20"/>
              </w:rPr>
            </w:pPr>
          </w:p>
        </w:tc>
      </w:tr>
    </w:tbl>
    <w:p w14:paraId="7F13D134" w14:textId="364DB9BE" w:rsidR="004A419A" w:rsidRDefault="004A419A" w:rsidP="004A419A"/>
    <w:p w14:paraId="401948AB" w14:textId="77777777" w:rsidR="001801A3" w:rsidRDefault="001801A3" w:rsidP="004A419A"/>
    <w:p w14:paraId="42528A35" w14:textId="246BCBBF" w:rsidR="00885F28" w:rsidRPr="00A04AF8" w:rsidRDefault="00A04AF8" w:rsidP="00F53E9A">
      <w:pPr>
        <w:keepNext/>
        <w:rPr>
          <w:b/>
          <w:bCs/>
        </w:rPr>
      </w:pPr>
      <w:r>
        <w:rPr>
          <w:b/>
          <w:bCs/>
        </w:rPr>
        <w:t xml:space="preserve">4.  </w:t>
      </w:r>
      <w:r w:rsidR="00D20437" w:rsidRPr="00A04AF8">
        <w:rPr>
          <w:b/>
          <w:bCs/>
        </w:rPr>
        <w:t>Indicative AICCRA returns on i</w:t>
      </w:r>
      <w:r w:rsidR="009A4C2F" w:rsidRPr="00A04AF8">
        <w:rPr>
          <w:b/>
          <w:bCs/>
        </w:rPr>
        <w:t>nvestment</w:t>
      </w:r>
    </w:p>
    <w:p w14:paraId="52911AC5" w14:textId="77777777" w:rsidR="00957835" w:rsidRDefault="00957835" w:rsidP="00F53E9A">
      <w:pPr>
        <w:keepNext/>
      </w:pPr>
    </w:p>
    <w:p w14:paraId="610AC7F2" w14:textId="7312BECA" w:rsidR="009A4C2F" w:rsidRDefault="005D39CA" w:rsidP="00F53E9A">
      <w:pPr>
        <w:keepNext/>
      </w:pPr>
      <w:r>
        <w:t xml:space="preserve">The information </w:t>
      </w:r>
      <w:r w:rsidR="005C73F8">
        <w:t xml:space="preserve">presented </w:t>
      </w:r>
      <w:r>
        <w:t xml:space="preserve">in the </w:t>
      </w:r>
      <w:r w:rsidR="00B52206">
        <w:t>t</w:t>
      </w:r>
      <w:r>
        <w:t xml:space="preserve">ables above </w:t>
      </w:r>
      <w:r w:rsidR="005A5C0D">
        <w:t xml:space="preserve">illustrates estimated </w:t>
      </w:r>
      <w:r>
        <w:t xml:space="preserve">changes in </w:t>
      </w:r>
      <w:r w:rsidR="005A5C0D">
        <w:t xml:space="preserve">the </w:t>
      </w:r>
      <w:r>
        <w:t xml:space="preserve">value of production of different commodities for different production increments and adoption rates. To estimate returns on investment (though without estimating the costs of the “enablers” – see paragraph above on the primary benefits), some estimate </w:t>
      </w:r>
      <w:r w:rsidR="005C73F8">
        <w:t xml:space="preserve">is needed </w:t>
      </w:r>
      <w:r>
        <w:t>of the direct costs of implementing CSA and CIS technologies at the farm</w:t>
      </w:r>
      <w:r w:rsidR="005C73F8">
        <w:t xml:space="preserve"> </w:t>
      </w:r>
      <w:proofErr w:type="spellStart"/>
      <w:r w:rsidR="005C73F8">
        <w:t>lavel</w:t>
      </w:r>
      <w:proofErr w:type="spellEnd"/>
      <w:r>
        <w:t>, so that cash flows can be calculated on changes in net profits or grow margins per ha or per animal.</w:t>
      </w:r>
    </w:p>
    <w:p w14:paraId="69709A97" w14:textId="3ADBB09E" w:rsidR="009A4C2F" w:rsidRDefault="009A4C2F" w:rsidP="004A419A"/>
    <w:p w14:paraId="056434BD" w14:textId="18B6D4DB" w:rsidR="0008636D" w:rsidRDefault="005D39CA" w:rsidP="004A419A">
      <w:r>
        <w:t xml:space="preserve">Harris and Orr (2013) provide benefit-cost ratios for a wide range of smallholder agricultural production technologies using many household-level datasets in countries throughout </w:t>
      </w:r>
      <w:r w:rsidR="00100173">
        <w:t xml:space="preserve">SSA </w:t>
      </w:r>
      <w:r>
        <w:t>(and India). Many of these technologies for different crops can be classed as CSA (e.g., conservation tillage, crop rotations and crop mixtures, fertilizer micro-dosing, and many others).</w:t>
      </w:r>
      <w:r w:rsidR="00436E97">
        <w:t xml:space="preserve"> Median net returns increased from $186 per ha (in 2005 $) for “baseline technologies” to $558 per ha for the 64 technologies considered, and the median Benefit-Cost Ratio (BCR) from 1.6</w:t>
      </w:r>
      <w:r w:rsidR="0061709F">
        <w:t>2</w:t>
      </w:r>
      <w:r w:rsidR="00436E97">
        <w:t xml:space="preserve"> to 2.2</w:t>
      </w:r>
      <w:r w:rsidR="0061709F">
        <w:t>4</w:t>
      </w:r>
      <w:r w:rsidR="00436E97">
        <w:t xml:space="preserve"> for the 49 technologies for which this was reported (Harris and Orr, 2013).</w:t>
      </w:r>
      <w:r w:rsidR="002C3CD6">
        <w:t xml:space="preserve"> </w:t>
      </w:r>
      <w:r w:rsidR="0061709F">
        <w:t xml:space="preserve">This combination of increases in net returns and </w:t>
      </w:r>
      <w:r w:rsidR="00BD7A3B">
        <w:t xml:space="preserve">BCR </w:t>
      </w:r>
      <w:r w:rsidR="00436E97">
        <w:t>implies an increase in costs per ha of implementing the CSA technologies</w:t>
      </w:r>
      <w:r w:rsidR="0061709F">
        <w:t xml:space="preserve"> at the farm level</w:t>
      </w:r>
      <w:r w:rsidR="00436E97">
        <w:t xml:space="preserve">, compared with the baselines, by a factor of </w:t>
      </w:r>
      <w:r w:rsidR="0061709F">
        <w:t xml:space="preserve">about </w:t>
      </w:r>
      <w:r w:rsidR="00436E97">
        <w:t>2.2.</w:t>
      </w:r>
      <w:r w:rsidR="00346F1B">
        <w:t xml:space="preserve"> </w:t>
      </w:r>
    </w:p>
    <w:p w14:paraId="2EF9789E" w14:textId="77777777" w:rsidR="0008636D" w:rsidRDefault="0008636D" w:rsidP="004A419A"/>
    <w:p w14:paraId="267E4CEC" w14:textId="2E7AB2B0" w:rsidR="00436E97" w:rsidRDefault="00346F1B" w:rsidP="004A419A">
      <w:r>
        <w:t xml:space="preserve">Table 6 shows the Net Present Value (NPV), Internal Rate of Return (IRR) and BCR for the AICCRA project </w:t>
      </w:r>
      <w:r w:rsidR="00436E97">
        <w:t>for a range of conservative adoption rates and yield increments</w:t>
      </w:r>
      <w:r w:rsidR="007E152D">
        <w:t>,</w:t>
      </w:r>
      <w:r w:rsidR="00436E97">
        <w:t xml:space="preserve"> with the assumptions that</w:t>
      </w:r>
      <w:r w:rsidR="00C24A96">
        <w:t xml:space="preserve"> </w:t>
      </w:r>
      <w:r>
        <w:t>the investment is allocated to the indicator crop (maize)</w:t>
      </w:r>
      <w:r w:rsidR="00C24A96">
        <w:t xml:space="preserve">, and that </w:t>
      </w:r>
      <w:r w:rsidR="00436E97">
        <w:t xml:space="preserve">the </w:t>
      </w:r>
      <w:r w:rsidR="00C24A96">
        <w:t xml:space="preserve">marginal VOP additions each year from CSA </w:t>
      </w:r>
      <w:r w:rsidR="005E159A">
        <w:t xml:space="preserve">and CIS </w:t>
      </w:r>
      <w:r w:rsidR="00C24A96">
        <w:t xml:space="preserve">adoption are adjusted by a factor of 2.5 to account for the increased </w:t>
      </w:r>
      <w:r w:rsidR="00436E97">
        <w:t>costs of implement</w:t>
      </w:r>
      <w:r w:rsidR="00C24A96">
        <w:t>ation at the farm level (as above) plus the essentially unknown off-farm costs (increased market access, improved seed production, etc).</w:t>
      </w:r>
    </w:p>
    <w:p w14:paraId="70AEF56C" w14:textId="007423AA" w:rsidR="00D20437" w:rsidRDefault="00D20437" w:rsidP="004A419A"/>
    <w:p w14:paraId="04F8399A" w14:textId="04BE0E80" w:rsidR="005E159A" w:rsidRDefault="005E159A" w:rsidP="005E159A">
      <w:r>
        <w:t>Table 7 shows the NPV, IRR and BCR for the AICCRA spillover countries for a range of conservative adoption rates and yield increments, with the same assumptions as in Table 6, though here just for CSA technology adoption.</w:t>
      </w:r>
    </w:p>
    <w:p w14:paraId="260EC717" w14:textId="0A3EF189" w:rsidR="00BB3647" w:rsidRDefault="00BB3647" w:rsidP="004A419A"/>
    <w:p w14:paraId="2BC4CE9E" w14:textId="5C3FA2D5" w:rsidR="005E159A" w:rsidRDefault="005E159A" w:rsidP="004A419A"/>
    <w:p w14:paraId="13F1F3E5" w14:textId="40E5759D" w:rsidR="00112B0A" w:rsidRPr="00E10561" w:rsidRDefault="009A4C2F" w:rsidP="00112B0A">
      <w:r w:rsidRPr="001A56D0">
        <w:rPr>
          <w:b/>
          <w:bCs/>
        </w:rPr>
        <w:lastRenderedPageBreak/>
        <w:t xml:space="preserve">Table 6. </w:t>
      </w:r>
      <w:r w:rsidRPr="00E10561">
        <w:t xml:space="preserve">Investment criteria to 2030 </w:t>
      </w:r>
      <w:r w:rsidR="00C24A96" w:rsidRPr="00E10561">
        <w:t xml:space="preserve">using a discount rate of 5% </w:t>
      </w:r>
      <w:r w:rsidR="00346F1B" w:rsidRPr="00E10561">
        <w:t xml:space="preserve">for </w:t>
      </w:r>
      <w:r w:rsidRPr="00E10561">
        <w:t>maize</w:t>
      </w:r>
      <w:r w:rsidR="00346F1B" w:rsidRPr="00E10561">
        <w:t xml:space="preserve"> CSA </w:t>
      </w:r>
      <w:r w:rsidR="000F5841" w:rsidRPr="00E10561">
        <w:t xml:space="preserve">and CIS </w:t>
      </w:r>
      <w:r w:rsidR="00346F1B" w:rsidRPr="00E10561">
        <w:t>adoption</w:t>
      </w:r>
      <w:r w:rsidRPr="00E10561">
        <w:t xml:space="preserve"> for different plausible yield benefits and adoption rates per year in the mixed crop-livestock systems </w:t>
      </w:r>
      <w:r w:rsidR="00346F1B" w:rsidRPr="00E10561">
        <w:t xml:space="preserve">of the </w:t>
      </w:r>
      <w:r w:rsidRPr="00E10561">
        <w:t xml:space="preserve">AICCRA </w:t>
      </w:r>
      <w:r w:rsidR="006F7B5E" w:rsidRPr="00E10561">
        <w:t xml:space="preserve">anchor </w:t>
      </w:r>
      <w:r w:rsidRPr="00E10561">
        <w:t>countries</w:t>
      </w:r>
      <w:r w:rsidR="00112B0A" w:rsidRPr="00E10561">
        <w:t xml:space="preserve"> (Ethiopia, Ghana, Kenya, Mali, Senegal, Zambia).</w:t>
      </w:r>
    </w:p>
    <w:p w14:paraId="2A899FD1" w14:textId="6F53FE2B" w:rsidR="009A4C2F" w:rsidRDefault="009A4C2F" w:rsidP="00D0648B">
      <w:pPr>
        <w:keepNext/>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6F7B5E" w:rsidRPr="006B7A9D" w14:paraId="276581A3" w14:textId="77777777" w:rsidTr="006F7B5E">
        <w:trPr>
          <w:trHeight w:val="288"/>
          <w:jc w:val="right"/>
        </w:trPr>
        <w:tc>
          <w:tcPr>
            <w:tcW w:w="1177" w:type="pct"/>
            <w:vAlign w:val="center"/>
          </w:tcPr>
          <w:p w14:paraId="097C08B1" w14:textId="77777777" w:rsidR="006F7B5E" w:rsidRDefault="006F7B5E" w:rsidP="00D0648B">
            <w:pPr>
              <w:keepNext/>
              <w:autoSpaceDE w:val="0"/>
              <w:autoSpaceDN w:val="0"/>
              <w:adjustRightInd w:val="0"/>
              <w:spacing w:before="60" w:after="60"/>
              <w:jc w:val="right"/>
              <w:rPr>
                <w:rFonts w:cstheme="minorHAnsi"/>
                <w:b/>
                <w:bCs/>
                <w:color w:val="000000"/>
                <w:sz w:val="20"/>
                <w:szCs w:val="20"/>
              </w:rPr>
            </w:pPr>
          </w:p>
        </w:tc>
        <w:tc>
          <w:tcPr>
            <w:tcW w:w="3823" w:type="pct"/>
            <w:gridSpan w:val="6"/>
            <w:vAlign w:val="center"/>
          </w:tcPr>
          <w:p w14:paraId="1DF6FD70" w14:textId="63C52BE3" w:rsidR="006F7B5E" w:rsidRDefault="000F5841"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w:t>
            </w:r>
            <w:r w:rsidR="006F7B5E">
              <w:rPr>
                <w:rFonts w:cstheme="minorHAnsi"/>
                <w:b/>
                <w:bCs/>
                <w:color w:val="000000"/>
                <w:sz w:val="20"/>
                <w:szCs w:val="20"/>
              </w:rPr>
              <w:t>enefit</w:t>
            </w:r>
            <w:r>
              <w:rPr>
                <w:rFonts w:cstheme="minorHAnsi"/>
                <w:b/>
                <w:bCs/>
                <w:color w:val="000000"/>
                <w:sz w:val="20"/>
                <w:szCs w:val="20"/>
              </w:rPr>
              <w:t>s of CSA and CIS adoption</w:t>
            </w:r>
          </w:p>
        </w:tc>
      </w:tr>
      <w:tr w:rsidR="006F7B5E" w:rsidRPr="006B7A9D" w14:paraId="412B54BC" w14:textId="77777777" w:rsidTr="006F7B5E">
        <w:trPr>
          <w:trHeight w:val="288"/>
          <w:jc w:val="right"/>
        </w:trPr>
        <w:tc>
          <w:tcPr>
            <w:tcW w:w="1177" w:type="pct"/>
            <w:vAlign w:val="center"/>
          </w:tcPr>
          <w:p w14:paraId="591628EB" w14:textId="77777777" w:rsidR="006F7B5E" w:rsidRDefault="006F7B5E" w:rsidP="00D0648B">
            <w:pPr>
              <w:keepNext/>
              <w:autoSpaceDE w:val="0"/>
              <w:autoSpaceDN w:val="0"/>
              <w:adjustRightInd w:val="0"/>
              <w:spacing w:before="60" w:after="60"/>
              <w:jc w:val="right"/>
              <w:rPr>
                <w:rFonts w:cstheme="minorHAnsi"/>
                <w:b/>
                <w:bCs/>
                <w:color w:val="000000"/>
                <w:sz w:val="20"/>
                <w:szCs w:val="20"/>
              </w:rPr>
            </w:pPr>
          </w:p>
        </w:tc>
        <w:tc>
          <w:tcPr>
            <w:tcW w:w="1967" w:type="pct"/>
            <w:gridSpan w:val="3"/>
            <w:vAlign w:val="center"/>
          </w:tcPr>
          <w:p w14:paraId="47CAE5E5" w14:textId="47345C40" w:rsidR="006F7B5E" w:rsidRDefault="006F7B5E"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15%</w:t>
            </w:r>
            <w:r w:rsidR="000F5841">
              <w:rPr>
                <w:rFonts w:cstheme="minorHAnsi"/>
                <w:b/>
                <w:bCs/>
                <w:color w:val="000000"/>
                <w:sz w:val="20"/>
                <w:szCs w:val="20"/>
              </w:rPr>
              <w:t xml:space="preserve"> yield benefit + 3.3% avoided loss</w:t>
            </w:r>
          </w:p>
        </w:tc>
        <w:tc>
          <w:tcPr>
            <w:tcW w:w="1856" w:type="pct"/>
            <w:gridSpan w:val="3"/>
            <w:vAlign w:val="center"/>
          </w:tcPr>
          <w:p w14:paraId="7E133027" w14:textId="5819C67E" w:rsidR="006F7B5E" w:rsidRDefault="006F7B5E"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30%</w:t>
            </w:r>
            <w:r w:rsidR="000F5841">
              <w:rPr>
                <w:rFonts w:cstheme="minorHAnsi"/>
                <w:b/>
                <w:bCs/>
                <w:color w:val="000000"/>
                <w:sz w:val="20"/>
                <w:szCs w:val="20"/>
              </w:rPr>
              <w:t xml:space="preserve"> yield benefit + 3.3% avoided loss</w:t>
            </w:r>
          </w:p>
        </w:tc>
      </w:tr>
      <w:tr w:rsidR="009A4C2F" w:rsidRPr="006B7A9D" w14:paraId="70C48404" w14:textId="77777777" w:rsidTr="00C76F09">
        <w:trPr>
          <w:trHeight w:val="288"/>
          <w:jc w:val="right"/>
        </w:trPr>
        <w:tc>
          <w:tcPr>
            <w:tcW w:w="1177" w:type="pct"/>
            <w:vAlign w:val="center"/>
          </w:tcPr>
          <w:p w14:paraId="0CE178A5" w14:textId="1BFDFF9F" w:rsidR="009A4C2F" w:rsidRPr="007944E1" w:rsidRDefault="009A4C2F" w:rsidP="00B428E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B428E6">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40DE0784"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1 %</w:t>
            </w:r>
          </w:p>
        </w:tc>
        <w:tc>
          <w:tcPr>
            <w:tcW w:w="629" w:type="pct"/>
            <w:vAlign w:val="center"/>
          </w:tcPr>
          <w:p w14:paraId="20D327ED"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5FAF61D3"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6648B45E"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0E3C5663"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3BCADE72" w14:textId="77777777" w:rsidR="009A4C2F" w:rsidRPr="007944E1" w:rsidRDefault="009A4C2F"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346F1B" w:rsidRPr="006B7A9D" w14:paraId="76116CF6" w14:textId="77777777" w:rsidTr="00481D1D">
        <w:trPr>
          <w:trHeight w:val="288"/>
          <w:jc w:val="right"/>
        </w:trPr>
        <w:tc>
          <w:tcPr>
            <w:tcW w:w="1177" w:type="pct"/>
            <w:tcBorders>
              <w:bottom w:val="single" w:sz="4" w:space="0" w:color="auto"/>
            </w:tcBorders>
            <w:vAlign w:val="center"/>
          </w:tcPr>
          <w:p w14:paraId="1DA7444A" w14:textId="54CCDDDD" w:rsidR="00346F1B" w:rsidRDefault="00346F1B" w:rsidP="00B428E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(implied adoption % by 2030)</w:t>
            </w:r>
          </w:p>
        </w:tc>
        <w:tc>
          <w:tcPr>
            <w:tcW w:w="707" w:type="pct"/>
            <w:tcBorders>
              <w:bottom w:val="single" w:sz="4" w:space="0" w:color="auto"/>
            </w:tcBorders>
            <w:vAlign w:val="center"/>
          </w:tcPr>
          <w:p w14:paraId="34F37D29" w14:textId="4BFBFAF3"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7C156329" w14:textId="066E2622"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631" w:type="pct"/>
            <w:tcBorders>
              <w:bottom w:val="single" w:sz="4" w:space="0" w:color="auto"/>
            </w:tcBorders>
            <w:vAlign w:val="center"/>
          </w:tcPr>
          <w:p w14:paraId="5B8A10DB" w14:textId="511726C7"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c>
          <w:tcPr>
            <w:tcW w:w="629" w:type="pct"/>
            <w:tcBorders>
              <w:bottom w:val="single" w:sz="4" w:space="0" w:color="auto"/>
            </w:tcBorders>
            <w:vAlign w:val="center"/>
          </w:tcPr>
          <w:p w14:paraId="5AB5903A" w14:textId="03FFC405"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026AE5C7" w14:textId="060FA725"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598" w:type="pct"/>
            <w:tcBorders>
              <w:bottom w:val="single" w:sz="4" w:space="0" w:color="auto"/>
            </w:tcBorders>
            <w:vAlign w:val="center"/>
          </w:tcPr>
          <w:p w14:paraId="59FDBB90" w14:textId="218BFA2E" w:rsidR="00346F1B" w:rsidRDefault="00346F1B" w:rsidP="00D0648B">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r>
      <w:tr w:rsidR="00346F1B" w:rsidRPr="006B7A9D" w14:paraId="16BE04CE" w14:textId="77777777" w:rsidTr="00C76F09">
        <w:trPr>
          <w:trHeight w:val="288"/>
          <w:jc w:val="right"/>
        </w:trPr>
        <w:tc>
          <w:tcPr>
            <w:tcW w:w="1177" w:type="pct"/>
            <w:vAlign w:val="center"/>
          </w:tcPr>
          <w:p w14:paraId="3E098E08" w14:textId="62C4D973"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NPV (2005 $ million)</w:t>
            </w:r>
          </w:p>
        </w:tc>
        <w:tc>
          <w:tcPr>
            <w:tcW w:w="707" w:type="pct"/>
            <w:vAlign w:val="center"/>
          </w:tcPr>
          <w:p w14:paraId="0F9A970F" w14:textId="408DFF8A"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346F1B">
              <w:rPr>
                <w:rFonts w:cstheme="minorHAnsi"/>
                <w:color w:val="000000"/>
                <w:sz w:val="20"/>
                <w:szCs w:val="20"/>
              </w:rPr>
              <w:t>$</w:t>
            </w:r>
            <w:r>
              <w:rPr>
                <w:rFonts w:cstheme="minorHAnsi"/>
                <w:color w:val="000000"/>
                <w:sz w:val="20"/>
                <w:szCs w:val="20"/>
              </w:rPr>
              <w:t>2</w:t>
            </w:r>
            <w:r w:rsidR="00346F1B">
              <w:rPr>
                <w:rFonts w:cstheme="minorHAnsi"/>
                <w:color w:val="000000"/>
                <w:sz w:val="20"/>
                <w:szCs w:val="20"/>
              </w:rPr>
              <w:t>.6</w:t>
            </w:r>
            <w:r>
              <w:rPr>
                <w:rFonts w:cstheme="minorHAnsi"/>
                <w:color w:val="000000"/>
                <w:sz w:val="20"/>
                <w:szCs w:val="20"/>
              </w:rPr>
              <w:t>6</w:t>
            </w:r>
          </w:p>
        </w:tc>
        <w:tc>
          <w:tcPr>
            <w:tcW w:w="629" w:type="pct"/>
            <w:vAlign w:val="center"/>
          </w:tcPr>
          <w:p w14:paraId="38A1DF3C" w14:textId="24E123A0"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48.9</w:t>
            </w:r>
          </w:p>
        </w:tc>
        <w:tc>
          <w:tcPr>
            <w:tcW w:w="631" w:type="pct"/>
            <w:vAlign w:val="center"/>
          </w:tcPr>
          <w:p w14:paraId="34FDD0E5" w14:textId="112C3D56"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97.9</w:t>
            </w:r>
          </w:p>
        </w:tc>
        <w:tc>
          <w:tcPr>
            <w:tcW w:w="629" w:type="pct"/>
            <w:vAlign w:val="center"/>
          </w:tcPr>
          <w:p w14:paraId="0843C1B4" w14:textId="4A701F37"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w:t>
            </w:r>
            <w:r w:rsidR="000F5841">
              <w:rPr>
                <w:rFonts w:cstheme="minorHAnsi"/>
                <w:color w:val="000000"/>
                <w:sz w:val="20"/>
                <w:szCs w:val="20"/>
              </w:rPr>
              <w:t>54.7</w:t>
            </w:r>
          </w:p>
        </w:tc>
        <w:tc>
          <w:tcPr>
            <w:tcW w:w="629" w:type="pct"/>
            <w:vAlign w:val="center"/>
          </w:tcPr>
          <w:p w14:paraId="2A6AC812" w14:textId="3683E1D0"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60.7</w:t>
            </w:r>
          </w:p>
        </w:tc>
        <w:tc>
          <w:tcPr>
            <w:tcW w:w="598" w:type="pct"/>
            <w:vAlign w:val="center"/>
          </w:tcPr>
          <w:p w14:paraId="5D8A1E6C" w14:textId="16FD691E"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w:t>
            </w:r>
            <w:r w:rsidR="000F5841">
              <w:rPr>
                <w:rFonts w:cstheme="minorHAnsi"/>
                <w:color w:val="000000"/>
                <w:sz w:val="20"/>
                <w:szCs w:val="20"/>
              </w:rPr>
              <w:t>61</w:t>
            </w:r>
            <w:r>
              <w:rPr>
                <w:rFonts w:cstheme="minorHAnsi"/>
                <w:color w:val="000000"/>
                <w:sz w:val="20"/>
                <w:szCs w:val="20"/>
              </w:rPr>
              <w:t>.</w:t>
            </w:r>
            <w:r w:rsidR="000F5841">
              <w:rPr>
                <w:rFonts w:cstheme="minorHAnsi"/>
                <w:color w:val="000000"/>
                <w:sz w:val="20"/>
                <w:szCs w:val="20"/>
              </w:rPr>
              <w:t>1</w:t>
            </w:r>
          </w:p>
        </w:tc>
      </w:tr>
      <w:tr w:rsidR="00346F1B" w:rsidRPr="006B7A9D" w14:paraId="010D78E6" w14:textId="77777777" w:rsidTr="00C76F09">
        <w:trPr>
          <w:trHeight w:val="288"/>
          <w:jc w:val="right"/>
        </w:trPr>
        <w:tc>
          <w:tcPr>
            <w:tcW w:w="1177" w:type="pct"/>
            <w:vAlign w:val="center"/>
          </w:tcPr>
          <w:p w14:paraId="12CB1813" w14:textId="4D598FF5"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IRR (%)</w:t>
            </w:r>
          </w:p>
        </w:tc>
        <w:tc>
          <w:tcPr>
            <w:tcW w:w="707" w:type="pct"/>
            <w:vAlign w:val="center"/>
          </w:tcPr>
          <w:p w14:paraId="14673E16" w14:textId="10366AB5"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4.3</w:t>
            </w:r>
            <w:r w:rsidR="00346F1B">
              <w:rPr>
                <w:rFonts w:cstheme="minorHAnsi"/>
                <w:color w:val="000000"/>
                <w:sz w:val="20"/>
                <w:szCs w:val="20"/>
              </w:rPr>
              <w:t>%</w:t>
            </w:r>
          </w:p>
        </w:tc>
        <w:tc>
          <w:tcPr>
            <w:tcW w:w="629" w:type="pct"/>
            <w:vAlign w:val="center"/>
          </w:tcPr>
          <w:p w14:paraId="57C599C6" w14:textId="32C2EDFB"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5</w:t>
            </w:r>
            <w:r>
              <w:rPr>
                <w:rFonts w:cstheme="minorHAnsi"/>
                <w:color w:val="000000"/>
                <w:sz w:val="20"/>
                <w:szCs w:val="20"/>
              </w:rPr>
              <w:t>%</w:t>
            </w:r>
          </w:p>
        </w:tc>
        <w:tc>
          <w:tcPr>
            <w:tcW w:w="631" w:type="pct"/>
            <w:vAlign w:val="center"/>
          </w:tcPr>
          <w:p w14:paraId="52A91B38" w14:textId="184C0992"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23</w:t>
            </w:r>
            <w:r w:rsidR="00346F1B">
              <w:rPr>
                <w:rFonts w:cstheme="minorHAnsi"/>
                <w:color w:val="000000"/>
                <w:sz w:val="20"/>
                <w:szCs w:val="20"/>
              </w:rPr>
              <w:t>%</w:t>
            </w:r>
          </w:p>
        </w:tc>
        <w:tc>
          <w:tcPr>
            <w:tcW w:w="629" w:type="pct"/>
            <w:vAlign w:val="center"/>
          </w:tcPr>
          <w:p w14:paraId="3C860876" w14:textId="6D72D8BA"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w:t>
            </w:r>
            <w:r w:rsidR="000F5841">
              <w:rPr>
                <w:rFonts w:cstheme="minorHAnsi"/>
                <w:color w:val="000000"/>
                <w:sz w:val="20"/>
                <w:szCs w:val="20"/>
              </w:rPr>
              <w:t>6</w:t>
            </w:r>
            <w:r>
              <w:rPr>
                <w:rFonts w:cstheme="minorHAnsi"/>
                <w:color w:val="000000"/>
                <w:sz w:val="20"/>
                <w:szCs w:val="20"/>
              </w:rPr>
              <w:t>%</w:t>
            </w:r>
          </w:p>
        </w:tc>
        <w:tc>
          <w:tcPr>
            <w:tcW w:w="629" w:type="pct"/>
            <w:vAlign w:val="center"/>
          </w:tcPr>
          <w:p w14:paraId="7CFF7DE4" w14:textId="05F62456"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30</w:t>
            </w:r>
            <w:r w:rsidR="00346F1B">
              <w:rPr>
                <w:rFonts w:cstheme="minorHAnsi"/>
                <w:color w:val="000000"/>
                <w:sz w:val="20"/>
                <w:szCs w:val="20"/>
              </w:rPr>
              <w:t>%</w:t>
            </w:r>
          </w:p>
        </w:tc>
        <w:tc>
          <w:tcPr>
            <w:tcW w:w="598" w:type="pct"/>
            <w:vAlign w:val="center"/>
          </w:tcPr>
          <w:p w14:paraId="708D8AA9" w14:textId="7CB31DE4" w:rsidR="00346F1B" w:rsidRPr="006B7A9D" w:rsidRDefault="000F5841"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41</w:t>
            </w:r>
            <w:r w:rsidR="00346F1B">
              <w:rPr>
                <w:rFonts w:cstheme="minorHAnsi"/>
                <w:color w:val="000000"/>
                <w:sz w:val="20"/>
                <w:szCs w:val="20"/>
              </w:rPr>
              <w:t>%</w:t>
            </w:r>
          </w:p>
        </w:tc>
      </w:tr>
      <w:tr w:rsidR="00346F1B" w:rsidRPr="006B7A9D" w14:paraId="6B0FDDAB" w14:textId="77777777" w:rsidTr="00C76F09">
        <w:trPr>
          <w:trHeight w:val="288"/>
          <w:jc w:val="right"/>
        </w:trPr>
        <w:tc>
          <w:tcPr>
            <w:tcW w:w="1177" w:type="pct"/>
            <w:vAlign w:val="center"/>
          </w:tcPr>
          <w:p w14:paraId="7CE3BAA3" w14:textId="08A8126A" w:rsidR="00346F1B" w:rsidRPr="007944E1" w:rsidRDefault="00346F1B" w:rsidP="00D0648B">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B/C ratio</w:t>
            </w:r>
          </w:p>
        </w:tc>
        <w:tc>
          <w:tcPr>
            <w:tcW w:w="707" w:type="pct"/>
            <w:vAlign w:val="center"/>
          </w:tcPr>
          <w:p w14:paraId="477BEA10" w14:textId="418160DA"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0.95</w:t>
            </w:r>
          </w:p>
        </w:tc>
        <w:tc>
          <w:tcPr>
            <w:tcW w:w="629" w:type="pct"/>
            <w:vAlign w:val="center"/>
          </w:tcPr>
          <w:p w14:paraId="77CF4DF0" w14:textId="1DB3EC78"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1.86</w:t>
            </w:r>
          </w:p>
        </w:tc>
        <w:tc>
          <w:tcPr>
            <w:tcW w:w="631" w:type="pct"/>
            <w:vAlign w:val="center"/>
          </w:tcPr>
          <w:p w14:paraId="66EDE021" w14:textId="455FEC8B" w:rsidR="00346F1B" w:rsidRPr="006B7A9D" w:rsidRDefault="00850F09"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2.71</w:t>
            </w:r>
          </w:p>
        </w:tc>
        <w:tc>
          <w:tcPr>
            <w:tcW w:w="629" w:type="pct"/>
            <w:vAlign w:val="center"/>
          </w:tcPr>
          <w:p w14:paraId="4EBC3A37" w14:textId="57C99DDC" w:rsidR="00346F1B" w:rsidRPr="006B7A9D" w:rsidRDefault="00346F1B"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w:t>
            </w:r>
            <w:r w:rsidR="000F5841">
              <w:rPr>
                <w:rFonts w:cstheme="minorHAnsi"/>
                <w:color w:val="000000"/>
                <w:sz w:val="20"/>
                <w:szCs w:val="20"/>
              </w:rPr>
              <w:t>75</w:t>
            </w:r>
          </w:p>
        </w:tc>
        <w:tc>
          <w:tcPr>
            <w:tcW w:w="629" w:type="pct"/>
            <w:vAlign w:val="center"/>
          </w:tcPr>
          <w:p w14:paraId="26121CDC" w14:textId="474240A2"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3.81</w:t>
            </w:r>
          </w:p>
        </w:tc>
        <w:tc>
          <w:tcPr>
            <w:tcW w:w="598" w:type="pct"/>
            <w:vAlign w:val="center"/>
          </w:tcPr>
          <w:p w14:paraId="1FE9E556" w14:textId="208B8079" w:rsidR="00346F1B" w:rsidRPr="006B7A9D" w:rsidRDefault="00167928" w:rsidP="00872D0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5.57</w:t>
            </w:r>
          </w:p>
        </w:tc>
      </w:tr>
    </w:tbl>
    <w:p w14:paraId="4CBB9B01" w14:textId="54364B28" w:rsidR="009A4C2F" w:rsidRDefault="009A4C2F" w:rsidP="004A419A"/>
    <w:p w14:paraId="41EE168C" w14:textId="65E3CA9B" w:rsidR="009A4C2F" w:rsidRDefault="009A4C2F" w:rsidP="004A419A"/>
    <w:p w14:paraId="6EE07CAA" w14:textId="72E5EEF7" w:rsidR="009A4C2F" w:rsidRDefault="009A4C2F" w:rsidP="004A419A"/>
    <w:p w14:paraId="321D56B1" w14:textId="3974D81F" w:rsidR="005E159A" w:rsidRPr="00E10561" w:rsidRDefault="005E159A" w:rsidP="009F5376">
      <w:pPr>
        <w:keepNext/>
      </w:pPr>
      <w:r w:rsidRPr="001A56D0">
        <w:rPr>
          <w:b/>
          <w:bCs/>
        </w:rPr>
        <w:t xml:space="preserve">Table 7. </w:t>
      </w:r>
      <w:r w:rsidRPr="00E10561">
        <w:t>Investment criteria to 2030 using a discount rate of 5% for maize CSA adoption for different plausible yield benefits and adoption rates per year in the mixed crop-livestock systems of the AICCRA spillover countries.</w:t>
      </w:r>
    </w:p>
    <w:p w14:paraId="77DF6E05" w14:textId="77777777" w:rsidR="005E159A" w:rsidRDefault="005E159A" w:rsidP="009F5376">
      <w:pPr>
        <w:keepNext/>
      </w:pPr>
    </w:p>
    <w:tbl>
      <w:tblPr>
        <w:tblW w:w="500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3"/>
        <w:gridCol w:w="1275"/>
        <w:gridCol w:w="1134"/>
        <w:gridCol w:w="1138"/>
        <w:gridCol w:w="1134"/>
        <w:gridCol w:w="1134"/>
        <w:gridCol w:w="1078"/>
      </w:tblGrid>
      <w:tr w:rsidR="005E159A" w:rsidRPr="006B7A9D" w14:paraId="20985E81" w14:textId="77777777" w:rsidTr="001C4496">
        <w:trPr>
          <w:trHeight w:val="288"/>
          <w:jc w:val="right"/>
        </w:trPr>
        <w:tc>
          <w:tcPr>
            <w:tcW w:w="1177" w:type="pct"/>
            <w:vAlign w:val="center"/>
          </w:tcPr>
          <w:p w14:paraId="518CB2CC"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p>
        </w:tc>
        <w:tc>
          <w:tcPr>
            <w:tcW w:w="3823" w:type="pct"/>
            <w:gridSpan w:val="6"/>
            <w:vAlign w:val="center"/>
          </w:tcPr>
          <w:p w14:paraId="1DB4150D" w14:textId="136E09D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Benefits of CSA adoption</w:t>
            </w:r>
          </w:p>
        </w:tc>
      </w:tr>
      <w:tr w:rsidR="005E159A" w:rsidRPr="006B7A9D" w14:paraId="5691982B" w14:textId="77777777" w:rsidTr="001C4496">
        <w:trPr>
          <w:trHeight w:val="288"/>
          <w:jc w:val="right"/>
        </w:trPr>
        <w:tc>
          <w:tcPr>
            <w:tcW w:w="1177" w:type="pct"/>
            <w:vAlign w:val="center"/>
          </w:tcPr>
          <w:p w14:paraId="106E38FB"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p>
        </w:tc>
        <w:tc>
          <w:tcPr>
            <w:tcW w:w="1967" w:type="pct"/>
            <w:gridSpan w:val="3"/>
            <w:vAlign w:val="center"/>
          </w:tcPr>
          <w:p w14:paraId="6F8CBEE9" w14:textId="7767AE81"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15% yield benefit</w:t>
            </w:r>
          </w:p>
        </w:tc>
        <w:tc>
          <w:tcPr>
            <w:tcW w:w="1856" w:type="pct"/>
            <w:gridSpan w:val="3"/>
            <w:vAlign w:val="center"/>
          </w:tcPr>
          <w:p w14:paraId="0584E6A9" w14:textId="143C978C"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30% yield benefit</w:t>
            </w:r>
          </w:p>
        </w:tc>
      </w:tr>
      <w:tr w:rsidR="005E159A" w:rsidRPr="006B7A9D" w14:paraId="1946C5DF" w14:textId="77777777" w:rsidTr="001C4496">
        <w:trPr>
          <w:trHeight w:val="288"/>
          <w:jc w:val="right"/>
        </w:trPr>
        <w:tc>
          <w:tcPr>
            <w:tcW w:w="1177" w:type="pct"/>
            <w:vAlign w:val="center"/>
          </w:tcPr>
          <w:p w14:paraId="2A877AFF" w14:textId="4A4C27A4"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A</w:t>
            </w:r>
            <w:r w:rsidR="009F5376">
              <w:rPr>
                <w:rFonts w:cstheme="minorHAnsi"/>
                <w:b/>
                <w:bCs/>
                <w:color w:val="000000"/>
                <w:sz w:val="20"/>
                <w:szCs w:val="20"/>
              </w:rPr>
              <w:t>nnual a</w:t>
            </w:r>
            <w:r>
              <w:rPr>
                <w:rFonts w:cstheme="minorHAnsi"/>
                <w:b/>
                <w:bCs/>
                <w:color w:val="000000"/>
                <w:sz w:val="20"/>
                <w:szCs w:val="20"/>
              </w:rPr>
              <w:t>doption rate</w:t>
            </w:r>
          </w:p>
        </w:tc>
        <w:tc>
          <w:tcPr>
            <w:tcW w:w="707" w:type="pct"/>
            <w:vAlign w:val="center"/>
          </w:tcPr>
          <w:p w14:paraId="2A864628"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1 %</w:t>
            </w:r>
          </w:p>
        </w:tc>
        <w:tc>
          <w:tcPr>
            <w:tcW w:w="629" w:type="pct"/>
            <w:vAlign w:val="center"/>
          </w:tcPr>
          <w:p w14:paraId="7C3E24E0"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631" w:type="pct"/>
            <w:vAlign w:val="center"/>
          </w:tcPr>
          <w:p w14:paraId="771995FD"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c>
          <w:tcPr>
            <w:tcW w:w="629" w:type="pct"/>
            <w:vAlign w:val="center"/>
          </w:tcPr>
          <w:p w14:paraId="2B9C0B6A"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w:t>
            </w:r>
          </w:p>
        </w:tc>
        <w:tc>
          <w:tcPr>
            <w:tcW w:w="629" w:type="pct"/>
            <w:vAlign w:val="center"/>
          </w:tcPr>
          <w:p w14:paraId="1C6EA8C4"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w:t>
            </w:r>
          </w:p>
        </w:tc>
        <w:tc>
          <w:tcPr>
            <w:tcW w:w="598" w:type="pct"/>
            <w:vAlign w:val="center"/>
          </w:tcPr>
          <w:p w14:paraId="5C4D3713" w14:textId="77777777" w:rsidR="005E159A" w:rsidRPr="007944E1"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3%</w:t>
            </w:r>
          </w:p>
        </w:tc>
      </w:tr>
      <w:tr w:rsidR="005E159A" w:rsidRPr="006B7A9D" w14:paraId="03FD63D2" w14:textId="77777777" w:rsidTr="001C4496">
        <w:trPr>
          <w:trHeight w:val="288"/>
          <w:jc w:val="right"/>
        </w:trPr>
        <w:tc>
          <w:tcPr>
            <w:tcW w:w="1177" w:type="pct"/>
            <w:tcBorders>
              <w:bottom w:val="single" w:sz="4" w:space="0" w:color="auto"/>
            </w:tcBorders>
            <w:vAlign w:val="center"/>
          </w:tcPr>
          <w:p w14:paraId="4B21BA0D" w14:textId="77777777" w:rsidR="005E159A" w:rsidRDefault="005E159A" w:rsidP="009F5376">
            <w:pPr>
              <w:keepNext/>
              <w:autoSpaceDE w:val="0"/>
              <w:autoSpaceDN w:val="0"/>
              <w:adjustRightInd w:val="0"/>
              <w:spacing w:before="60" w:after="60"/>
              <w:jc w:val="right"/>
              <w:rPr>
                <w:rFonts w:cstheme="minorHAnsi"/>
                <w:b/>
                <w:bCs/>
                <w:color w:val="000000"/>
                <w:sz w:val="20"/>
                <w:szCs w:val="20"/>
              </w:rPr>
            </w:pPr>
            <w:r>
              <w:rPr>
                <w:rFonts w:cstheme="minorHAnsi"/>
                <w:b/>
                <w:bCs/>
                <w:color w:val="000000"/>
                <w:sz w:val="20"/>
                <w:szCs w:val="20"/>
              </w:rPr>
              <w:t>(implied adoption % by 2030)</w:t>
            </w:r>
          </w:p>
        </w:tc>
        <w:tc>
          <w:tcPr>
            <w:tcW w:w="707" w:type="pct"/>
            <w:tcBorders>
              <w:bottom w:val="single" w:sz="4" w:space="0" w:color="auto"/>
            </w:tcBorders>
            <w:vAlign w:val="center"/>
          </w:tcPr>
          <w:p w14:paraId="67EB6DD8"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4DE1F19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631" w:type="pct"/>
            <w:tcBorders>
              <w:bottom w:val="single" w:sz="4" w:space="0" w:color="auto"/>
            </w:tcBorders>
            <w:vAlign w:val="center"/>
          </w:tcPr>
          <w:p w14:paraId="6FFE7DA1"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c>
          <w:tcPr>
            <w:tcW w:w="629" w:type="pct"/>
            <w:tcBorders>
              <w:bottom w:val="single" w:sz="4" w:space="0" w:color="auto"/>
            </w:tcBorders>
            <w:vAlign w:val="center"/>
          </w:tcPr>
          <w:p w14:paraId="11267DC8"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9.1%</w:t>
            </w:r>
          </w:p>
        </w:tc>
        <w:tc>
          <w:tcPr>
            <w:tcW w:w="629" w:type="pct"/>
            <w:tcBorders>
              <w:bottom w:val="single" w:sz="4" w:space="0" w:color="auto"/>
            </w:tcBorders>
            <w:vAlign w:val="center"/>
          </w:tcPr>
          <w:p w14:paraId="0CB4118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17.4%</w:t>
            </w:r>
          </w:p>
        </w:tc>
        <w:tc>
          <w:tcPr>
            <w:tcW w:w="598" w:type="pct"/>
            <w:tcBorders>
              <w:bottom w:val="single" w:sz="4" w:space="0" w:color="auto"/>
            </w:tcBorders>
            <w:vAlign w:val="center"/>
          </w:tcPr>
          <w:p w14:paraId="7311913A" w14:textId="77777777" w:rsidR="005E159A" w:rsidRDefault="005E159A" w:rsidP="009F5376">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25.0%</w:t>
            </w:r>
          </w:p>
        </w:tc>
      </w:tr>
      <w:tr w:rsidR="005E159A" w:rsidRPr="006B7A9D" w14:paraId="4E2E3869" w14:textId="77777777" w:rsidTr="001C4496">
        <w:trPr>
          <w:trHeight w:val="288"/>
          <w:jc w:val="right"/>
        </w:trPr>
        <w:tc>
          <w:tcPr>
            <w:tcW w:w="1177" w:type="pct"/>
            <w:vAlign w:val="center"/>
          </w:tcPr>
          <w:p w14:paraId="2AEB2B9C" w14:textId="77777777" w:rsidR="005E159A" w:rsidRPr="007944E1" w:rsidRDefault="005E159A" w:rsidP="009F5376">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NPV (2005 $ million)</w:t>
            </w:r>
          </w:p>
        </w:tc>
        <w:tc>
          <w:tcPr>
            <w:tcW w:w="707" w:type="pct"/>
            <w:vAlign w:val="center"/>
          </w:tcPr>
          <w:p w14:paraId="1AF4BB9E" w14:textId="2ED5A96A"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$34.5</w:t>
            </w:r>
          </w:p>
        </w:tc>
        <w:tc>
          <w:tcPr>
            <w:tcW w:w="629" w:type="pct"/>
            <w:vAlign w:val="center"/>
          </w:tcPr>
          <w:p w14:paraId="39CE5BDD" w14:textId="4E8328FD"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$121.6</w:t>
            </w:r>
          </w:p>
        </w:tc>
        <w:tc>
          <w:tcPr>
            <w:tcW w:w="631" w:type="pct"/>
            <w:vAlign w:val="center"/>
          </w:tcPr>
          <w:p w14:paraId="3CA7015B" w14:textId="211ED14C"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$204.3</w:t>
            </w:r>
          </w:p>
        </w:tc>
        <w:tc>
          <w:tcPr>
            <w:tcW w:w="629" w:type="pct"/>
            <w:vAlign w:val="center"/>
          </w:tcPr>
          <w:p w14:paraId="6DEBD241" w14:textId="7BD9697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$150.2</w:t>
            </w:r>
          </w:p>
        </w:tc>
        <w:tc>
          <w:tcPr>
            <w:tcW w:w="629" w:type="pct"/>
            <w:vAlign w:val="center"/>
          </w:tcPr>
          <w:p w14:paraId="0AEDEB6C" w14:textId="232C02EF"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$347.0</w:t>
            </w:r>
          </w:p>
        </w:tc>
        <w:tc>
          <w:tcPr>
            <w:tcW w:w="598" w:type="pct"/>
            <w:vAlign w:val="center"/>
          </w:tcPr>
          <w:p w14:paraId="646D3F9C" w14:textId="24BDCCE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$534.1</w:t>
            </w:r>
          </w:p>
        </w:tc>
      </w:tr>
      <w:tr w:rsidR="005E159A" w:rsidRPr="006B7A9D" w14:paraId="55B6048B" w14:textId="77777777" w:rsidTr="001C4496">
        <w:trPr>
          <w:trHeight w:val="288"/>
          <w:jc w:val="right"/>
        </w:trPr>
        <w:tc>
          <w:tcPr>
            <w:tcW w:w="1177" w:type="pct"/>
            <w:vAlign w:val="center"/>
          </w:tcPr>
          <w:p w14:paraId="5E36EDD5" w14:textId="77777777" w:rsidR="005E159A" w:rsidRPr="007944E1" w:rsidRDefault="005E159A" w:rsidP="009F5376">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IRR (%)</w:t>
            </w:r>
          </w:p>
        </w:tc>
        <w:tc>
          <w:tcPr>
            <w:tcW w:w="707" w:type="pct"/>
            <w:vAlign w:val="center"/>
          </w:tcPr>
          <w:p w14:paraId="7C4EEE79" w14:textId="6860689C"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12%</w:t>
            </w:r>
          </w:p>
        </w:tc>
        <w:tc>
          <w:tcPr>
            <w:tcW w:w="629" w:type="pct"/>
            <w:vAlign w:val="center"/>
          </w:tcPr>
          <w:p w14:paraId="7B1F9FF3" w14:textId="60D666F0"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25%</w:t>
            </w:r>
          </w:p>
        </w:tc>
        <w:tc>
          <w:tcPr>
            <w:tcW w:w="631" w:type="pct"/>
            <w:vAlign w:val="center"/>
          </w:tcPr>
          <w:p w14:paraId="07482132" w14:textId="74182EA7"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34%</w:t>
            </w:r>
          </w:p>
        </w:tc>
        <w:tc>
          <w:tcPr>
            <w:tcW w:w="629" w:type="pct"/>
            <w:vAlign w:val="center"/>
          </w:tcPr>
          <w:p w14:paraId="752E2EA3" w14:textId="144C9BE9"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28%</w:t>
            </w:r>
          </w:p>
        </w:tc>
        <w:tc>
          <w:tcPr>
            <w:tcW w:w="629" w:type="pct"/>
            <w:vAlign w:val="center"/>
          </w:tcPr>
          <w:p w14:paraId="07C01B41" w14:textId="0DDF7A36"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45%</w:t>
            </w:r>
          </w:p>
        </w:tc>
        <w:tc>
          <w:tcPr>
            <w:tcW w:w="598" w:type="pct"/>
            <w:vAlign w:val="center"/>
          </w:tcPr>
          <w:p w14:paraId="6FE23FC9" w14:textId="18B307B5" w:rsidR="005E159A" w:rsidRPr="006B7A9D" w:rsidRDefault="005E159A"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57%</w:t>
            </w:r>
          </w:p>
        </w:tc>
      </w:tr>
      <w:tr w:rsidR="005E159A" w:rsidRPr="006B7A9D" w14:paraId="1D926FEE" w14:textId="77777777" w:rsidTr="001C4496">
        <w:trPr>
          <w:trHeight w:val="288"/>
          <w:jc w:val="right"/>
        </w:trPr>
        <w:tc>
          <w:tcPr>
            <w:tcW w:w="1177" w:type="pct"/>
            <w:vAlign w:val="center"/>
          </w:tcPr>
          <w:p w14:paraId="42D93285" w14:textId="77777777" w:rsidR="005E159A" w:rsidRPr="00DD542C" w:rsidRDefault="005E159A" w:rsidP="009F5376">
            <w:pPr>
              <w:keepNext/>
              <w:autoSpaceDE w:val="0"/>
              <w:autoSpaceDN w:val="0"/>
              <w:adjustRightInd w:val="0"/>
              <w:spacing w:before="60" w:after="60"/>
              <w:rPr>
                <w:rFonts w:cstheme="minorHAnsi"/>
                <w:b/>
                <w:bCs/>
                <w:color w:val="000000"/>
                <w:sz w:val="20"/>
                <w:szCs w:val="20"/>
              </w:rPr>
            </w:pPr>
            <w:r w:rsidRPr="00DD542C">
              <w:rPr>
                <w:rFonts w:cstheme="minorHAnsi"/>
                <w:b/>
                <w:bCs/>
                <w:color w:val="000000"/>
                <w:sz w:val="20"/>
                <w:szCs w:val="20"/>
              </w:rPr>
              <w:t>B/C ratio</w:t>
            </w:r>
          </w:p>
        </w:tc>
        <w:tc>
          <w:tcPr>
            <w:tcW w:w="707" w:type="pct"/>
            <w:vAlign w:val="center"/>
          </w:tcPr>
          <w:p w14:paraId="2173F2FB" w14:textId="69F1F700"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sidRPr="00DD542C">
              <w:rPr>
                <w:rFonts w:cstheme="minorHAnsi"/>
                <w:color w:val="000000"/>
                <w:sz w:val="20"/>
                <w:szCs w:val="20"/>
              </w:rPr>
              <w:t>1.60</w:t>
            </w:r>
          </w:p>
        </w:tc>
        <w:tc>
          <w:tcPr>
            <w:tcW w:w="629" w:type="pct"/>
            <w:vAlign w:val="center"/>
          </w:tcPr>
          <w:p w14:paraId="783D58C7" w14:textId="17EF243E"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3.13</w:t>
            </w:r>
          </w:p>
        </w:tc>
        <w:tc>
          <w:tcPr>
            <w:tcW w:w="631" w:type="pct"/>
            <w:vAlign w:val="center"/>
          </w:tcPr>
          <w:p w14:paraId="6483C313" w14:textId="2E5C3602"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4.58</w:t>
            </w:r>
          </w:p>
        </w:tc>
        <w:tc>
          <w:tcPr>
            <w:tcW w:w="629" w:type="pct"/>
            <w:vAlign w:val="center"/>
          </w:tcPr>
          <w:p w14:paraId="2DDFA89D" w14:textId="4A050140"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3.63</w:t>
            </w:r>
          </w:p>
        </w:tc>
        <w:tc>
          <w:tcPr>
            <w:tcW w:w="629" w:type="pct"/>
            <w:vAlign w:val="center"/>
          </w:tcPr>
          <w:p w14:paraId="78545A69" w14:textId="2EB48FFD"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7.07</w:t>
            </w:r>
          </w:p>
        </w:tc>
        <w:tc>
          <w:tcPr>
            <w:tcW w:w="598" w:type="pct"/>
            <w:vAlign w:val="center"/>
          </w:tcPr>
          <w:p w14:paraId="571D6401" w14:textId="39228F1D" w:rsidR="005E159A" w:rsidRPr="00DD542C" w:rsidRDefault="00DD542C" w:rsidP="009F5376">
            <w:pPr>
              <w:keepNext/>
              <w:autoSpaceDE w:val="0"/>
              <w:autoSpaceDN w:val="0"/>
              <w:adjustRightInd w:val="0"/>
              <w:spacing w:before="60" w:after="60"/>
              <w:ind w:right="144"/>
              <w:jc w:val="right"/>
              <w:rPr>
                <w:rFonts w:cstheme="minorHAnsi"/>
                <w:color w:val="000000"/>
                <w:sz w:val="20"/>
                <w:szCs w:val="20"/>
              </w:rPr>
            </w:pPr>
            <w:r>
              <w:rPr>
                <w:rFonts w:cstheme="minorHAnsi"/>
                <w:color w:val="000000"/>
                <w:sz w:val="20"/>
                <w:szCs w:val="20"/>
              </w:rPr>
              <w:t>10.35</w:t>
            </w:r>
          </w:p>
        </w:tc>
      </w:tr>
    </w:tbl>
    <w:p w14:paraId="15DCB0B7" w14:textId="77777777" w:rsidR="005E159A" w:rsidRPr="000F5841" w:rsidRDefault="005E159A" w:rsidP="005E159A">
      <w:pPr>
        <w:rPr>
          <w:rFonts w:cstheme="minorHAnsi"/>
          <w:lang w:val="en-US"/>
        </w:rPr>
      </w:pPr>
    </w:p>
    <w:p w14:paraId="4D2A811E" w14:textId="72A849F7" w:rsidR="005E159A" w:rsidRDefault="005E159A" w:rsidP="004A419A"/>
    <w:p w14:paraId="3D2A826A" w14:textId="5031778C" w:rsidR="005E159A" w:rsidRPr="00A04AF8" w:rsidRDefault="00A04AF8" w:rsidP="00957835">
      <w:pPr>
        <w:rPr>
          <w:b/>
          <w:bCs/>
        </w:rPr>
      </w:pPr>
      <w:r>
        <w:rPr>
          <w:b/>
          <w:bCs/>
        </w:rPr>
        <w:t xml:space="preserve">5.  </w:t>
      </w:r>
      <w:r w:rsidR="00BB6F6B" w:rsidRPr="00A04AF8">
        <w:rPr>
          <w:b/>
          <w:bCs/>
        </w:rPr>
        <w:t>Sensitivity analysis</w:t>
      </w:r>
    </w:p>
    <w:p w14:paraId="538AA6ED" w14:textId="77777777" w:rsidR="00957835" w:rsidRDefault="00957835" w:rsidP="00097F53"/>
    <w:p w14:paraId="066F2095" w14:textId="4FAFE36F" w:rsidR="00097F53" w:rsidRDefault="00BB6F6B" w:rsidP="00097F53">
      <w:r>
        <w:t xml:space="preserve">The robustness of some key assumptions of the EFA was tested for one of the scenarios shown in Table 6: a 2% adoption rate of both CSA technologies and CIS, and a 15% yield benefit </w:t>
      </w:r>
      <w:r w:rsidR="0020650F">
        <w:t>resulting from</w:t>
      </w:r>
      <w:r>
        <w:t xml:space="preserve"> the </w:t>
      </w:r>
      <w:r w:rsidR="0020650F">
        <w:t>adoption</w:t>
      </w:r>
      <w:r>
        <w:t xml:space="preserve"> of CSA.</w:t>
      </w:r>
      <w:r w:rsidR="00E83F62">
        <w:t xml:space="preserve"> </w:t>
      </w:r>
      <w:r>
        <w:t>Results are shown in Table 8, with respect to (1) increases in the discount rate used, (2) less conservative estimates of yield losses avoided through the use of CIS, and (3) changes in the total costs of implementation of both CSA and CIS.</w:t>
      </w:r>
      <w:r w:rsidR="00F050FA">
        <w:t xml:space="preserve"> The results of the investment analysis using less conservative estimates of the benefits of avoided production losses are particularly noteworthy.</w:t>
      </w:r>
    </w:p>
    <w:p w14:paraId="5708F5F8" w14:textId="0DD1078F" w:rsidR="00F050FA" w:rsidRDefault="00F050FA" w:rsidP="00097F53"/>
    <w:p w14:paraId="3CEC46AA" w14:textId="293CBBDD" w:rsidR="002A031A" w:rsidRDefault="00F050FA" w:rsidP="00F050FA">
      <w:r>
        <w:t>It is recogni</w:t>
      </w:r>
      <w:r w:rsidR="00543AAC">
        <w:t>z</w:t>
      </w:r>
      <w:r>
        <w:t>ed that realizing the benefits evaluated will depend on many factors in addition to AICCRA</w:t>
      </w:r>
      <w:r w:rsidR="00E86E8F">
        <w:t xml:space="preserve"> investments</w:t>
      </w:r>
      <w:r>
        <w:t xml:space="preserve">. </w:t>
      </w:r>
      <w:r w:rsidR="00100173">
        <w:t xml:space="preserve">Given the challenge of attributing benefits to </w:t>
      </w:r>
      <w:r w:rsidR="00910027">
        <w:t xml:space="preserve">the </w:t>
      </w:r>
      <w:r w:rsidR="00100173">
        <w:t>AICCRA</w:t>
      </w:r>
      <w:r w:rsidR="00910027">
        <w:t xml:space="preserve"> investment directly</w:t>
      </w:r>
      <w:r w:rsidR="00100173">
        <w:t>, compared with attributing benefits to other activities and investments</w:t>
      </w:r>
      <w:r w:rsidR="008E087B">
        <w:t xml:space="preserve"> made</w:t>
      </w:r>
      <w:r w:rsidR="00100173">
        <w:t xml:space="preserve"> in the anchor countries and </w:t>
      </w:r>
      <w:r w:rsidR="008E087B">
        <w:t xml:space="preserve">across </w:t>
      </w:r>
      <w:r w:rsidR="00100173">
        <w:t xml:space="preserve">the regions </w:t>
      </w:r>
      <w:r w:rsidR="00972F7D">
        <w:t xml:space="preserve">more </w:t>
      </w:r>
      <w:r w:rsidR="00100173">
        <w:t xml:space="preserve">generally, the returns to the AICCRA investment </w:t>
      </w:r>
      <w:r w:rsidR="00910027">
        <w:t xml:space="preserve">in this EFA </w:t>
      </w:r>
      <w:r w:rsidR="00100173">
        <w:t xml:space="preserve">have been estimated using </w:t>
      </w:r>
      <w:r w:rsidR="00100173">
        <w:lastRenderedPageBreak/>
        <w:t xml:space="preserve">extremely conservative assumptions. These include conservative estimates of CSA technology and CIS adoption rates, </w:t>
      </w:r>
      <w:r w:rsidR="00910027">
        <w:t xml:space="preserve">as well as conservative estimates </w:t>
      </w:r>
      <w:r w:rsidR="00100173">
        <w:t>of CSA production benefits and CIS-informed production losses avoided</w:t>
      </w:r>
      <w:r w:rsidR="00910027">
        <w:t xml:space="preserve">. Furthermore, the analysis was built around just one (albeit important) </w:t>
      </w:r>
      <w:r w:rsidR="00100173">
        <w:t>indicator crop to represent the complexity and variation in the mixed crop-livestock farming systems in the different regions of SSA.</w:t>
      </w:r>
      <w:r w:rsidR="00E83F62">
        <w:t xml:space="preserve"> </w:t>
      </w:r>
      <w:r w:rsidR="00910027">
        <w:t>Ev</w:t>
      </w:r>
      <w:r w:rsidRPr="00F050FA">
        <w:t xml:space="preserve">en </w:t>
      </w:r>
      <w:r w:rsidR="00910027">
        <w:t xml:space="preserve">with such </w:t>
      </w:r>
      <w:r w:rsidRPr="00F050FA">
        <w:t xml:space="preserve">conservative assumptions, AICCRA investments </w:t>
      </w:r>
      <w:r w:rsidR="002A031A">
        <w:t xml:space="preserve">are </w:t>
      </w:r>
      <w:r w:rsidRPr="00F050FA">
        <w:t>expected to generate attractive returns.</w:t>
      </w:r>
      <w:r w:rsidR="00E83F62">
        <w:t xml:space="preserve"> </w:t>
      </w:r>
      <w:r w:rsidR="002A031A">
        <w:t xml:space="preserve">It may reasonably be expected that AICCRA would generate even more attractive returns that indicated in Tables 6 and 7, if the VOP benefits of production increases and avoided losses for beef, milk and other key food crops were to be taken into account. </w:t>
      </w:r>
      <w:r w:rsidR="00D46EB0">
        <w:t xml:space="preserve">In light of the evidence in </w:t>
      </w:r>
      <w:r w:rsidR="00D46EB0">
        <w:rPr>
          <w:rFonts w:cstheme="minorHAnsi"/>
        </w:rPr>
        <w:t xml:space="preserve">Steward et al. (2019), </w:t>
      </w:r>
      <w:r w:rsidR="002A031A">
        <w:t xml:space="preserve">bundled packages of CIS and CSA options, including livestock production-enhancing technologies, would likely increase these investment returns </w:t>
      </w:r>
      <w:r w:rsidR="00D46EB0">
        <w:t xml:space="preserve">even </w:t>
      </w:r>
      <w:r w:rsidR="002A031A">
        <w:t>further.</w:t>
      </w:r>
    </w:p>
    <w:p w14:paraId="271BB1F9" w14:textId="77777777" w:rsidR="00F050FA" w:rsidRDefault="00F050FA" w:rsidP="00097F53"/>
    <w:p w14:paraId="134B44A3" w14:textId="77777777" w:rsidR="00703047" w:rsidRDefault="00703047" w:rsidP="004A419A"/>
    <w:p w14:paraId="5EF46FA6" w14:textId="5C5169D7" w:rsidR="000F5841" w:rsidRPr="001A56D0" w:rsidRDefault="000F5841" w:rsidP="000F5841">
      <w:pPr>
        <w:keepNext/>
      </w:pPr>
      <w:r w:rsidRPr="00E10561">
        <w:rPr>
          <w:b/>
          <w:bCs/>
        </w:rPr>
        <w:t>Table</w:t>
      </w:r>
      <w:r w:rsidR="00814236" w:rsidRPr="00E10561">
        <w:rPr>
          <w:b/>
          <w:bCs/>
        </w:rPr>
        <w:t xml:space="preserve"> 8. </w:t>
      </w:r>
      <w:r w:rsidR="00814236" w:rsidRPr="001A56D0">
        <w:t>Sensitivity analysis for AICCRA inv</w:t>
      </w:r>
      <w:r w:rsidRPr="001A56D0">
        <w:t xml:space="preserve">estment criteria to 2030 </w:t>
      </w:r>
      <w:r w:rsidR="00814236" w:rsidRPr="001A56D0">
        <w:t xml:space="preserve">for different </w:t>
      </w:r>
      <w:r w:rsidRPr="001A56D0">
        <w:t>discount rate</w:t>
      </w:r>
      <w:r w:rsidR="00814236" w:rsidRPr="001A56D0">
        <w:t>s, CIS benefits, and implementation costs</w:t>
      </w:r>
      <w:r w:rsidR="009F2CBE" w:rsidRPr="001A56D0">
        <w:t xml:space="preserve"> </w:t>
      </w:r>
      <w:r w:rsidRPr="001A56D0">
        <w:t xml:space="preserve">in the mixed crop-livestock systems of the AICCRA anchor </w:t>
      </w:r>
      <w:r w:rsidR="00016B04" w:rsidRPr="001A56D0">
        <w:t>countries.</w:t>
      </w:r>
    </w:p>
    <w:p w14:paraId="626C1DA0" w14:textId="77777777" w:rsidR="000F5841" w:rsidRDefault="000F5841" w:rsidP="000F5841">
      <w:pPr>
        <w:keepNext/>
      </w:pPr>
    </w:p>
    <w:tbl>
      <w:tblPr>
        <w:tblW w:w="92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
        <w:gridCol w:w="4914"/>
        <w:gridCol w:w="1473"/>
        <w:gridCol w:w="1288"/>
        <w:gridCol w:w="1217"/>
      </w:tblGrid>
      <w:tr w:rsidR="0047400D" w:rsidRPr="006B7A9D" w14:paraId="21284770" w14:textId="77777777" w:rsidTr="009A36E1">
        <w:trPr>
          <w:trHeight w:val="288"/>
          <w:jc w:val="center"/>
        </w:trPr>
        <w:tc>
          <w:tcPr>
            <w:tcW w:w="176" w:type="pct"/>
            <w:vAlign w:val="center"/>
          </w:tcPr>
          <w:p w14:paraId="04D34C61" w14:textId="700274F7" w:rsidR="0047400D" w:rsidRDefault="0047400D" w:rsidP="00016B04">
            <w:pPr>
              <w:keepNext/>
              <w:autoSpaceDE w:val="0"/>
              <w:autoSpaceDN w:val="0"/>
              <w:adjustRightInd w:val="0"/>
              <w:spacing w:before="60" w:after="60"/>
              <w:rPr>
                <w:rFonts w:cstheme="minorHAnsi"/>
                <w:b/>
                <w:bCs/>
                <w:color w:val="000000"/>
                <w:sz w:val="20"/>
                <w:szCs w:val="20"/>
              </w:rPr>
            </w:pPr>
          </w:p>
        </w:tc>
        <w:tc>
          <w:tcPr>
            <w:tcW w:w="2665" w:type="pct"/>
            <w:vAlign w:val="center"/>
          </w:tcPr>
          <w:p w14:paraId="7BC8BC36" w14:textId="4743885E" w:rsidR="0047400D" w:rsidRPr="007944E1" w:rsidRDefault="0047400D" w:rsidP="00016B04">
            <w:pPr>
              <w:keepNext/>
              <w:autoSpaceDE w:val="0"/>
              <w:autoSpaceDN w:val="0"/>
              <w:adjustRightInd w:val="0"/>
              <w:spacing w:before="60" w:after="60"/>
              <w:rPr>
                <w:rFonts w:cstheme="minorHAnsi"/>
                <w:b/>
                <w:bCs/>
                <w:color w:val="000000"/>
                <w:sz w:val="20"/>
                <w:szCs w:val="20"/>
              </w:rPr>
            </w:pPr>
            <w:r>
              <w:rPr>
                <w:rFonts w:cstheme="minorHAnsi"/>
                <w:b/>
                <w:bCs/>
                <w:color w:val="000000"/>
                <w:sz w:val="20"/>
                <w:szCs w:val="20"/>
              </w:rPr>
              <w:t>Scenario</w:t>
            </w:r>
          </w:p>
        </w:tc>
        <w:tc>
          <w:tcPr>
            <w:tcW w:w="799" w:type="pct"/>
            <w:vAlign w:val="center"/>
          </w:tcPr>
          <w:p w14:paraId="5EE97055" w14:textId="56C2F43B"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NPV (2005 $ million)</w:t>
            </w:r>
          </w:p>
        </w:tc>
        <w:tc>
          <w:tcPr>
            <w:tcW w:w="699" w:type="pct"/>
            <w:vAlign w:val="center"/>
          </w:tcPr>
          <w:p w14:paraId="3C874B84" w14:textId="0A04793A"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IRR (%)</w:t>
            </w:r>
          </w:p>
        </w:tc>
        <w:tc>
          <w:tcPr>
            <w:tcW w:w="660" w:type="pct"/>
            <w:vAlign w:val="center"/>
          </w:tcPr>
          <w:p w14:paraId="2D68CA3D" w14:textId="1FFB2AF4" w:rsidR="0047400D" w:rsidRPr="007944E1" w:rsidRDefault="0047400D" w:rsidP="00016B04">
            <w:pPr>
              <w:keepNext/>
              <w:autoSpaceDE w:val="0"/>
              <w:autoSpaceDN w:val="0"/>
              <w:adjustRightInd w:val="0"/>
              <w:spacing w:before="60" w:after="60"/>
              <w:jc w:val="center"/>
              <w:rPr>
                <w:rFonts w:cstheme="minorHAnsi"/>
                <w:b/>
                <w:bCs/>
                <w:color w:val="000000"/>
                <w:sz w:val="20"/>
                <w:szCs w:val="20"/>
              </w:rPr>
            </w:pPr>
            <w:r>
              <w:rPr>
                <w:rFonts w:cstheme="minorHAnsi"/>
                <w:b/>
                <w:bCs/>
                <w:color w:val="000000"/>
                <w:sz w:val="20"/>
                <w:szCs w:val="20"/>
              </w:rPr>
              <w:t>B/C ratio</w:t>
            </w:r>
          </w:p>
        </w:tc>
      </w:tr>
      <w:tr w:rsidR="0047400D" w:rsidRPr="006B7A9D" w14:paraId="1947858E" w14:textId="77777777" w:rsidTr="009A36E1">
        <w:trPr>
          <w:trHeight w:val="288"/>
          <w:jc w:val="center"/>
        </w:trPr>
        <w:tc>
          <w:tcPr>
            <w:tcW w:w="176" w:type="pct"/>
            <w:tcBorders>
              <w:bottom w:val="single" w:sz="4" w:space="0" w:color="auto"/>
            </w:tcBorders>
          </w:tcPr>
          <w:p w14:paraId="79DB4E76" w14:textId="263AAFF9" w:rsidR="0047400D" w:rsidRPr="00016B04"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1</w:t>
            </w:r>
          </w:p>
        </w:tc>
        <w:tc>
          <w:tcPr>
            <w:tcW w:w="2665" w:type="pct"/>
            <w:tcBorders>
              <w:bottom w:val="single" w:sz="4" w:space="0" w:color="auto"/>
            </w:tcBorders>
            <w:vAlign w:val="center"/>
          </w:tcPr>
          <w:p w14:paraId="3182B0B8" w14:textId="3925CAA1" w:rsidR="0047400D" w:rsidRDefault="0047400D" w:rsidP="00016B04">
            <w:pPr>
              <w:keepNext/>
              <w:autoSpaceDE w:val="0"/>
              <w:autoSpaceDN w:val="0"/>
              <w:adjustRightInd w:val="0"/>
              <w:spacing w:before="60" w:after="60"/>
              <w:rPr>
                <w:rFonts w:cstheme="minorHAnsi"/>
                <w:color w:val="000000"/>
                <w:sz w:val="20"/>
                <w:szCs w:val="20"/>
              </w:rPr>
            </w:pPr>
            <w:r w:rsidRPr="00016B04">
              <w:rPr>
                <w:rFonts w:cstheme="minorHAnsi"/>
                <w:color w:val="000000"/>
                <w:sz w:val="20"/>
                <w:szCs w:val="20"/>
              </w:rPr>
              <w:t>Baseline</w:t>
            </w:r>
            <w:r>
              <w:rPr>
                <w:rFonts w:cstheme="minorHAnsi"/>
                <w:color w:val="000000"/>
                <w:sz w:val="20"/>
                <w:szCs w:val="20"/>
              </w:rPr>
              <w:t>:</w:t>
            </w:r>
          </w:p>
          <w:p w14:paraId="257016FB"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2% adoption per year</w:t>
            </w:r>
          </w:p>
          <w:p w14:paraId="6F0BAAF2"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15% CSA yield benefit</w:t>
            </w:r>
          </w:p>
          <w:p w14:paraId="6C85E4A1" w14:textId="22996663"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CIS avoided loss benefit 3.3% (</w:t>
            </w:r>
            <w:r>
              <w:rPr>
                <w:rFonts w:cstheme="minorHAnsi"/>
                <w:color w:val="000000"/>
                <w:sz w:val="20"/>
                <w:szCs w:val="20"/>
              </w:rPr>
              <w:t xml:space="preserve">CV of annual yield reduced from </w:t>
            </w:r>
            <w:r w:rsidRPr="00A92C12">
              <w:rPr>
                <w:rFonts w:cstheme="minorHAnsi"/>
                <w:color w:val="000000"/>
                <w:sz w:val="20"/>
                <w:szCs w:val="20"/>
              </w:rPr>
              <w:t>35% to 30%)</w:t>
            </w:r>
          </w:p>
          <w:p w14:paraId="1B694C75" w14:textId="77777777"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implementation cost factor 2.5</w:t>
            </w:r>
          </w:p>
          <w:p w14:paraId="214959F9" w14:textId="19CC9CFC" w:rsidR="0047400D" w:rsidRPr="00A92C12" w:rsidRDefault="0047400D" w:rsidP="00A92C12">
            <w:pPr>
              <w:pStyle w:val="ListParagraph"/>
              <w:keepNext/>
              <w:numPr>
                <w:ilvl w:val="0"/>
                <w:numId w:val="6"/>
              </w:numPr>
              <w:autoSpaceDE w:val="0"/>
              <w:autoSpaceDN w:val="0"/>
              <w:adjustRightInd w:val="0"/>
              <w:spacing w:before="60" w:after="60"/>
              <w:rPr>
                <w:rFonts w:cstheme="minorHAnsi"/>
                <w:color w:val="000000"/>
                <w:sz w:val="20"/>
                <w:szCs w:val="20"/>
              </w:rPr>
            </w:pPr>
            <w:r w:rsidRPr="00A92C12">
              <w:rPr>
                <w:rFonts w:cstheme="minorHAnsi"/>
                <w:color w:val="000000"/>
                <w:sz w:val="20"/>
                <w:szCs w:val="20"/>
              </w:rPr>
              <w:t>5% discount rate</w:t>
            </w:r>
          </w:p>
        </w:tc>
        <w:tc>
          <w:tcPr>
            <w:tcW w:w="799" w:type="pct"/>
            <w:tcBorders>
              <w:bottom w:val="single" w:sz="4" w:space="0" w:color="auto"/>
            </w:tcBorders>
            <w:vAlign w:val="center"/>
          </w:tcPr>
          <w:p w14:paraId="160D6779" w14:textId="0DA3AAD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$48.9</w:t>
            </w:r>
          </w:p>
        </w:tc>
        <w:tc>
          <w:tcPr>
            <w:tcW w:w="699" w:type="pct"/>
            <w:tcBorders>
              <w:bottom w:val="single" w:sz="4" w:space="0" w:color="auto"/>
            </w:tcBorders>
            <w:vAlign w:val="center"/>
          </w:tcPr>
          <w:p w14:paraId="1B474169" w14:textId="2D202BDE"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tcBorders>
              <w:bottom w:val="single" w:sz="4" w:space="0" w:color="auto"/>
            </w:tcBorders>
            <w:vAlign w:val="center"/>
          </w:tcPr>
          <w:p w14:paraId="17A51251" w14:textId="5A6B3F3B"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1.86</w:t>
            </w:r>
          </w:p>
        </w:tc>
      </w:tr>
      <w:tr w:rsidR="0047400D" w:rsidRPr="006B7A9D" w14:paraId="7B1238DC" w14:textId="77777777" w:rsidTr="009A36E1">
        <w:trPr>
          <w:trHeight w:val="288"/>
          <w:jc w:val="center"/>
        </w:trPr>
        <w:tc>
          <w:tcPr>
            <w:tcW w:w="176" w:type="pct"/>
          </w:tcPr>
          <w:p w14:paraId="4C038921" w14:textId="77777777" w:rsidR="0047400D" w:rsidRDefault="0047400D" w:rsidP="00016B04">
            <w:pPr>
              <w:keepNext/>
              <w:autoSpaceDE w:val="0"/>
              <w:autoSpaceDN w:val="0"/>
              <w:adjustRightInd w:val="0"/>
              <w:spacing w:before="60" w:after="60"/>
              <w:rPr>
                <w:rFonts w:cstheme="minorHAnsi"/>
                <w:color w:val="000000"/>
                <w:sz w:val="20"/>
                <w:szCs w:val="20"/>
              </w:rPr>
            </w:pPr>
          </w:p>
        </w:tc>
        <w:tc>
          <w:tcPr>
            <w:tcW w:w="2665" w:type="pct"/>
            <w:vAlign w:val="center"/>
          </w:tcPr>
          <w:p w14:paraId="25902B78" w14:textId="1E1A397B" w:rsidR="0047400D" w:rsidRPr="0047400D" w:rsidRDefault="0047400D" w:rsidP="00016B04">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CIS effectiveness</w:t>
            </w:r>
          </w:p>
        </w:tc>
        <w:tc>
          <w:tcPr>
            <w:tcW w:w="799" w:type="pct"/>
            <w:vAlign w:val="center"/>
          </w:tcPr>
          <w:p w14:paraId="26E0568A"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c>
          <w:tcPr>
            <w:tcW w:w="699" w:type="pct"/>
            <w:vAlign w:val="center"/>
          </w:tcPr>
          <w:p w14:paraId="0764AB9A"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c>
          <w:tcPr>
            <w:tcW w:w="660" w:type="pct"/>
            <w:vAlign w:val="center"/>
          </w:tcPr>
          <w:p w14:paraId="3C17E0A7" w14:textId="77777777" w:rsidR="0047400D" w:rsidRDefault="0047400D" w:rsidP="00872D06">
            <w:pPr>
              <w:keepNext/>
              <w:autoSpaceDE w:val="0"/>
              <w:autoSpaceDN w:val="0"/>
              <w:adjustRightInd w:val="0"/>
              <w:spacing w:before="60" w:after="60"/>
              <w:jc w:val="right"/>
              <w:rPr>
                <w:rFonts w:cstheme="minorHAnsi"/>
                <w:color w:val="000000"/>
                <w:sz w:val="20"/>
                <w:szCs w:val="20"/>
              </w:rPr>
            </w:pPr>
          </w:p>
        </w:tc>
      </w:tr>
      <w:tr w:rsidR="0047400D" w:rsidRPr="006B7A9D" w14:paraId="73C8E639" w14:textId="77777777" w:rsidTr="009A36E1">
        <w:trPr>
          <w:trHeight w:val="288"/>
          <w:jc w:val="center"/>
        </w:trPr>
        <w:tc>
          <w:tcPr>
            <w:tcW w:w="176" w:type="pct"/>
          </w:tcPr>
          <w:p w14:paraId="171E21C7" w14:textId="347D9ECD" w:rsidR="0047400D"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2</w:t>
            </w:r>
          </w:p>
        </w:tc>
        <w:tc>
          <w:tcPr>
            <w:tcW w:w="2665" w:type="pct"/>
            <w:vAlign w:val="center"/>
          </w:tcPr>
          <w:p w14:paraId="06F79A0B" w14:textId="3EB093AD" w:rsidR="0047400D" w:rsidRPr="00016B04" w:rsidRDefault="0047400D" w:rsidP="00016B04">
            <w:pPr>
              <w:keepNext/>
              <w:autoSpaceDE w:val="0"/>
              <w:autoSpaceDN w:val="0"/>
              <w:adjustRightInd w:val="0"/>
              <w:spacing w:before="60" w:after="60"/>
              <w:rPr>
                <w:rFonts w:cstheme="minorHAnsi"/>
                <w:color w:val="000000"/>
                <w:sz w:val="20"/>
                <w:szCs w:val="20"/>
              </w:rPr>
            </w:pPr>
            <w:r>
              <w:rPr>
                <w:rFonts w:cstheme="minorHAnsi"/>
                <w:color w:val="000000"/>
                <w:sz w:val="20"/>
                <w:szCs w:val="20"/>
              </w:rPr>
              <w:t>CV of annual yield reduced from 35% to 25% (CIS avoided loss benefit 6.4%)</w:t>
            </w:r>
          </w:p>
        </w:tc>
        <w:tc>
          <w:tcPr>
            <w:tcW w:w="799" w:type="pct"/>
            <w:vAlign w:val="center"/>
          </w:tcPr>
          <w:p w14:paraId="63DD434E" w14:textId="5B75E289"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$66.4</w:t>
            </w:r>
          </w:p>
        </w:tc>
        <w:tc>
          <w:tcPr>
            <w:tcW w:w="699" w:type="pct"/>
            <w:vAlign w:val="center"/>
          </w:tcPr>
          <w:p w14:paraId="3A6BE0BA" w14:textId="624191E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18%</w:t>
            </w:r>
          </w:p>
        </w:tc>
        <w:tc>
          <w:tcPr>
            <w:tcW w:w="660" w:type="pct"/>
            <w:vAlign w:val="center"/>
          </w:tcPr>
          <w:p w14:paraId="57990DCB" w14:textId="22D9479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2.16</w:t>
            </w:r>
          </w:p>
        </w:tc>
      </w:tr>
      <w:tr w:rsidR="0047400D" w:rsidRPr="006B7A9D" w14:paraId="02B5FA31" w14:textId="77777777" w:rsidTr="009A36E1">
        <w:trPr>
          <w:trHeight w:val="288"/>
          <w:jc w:val="center"/>
        </w:trPr>
        <w:tc>
          <w:tcPr>
            <w:tcW w:w="176" w:type="pct"/>
          </w:tcPr>
          <w:p w14:paraId="4CD59772" w14:textId="5241F2EB"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3</w:t>
            </w:r>
          </w:p>
        </w:tc>
        <w:tc>
          <w:tcPr>
            <w:tcW w:w="2665" w:type="pct"/>
            <w:vAlign w:val="center"/>
          </w:tcPr>
          <w:p w14:paraId="7D3514B6" w14:textId="7A027F2B"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CV of annual yield reduced from 35% to 20% (CIS avoided loss benefit 12.2%)</w:t>
            </w:r>
          </w:p>
        </w:tc>
        <w:tc>
          <w:tcPr>
            <w:tcW w:w="799" w:type="pct"/>
            <w:vAlign w:val="center"/>
          </w:tcPr>
          <w:p w14:paraId="78687BA1" w14:textId="164D450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$101.8</w:t>
            </w:r>
          </w:p>
        </w:tc>
        <w:tc>
          <w:tcPr>
            <w:tcW w:w="699" w:type="pct"/>
            <w:vAlign w:val="center"/>
          </w:tcPr>
          <w:p w14:paraId="5B5BD6E2" w14:textId="72786307"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23%</w:t>
            </w:r>
          </w:p>
        </w:tc>
        <w:tc>
          <w:tcPr>
            <w:tcW w:w="660" w:type="pct"/>
            <w:vAlign w:val="center"/>
          </w:tcPr>
          <w:p w14:paraId="6D4F7EA1" w14:textId="21BBF800"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2.78</w:t>
            </w:r>
          </w:p>
        </w:tc>
      </w:tr>
      <w:tr w:rsidR="0047400D" w:rsidRPr="006B7A9D" w14:paraId="7B248416" w14:textId="77777777" w:rsidTr="009A36E1">
        <w:trPr>
          <w:trHeight w:val="288"/>
          <w:jc w:val="center"/>
        </w:trPr>
        <w:tc>
          <w:tcPr>
            <w:tcW w:w="176" w:type="pct"/>
          </w:tcPr>
          <w:p w14:paraId="14796776" w14:textId="77777777" w:rsidR="0047400D" w:rsidRPr="00016B04" w:rsidRDefault="0047400D" w:rsidP="00D623E9">
            <w:pPr>
              <w:keepNext/>
              <w:autoSpaceDE w:val="0"/>
              <w:autoSpaceDN w:val="0"/>
              <w:adjustRightInd w:val="0"/>
              <w:spacing w:before="60" w:after="60"/>
              <w:rPr>
                <w:rFonts w:cstheme="minorHAnsi"/>
                <w:color w:val="000000"/>
                <w:sz w:val="20"/>
                <w:szCs w:val="20"/>
              </w:rPr>
            </w:pPr>
          </w:p>
        </w:tc>
        <w:tc>
          <w:tcPr>
            <w:tcW w:w="2665" w:type="pct"/>
            <w:vAlign w:val="center"/>
          </w:tcPr>
          <w:p w14:paraId="1A4BD26A" w14:textId="62206C78" w:rsidR="0047400D" w:rsidRPr="0047400D" w:rsidRDefault="0047400D" w:rsidP="00D623E9">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Implementation cost changes</w:t>
            </w:r>
          </w:p>
        </w:tc>
        <w:tc>
          <w:tcPr>
            <w:tcW w:w="799" w:type="pct"/>
            <w:vAlign w:val="center"/>
          </w:tcPr>
          <w:p w14:paraId="69D3F138" w14:textId="5F84CBA4"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99" w:type="pct"/>
            <w:vAlign w:val="center"/>
          </w:tcPr>
          <w:p w14:paraId="02D9D17B" w14:textId="42695F96"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60" w:type="pct"/>
            <w:vAlign w:val="center"/>
          </w:tcPr>
          <w:p w14:paraId="794610E1" w14:textId="6D03B5FB"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p>
        </w:tc>
      </w:tr>
      <w:tr w:rsidR="0047400D" w:rsidRPr="006B7A9D" w14:paraId="70E5AE7B" w14:textId="77777777" w:rsidTr="009A36E1">
        <w:trPr>
          <w:trHeight w:val="288"/>
          <w:jc w:val="center"/>
        </w:trPr>
        <w:tc>
          <w:tcPr>
            <w:tcW w:w="176" w:type="pct"/>
          </w:tcPr>
          <w:p w14:paraId="0409C649" w14:textId="4710F00C" w:rsidR="0047400D" w:rsidRDefault="0047400D" w:rsidP="003F0D2B">
            <w:pPr>
              <w:keepNext/>
              <w:autoSpaceDE w:val="0"/>
              <w:autoSpaceDN w:val="0"/>
              <w:adjustRightInd w:val="0"/>
              <w:spacing w:before="60" w:after="60"/>
              <w:rPr>
                <w:rFonts w:cstheme="minorHAnsi"/>
                <w:color w:val="000000"/>
                <w:sz w:val="20"/>
                <w:szCs w:val="20"/>
              </w:rPr>
            </w:pPr>
            <w:r>
              <w:rPr>
                <w:rFonts w:cstheme="minorHAnsi"/>
                <w:color w:val="000000"/>
                <w:sz w:val="20"/>
                <w:szCs w:val="20"/>
              </w:rPr>
              <w:t>4</w:t>
            </w:r>
          </w:p>
        </w:tc>
        <w:tc>
          <w:tcPr>
            <w:tcW w:w="2665" w:type="pct"/>
            <w:vAlign w:val="center"/>
          </w:tcPr>
          <w:p w14:paraId="21E7D848" w14:textId="1082C69A" w:rsidR="0047400D" w:rsidRPr="00016B04" w:rsidRDefault="0047400D" w:rsidP="003F0D2B">
            <w:pPr>
              <w:keepNext/>
              <w:autoSpaceDE w:val="0"/>
              <w:autoSpaceDN w:val="0"/>
              <w:adjustRightInd w:val="0"/>
              <w:spacing w:before="60" w:after="60"/>
              <w:rPr>
                <w:rFonts w:cstheme="minorHAnsi"/>
                <w:color w:val="000000"/>
                <w:sz w:val="20"/>
                <w:szCs w:val="20"/>
              </w:rPr>
            </w:pPr>
            <w:r>
              <w:rPr>
                <w:rFonts w:cstheme="minorHAnsi"/>
                <w:color w:val="000000"/>
                <w:sz w:val="20"/>
                <w:szCs w:val="20"/>
              </w:rPr>
              <w:t>Implementation cost factor changed from 2.5 to 2.0</w:t>
            </w:r>
          </w:p>
        </w:tc>
        <w:tc>
          <w:tcPr>
            <w:tcW w:w="799" w:type="pct"/>
            <w:vAlign w:val="center"/>
          </w:tcPr>
          <w:p w14:paraId="5660FA20" w14:textId="6761FCB4"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$75.5</w:t>
            </w:r>
          </w:p>
        </w:tc>
        <w:tc>
          <w:tcPr>
            <w:tcW w:w="699" w:type="pct"/>
            <w:vAlign w:val="center"/>
          </w:tcPr>
          <w:p w14:paraId="616891C3" w14:textId="5497E44B"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20%</w:t>
            </w:r>
          </w:p>
        </w:tc>
        <w:tc>
          <w:tcPr>
            <w:tcW w:w="660" w:type="pct"/>
            <w:vAlign w:val="center"/>
          </w:tcPr>
          <w:p w14:paraId="03ACD483" w14:textId="3FF80F0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2.32</w:t>
            </w:r>
          </w:p>
        </w:tc>
      </w:tr>
      <w:tr w:rsidR="0047400D" w:rsidRPr="006B7A9D" w14:paraId="1DCC80B8" w14:textId="77777777" w:rsidTr="009A36E1">
        <w:trPr>
          <w:trHeight w:val="288"/>
          <w:jc w:val="center"/>
        </w:trPr>
        <w:tc>
          <w:tcPr>
            <w:tcW w:w="176" w:type="pct"/>
          </w:tcPr>
          <w:p w14:paraId="0FDBCC13" w14:textId="6FD5CB8E"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5</w:t>
            </w:r>
          </w:p>
        </w:tc>
        <w:tc>
          <w:tcPr>
            <w:tcW w:w="2665" w:type="pct"/>
            <w:vAlign w:val="center"/>
          </w:tcPr>
          <w:p w14:paraId="366398D3" w14:textId="060884D0"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Implementation cost factor changed from 2.5 to 3.0</w:t>
            </w:r>
          </w:p>
        </w:tc>
        <w:tc>
          <w:tcPr>
            <w:tcW w:w="799" w:type="pct"/>
            <w:vAlign w:val="center"/>
          </w:tcPr>
          <w:p w14:paraId="25EA9F1C" w14:textId="0810486C"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$31.3</w:t>
            </w:r>
          </w:p>
        </w:tc>
        <w:tc>
          <w:tcPr>
            <w:tcW w:w="699" w:type="pct"/>
            <w:vAlign w:val="center"/>
          </w:tcPr>
          <w:p w14:paraId="34E6C173" w14:textId="7A997B4E"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12%</w:t>
            </w:r>
          </w:p>
        </w:tc>
        <w:tc>
          <w:tcPr>
            <w:tcW w:w="660" w:type="pct"/>
            <w:vAlign w:val="center"/>
          </w:tcPr>
          <w:p w14:paraId="13982F2C" w14:textId="1CCA6B32"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1.55</w:t>
            </w:r>
          </w:p>
        </w:tc>
      </w:tr>
      <w:tr w:rsidR="0047400D" w:rsidRPr="006B7A9D" w14:paraId="7C672F64" w14:textId="77777777" w:rsidTr="009A36E1">
        <w:trPr>
          <w:trHeight w:val="288"/>
          <w:jc w:val="center"/>
        </w:trPr>
        <w:tc>
          <w:tcPr>
            <w:tcW w:w="176" w:type="pct"/>
          </w:tcPr>
          <w:p w14:paraId="2B1D29E5" w14:textId="77777777" w:rsidR="0047400D" w:rsidRPr="00016B04" w:rsidRDefault="0047400D" w:rsidP="00D623E9">
            <w:pPr>
              <w:keepNext/>
              <w:autoSpaceDE w:val="0"/>
              <w:autoSpaceDN w:val="0"/>
              <w:adjustRightInd w:val="0"/>
              <w:spacing w:before="60" w:after="60"/>
              <w:rPr>
                <w:rFonts w:cstheme="minorHAnsi"/>
                <w:color w:val="000000"/>
                <w:sz w:val="20"/>
                <w:szCs w:val="20"/>
              </w:rPr>
            </w:pPr>
          </w:p>
        </w:tc>
        <w:tc>
          <w:tcPr>
            <w:tcW w:w="2665" w:type="pct"/>
            <w:vAlign w:val="center"/>
          </w:tcPr>
          <w:p w14:paraId="4972D395" w14:textId="01D50AB0" w:rsidR="0047400D" w:rsidRPr="0047400D" w:rsidRDefault="0047400D" w:rsidP="00D623E9">
            <w:pPr>
              <w:keepNext/>
              <w:autoSpaceDE w:val="0"/>
              <w:autoSpaceDN w:val="0"/>
              <w:adjustRightInd w:val="0"/>
              <w:spacing w:before="60" w:after="60"/>
              <w:rPr>
                <w:rFonts w:cstheme="minorHAnsi"/>
                <w:b/>
                <w:bCs/>
                <w:i/>
                <w:iCs/>
                <w:color w:val="000000"/>
                <w:sz w:val="20"/>
                <w:szCs w:val="20"/>
              </w:rPr>
            </w:pPr>
            <w:r w:rsidRPr="0047400D">
              <w:rPr>
                <w:rFonts w:cstheme="minorHAnsi"/>
                <w:b/>
                <w:bCs/>
                <w:i/>
                <w:iCs/>
                <w:color w:val="000000"/>
                <w:sz w:val="20"/>
                <w:szCs w:val="20"/>
              </w:rPr>
              <w:t>Discount rate changes</w:t>
            </w:r>
          </w:p>
        </w:tc>
        <w:tc>
          <w:tcPr>
            <w:tcW w:w="799" w:type="pct"/>
            <w:vAlign w:val="center"/>
          </w:tcPr>
          <w:p w14:paraId="552BD292" w14:textId="0947E75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99" w:type="pct"/>
            <w:vAlign w:val="center"/>
          </w:tcPr>
          <w:p w14:paraId="0D3A03E8" w14:textId="77777777"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p>
        </w:tc>
        <w:tc>
          <w:tcPr>
            <w:tcW w:w="660" w:type="pct"/>
            <w:vAlign w:val="center"/>
          </w:tcPr>
          <w:p w14:paraId="05B49F18" w14:textId="77777777"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p>
        </w:tc>
      </w:tr>
      <w:tr w:rsidR="0047400D" w:rsidRPr="006B7A9D" w14:paraId="3DE3BF80" w14:textId="77777777" w:rsidTr="009A36E1">
        <w:trPr>
          <w:trHeight w:val="288"/>
          <w:jc w:val="center"/>
        </w:trPr>
        <w:tc>
          <w:tcPr>
            <w:tcW w:w="176" w:type="pct"/>
          </w:tcPr>
          <w:p w14:paraId="7286628B" w14:textId="77EF068F" w:rsidR="0047400D"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6</w:t>
            </w:r>
          </w:p>
        </w:tc>
        <w:tc>
          <w:tcPr>
            <w:tcW w:w="2665" w:type="pct"/>
            <w:vAlign w:val="center"/>
          </w:tcPr>
          <w:p w14:paraId="0F793537" w14:textId="18DD07F1" w:rsidR="0047400D" w:rsidRPr="00016B04" w:rsidRDefault="0047400D" w:rsidP="00D623E9">
            <w:pPr>
              <w:keepNext/>
              <w:autoSpaceDE w:val="0"/>
              <w:autoSpaceDN w:val="0"/>
              <w:adjustRightInd w:val="0"/>
              <w:spacing w:before="60" w:after="60"/>
              <w:rPr>
                <w:rFonts w:cstheme="minorHAnsi"/>
                <w:color w:val="000000"/>
                <w:sz w:val="20"/>
                <w:szCs w:val="20"/>
              </w:rPr>
            </w:pPr>
            <w:r>
              <w:rPr>
                <w:rFonts w:cstheme="minorHAnsi"/>
                <w:color w:val="000000"/>
                <w:sz w:val="20"/>
                <w:szCs w:val="20"/>
              </w:rPr>
              <w:t>Discount rate changed from 5% to 6%</w:t>
            </w:r>
          </w:p>
        </w:tc>
        <w:tc>
          <w:tcPr>
            <w:tcW w:w="799" w:type="pct"/>
            <w:vAlign w:val="center"/>
          </w:tcPr>
          <w:p w14:paraId="37FB383A" w14:textId="71ED04DF"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$41.9</w:t>
            </w:r>
          </w:p>
        </w:tc>
        <w:tc>
          <w:tcPr>
            <w:tcW w:w="699" w:type="pct"/>
            <w:vAlign w:val="center"/>
          </w:tcPr>
          <w:p w14:paraId="3BA8DA38" w14:textId="1F595EF3"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vAlign w:val="center"/>
          </w:tcPr>
          <w:p w14:paraId="57C86551" w14:textId="39B230ED"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1.74</w:t>
            </w:r>
          </w:p>
        </w:tc>
      </w:tr>
      <w:tr w:rsidR="0047400D" w:rsidRPr="006B7A9D" w14:paraId="512C1551" w14:textId="77777777" w:rsidTr="009A36E1">
        <w:trPr>
          <w:trHeight w:val="288"/>
          <w:jc w:val="center"/>
        </w:trPr>
        <w:tc>
          <w:tcPr>
            <w:tcW w:w="176" w:type="pct"/>
          </w:tcPr>
          <w:p w14:paraId="396AF5EF" w14:textId="27DBA572" w:rsidR="0047400D" w:rsidRDefault="0047400D" w:rsidP="00F71093">
            <w:pPr>
              <w:keepNext/>
              <w:autoSpaceDE w:val="0"/>
              <w:autoSpaceDN w:val="0"/>
              <w:adjustRightInd w:val="0"/>
              <w:spacing w:before="60" w:after="60"/>
              <w:rPr>
                <w:rFonts w:cstheme="minorHAnsi"/>
                <w:color w:val="000000"/>
                <w:sz w:val="20"/>
                <w:szCs w:val="20"/>
              </w:rPr>
            </w:pPr>
            <w:r>
              <w:rPr>
                <w:rFonts w:cstheme="minorHAnsi"/>
                <w:color w:val="000000"/>
                <w:sz w:val="20"/>
                <w:szCs w:val="20"/>
              </w:rPr>
              <w:t>7</w:t>
            </w:r>
          </w:p>
        </w:tc>
        <w:tc>
          <w:tcPr>
            <w:tcW w:w="2665" w:type="pct"/>
            <w:vAlign w:val="center"/>
          </w:tcPr>
          <w:p w14:paraId="1F3C162F" w14:textId="287F5EF7" w:rsidR="0047400D" w:rsidRPr="00016B04" w:rsidRDefault="0047400D" w:rsidP="00F71093">
            <w:pPr>
              <w:keepNext/>
              <w:autoSpaceDE w:val="0"/>
              <w:autoSpaceDN w:val="0"/>
              <w:adjustRightInd w:val="0"/>
              <w:spacing w:before="60" w:after="60"/>
              <w:rPr>
                <w:rFonts w:cstheme="minorHAnsi"/>
                <w:color w:val="000000"/>
                <w:sz w:val="20"/>
                <w:szCs w:val="20"/>
              </w:rPr>
            </w:pPr>
            <w:r>
              <w:rPr>
                <w:rFonts w:cstheme="minorHAnsi"/>
                <w:color w:val="000000"/>
                <w:sz w:val="20"/>
                <w:szCs w:val="20"/>
              </w:rPr>
              <w:t>Discount rate changed from 5% to 7%</w:t>
            </w:r>
          </w:p>
        </w:tc>
        <w:tc>
          <w:tcPr>
            <w:tcW w:w="799" w:type="pct"/>
            <w:vAlign w:val="center"/>
          </w:tcPr>
          <w:p w14:paraId="5F2BC431" w14:textId="41170B4D"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$35.5</w:t>
            </w:r>
          </w:p>
        </w:tc>
        <w:tc>
          <w:tcPr>
            <w:tcW w:w="699" w:type="pct"/>
            <w:vAlign w:val="center"/>
          </w:tcPr>
          <w:p w14:paraId="2D127D35" w14:textId="422460C6" w:rsidR="0047400D" w:rsidRPr="00016B04" w:rsidRDefault="0047400D" w:rsidP="00670FBF">
            <w:pPr>
              <w:keepNext/>
              <w:autoSpaceDE w:val="0"/>
              <w:autoSpaceDN w:val="0"/>
              <w:adjustRightInd w:val="0"/>
              <w:spacing w:before="60" w:after="60"/>
              <w:ind w:right="288"/>
              <w:jc w:val="right"/>
              <w:rPr>
                <w:rFonts w:cstheme="minorHAnsi"/>
                <w:color w:val="000000"/>
                <w:sz w:val="20"/>
                <w:szCs w:val="20"/>
              </w:rPr>
            </w:pPr>
            <w:r>
              <w:rPr>
                <w:rFonts w:cstheme="minorHAnsi"/>
                <w:color w:val="000000"/>
                <w:sz w:val="20"/>
                <w:szCs w:val="20"/>
              </w:rPr>
              <w:t>15%</w:t>
            </w:r>
          </w:p>
        </w:tc>
        <w:tc>
          <w:tcPr>
            <w:tcW w:w="660" w:type="pct"/>
            <w:vAlign w:val="center"/>
          </w:tcPr>
          <w:p w14:paraId="395A1D8A" w14:textId="242F0B29" w:rsidR="0047400D" w:rsidRPr="00016B04" w:rsidRDefault="0047400D" w:rsidP="00670FBF">
            <w:pPr>
              <w:keepNext/>
              <w:autoSpaceDE w:val="0"/>
              <w:autoSpaceDN w:val="0"/>
              <w:adjustRightInd w:val="0"/>
              <w:spacing w:before="60" w:after="60"/>
              <w:ind w:right="216"/>
              <w:jc w:val="right"/>
              <w:rPr>
                <w:rFonts w:cstheme="minorHAnsi"/>
                <w:color w:val="000000"/>
                <w:sz w:val="20"/>
                <w:szCs w:val="20"/>
              </w:rPr>
            </w:pPr>
            <w:r>
              <w:rPr>
                <w:rFonts w:cstheme="minorHAnsi"/>
                <w:color w:val="000000"/>
                <w:sz w:val="20"/>
                <w:szCs w:val="20"/>
              </w:rPr>
              <w:t>1.63</w:t>
            </w:r>
          </w:p>
        </w:tc>
      </w:tr>
    </w:tbl>
    <w:p w14:paraId="4B78FA0A" w14:textId="3C50698F" w:rsidR="006928CD" w:rsidRDefault="006928CD" w:rsidP="004A419A"/>
    <w:p w14:paraId="73EE6E95" w14:textId="1D154FF4" w:rsidR="00193F0E" w:rsidRDefault="00193F0E" w:rsidP="004A419A"/>
    <w:p w14:paraId="55A90700" w14:textId="77777777" w:rsidR="00193F0E" w:rsidRDefault="00193F0E" w:rsidP="004A419A"/>
    <w:p w14:paraId="663C8F40" w14:textId="77777777" w:rsidR="00193F0E" w:rsidRDefault="00193F0E" w:rsidP="004A419A">
      <w:pPr>
        <w:sectPr w:rsidR="00193F0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pPr>
    </w:p>
    <w:p w14:paraId="23120D96" w14:textId="4E03083C" w:rsidR="006928CD" w:rsidRPr="00E10561" w:rsidRDefault="006928CD" w:rsidP="006928CD">
      <w:r w:rsidRPr="00E10561">
        <w:rPr>
          <w:b/>
          <w:bCs/>
        </w:rPr>
        <w:t xml:space="preserve">Figure 1. </w:t>
      </w:r>
      <w:r w:rsidRPr="00E10561">
        <w:t xml:space="preserve">West Africa domain for AICCRA extrapolation: </w:t>
      </w:r>
      <w:r w:rsidR="00AD51BA" w:rsidRPr="00E10561">
        <w:t xml:space="preserve">shaded areas show the </w:t>
      </w:r>
      <w:r w:rsidR="007F58AB" w:rsidRPr="00E10561">
        <w:t>m</w:t>
      </w:r>
      <w:r w:rsidRPr="00E10561">
        <w:t xml:space="preserve">ixed </w:t>
      </w:r>
      <w:r w:rsidR="007F58AB" w:rsidRPr="00E10561">
        <w:t>rainfed crop-livestock s</w:t>
      </w:r>
      <w:r w:rsidRPr="00E10561">
        <w:t>ystems, arid-semi-arid (LGP</w:t>
      </w:r>
      <w:r w:rsidR="00C96BC1" w:rsidRPr="00E10561">
        <w:rPr>
          <w:rFonts w:cstheme="minorHAnsi"/>
          <w:lang w:val="en-US"/>
        </w:rPr>
        <w:t>≤</w:t>
      </w:r>
      <w:r w:rsidRPr="00E10561">
        <w:t>180 days per year)</w:t>
      </w:r>
      <w:r w:rsidR="007F58AB" w:rsidRPr="00E10561">
        <w:t xml:space="preserve"> (MRA)</w:t>
      </w:r>
      <w:r w:rsidRPr="00E10561">
        <w:t>. System classification from Sere and Steinfeld (1996), mapped in Robinson et al. (2011).</w:t>
      </w:r>
      <w:r w:rsidR="002C3CD6" w:rsidRPr="00E10561">
        <w:t xml:space="preserve"> </w:t>
      </w:r>
      <w:r w:rsidR="00E07E97" w:rsidRPr="00E10561">
        <w:t xml:space="preserve">Anchor countries in bold italic, other named countries are </w:t>
      </w:r>
      <w:r w:rsidR="00C3515C" w:rsidRPr="00E10561">
        <w:t xml:space="preserve">included in the extrapolation </w:t>
      </w:r>
      <w:r w:rsidR="00E07E97" w:rsidRPr="00E10561">
        <w:t>domain</w:t>
      </w:r>
      <w:r w:rsidR="00C3515C" w:rsidRPr="00E10561">
        <w:t>.</w:t>
      </w:r>
    </w:p>
    <w:p w14:paraId="069FE912" w14:textId="77777777" w:rsidR="006928CD" w:rsidRDefault="006928CD" w:rsidP="006928CD"/>
    <w:p w14:paraId="275E131D" w14:textId="5F1015B3" w:rsidR="006928CD" w:rsidRDefault="006928CD" w:rsidP="004A419A"/>
    <w:p w14:paraId="071D6FE3" w14:textId="0F5A149C" w:rsidR="006928CD" w:rsidRDefault="006928CD" w:rsidP="004A419A"/>
    <w:p w14:paraId="0DD5608B" w14:textId="2F2E5CC1" w:rsidR="006928CD" w:rsidRDefault="00E07E97" w:rsidP="004A419A">
      <w:r>
        <w:rPr>
          <w:noProof/>
        </w:rPr>
        <w:drawing>
          <wp:inline distT="0" distB="0" distL="0" distR="0" wp14:anchorId="20A9364D" wp14:editId="29B18C78">
            <wp:extent cx="5731510" cy="20398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039883"/>
                    </a:xfrm>
                    <a:prstGeom prst="rect">
                      <a:avLst/>
                    </a:prstGeom>
                    <a:noFill/>
                  </pic:spPr>
                </pic:pic>
              </a:graphicData>
            </a:graphic>
          </wp:inline>
        </w:drawing>
      </w:r>
    </w:p>
    <w:p w14:paraId="75932476" w14:textId="73F0A440" w:rsidR="006928CD" w:rsidRDefault="006928CD" w:rsidP="004A419A"/>
    <w:p w14:paraId="5016C90C" w14:textId="152BBDB5" w:rsidR="006928CD" w:rsidRDefault="006928CD" w:rsidP="004A419A"/>
    <w:p w14:paraId="4A199541" w14:textId="527FC9E9" w:rsidR="006928CD" w:rsidRDefault="006928CD" w:rsidP="004A419A"/>
    <w:p w14:paraId="00727BA3" w14:textId="7ADCBDF7" w:rsidR="00C3515C" w:rsidRDefault="00C3515C" w:rsidP="00C3515C">
      <w:r w:rsidRPr="0002445A">
        <w:rPr>
          <w:b/>
          <w:bCs/>
        </w:rPr>
        <w:t>Figure 2</w:t>
      </w:r>
      <w:r>
        <w:t xml:space="preserve">. Southern Africa domain for AICCRA extrapolation: </w:t>
      </w:r>
      <w:r w:rsidR="00AD51BA">
        <w:t xml:space="preserve">shaded areas show the </w:t>
      </w:r>
      <w:r w:rsidR="007F58AB">
        <w:t>m</w:t>
      </w:r>
      <w:r>
        <w:t xml:space="preserve">ixed </w:t>
      </w:r>
      <w:r w:rsidR="007F58AB">
        <w:t>crop-livestock s</w:t>
      </w:r>
      <w:r>
        <w:t>ystems, arid-semi-arid (LGP&lt;180 days per year)</w:t>
      </w:r>
      <w:r w:rsidR="007F58AB">
        <w:t xml:space="preserve"> (MRA)</w:t>
      </w:r>
      <w:r>
        <w:t>. System classification from Sere and Steinfeld (1996), mapped in Robinson et al. (2011).</w:t>
      </w:r>
      <w:r w:rsidR="002C3CD6">
        <w:t xml:space="preserve"> </w:t>
      </w:r>
      <w:r>
        <w:t>Anchor countries in bold italic, other named countries are included in the extrapolation domain.</w:t>
      </w:r>
    </w:p>
    <w:p w14:paraId="1071ECE2" w14:textId="7D9943E8" w:rsidR="00C3515C" w:rsidRDefault="00C3515C" w:rsidP="004A419A"/>
    <w:p w14:paraId="7BCF291E" w14:textId="55695E41" w:rsidR="00C3515C" w:rsidRDefault="00C3515C" w:rsidP="004A419A"/>
    <w:p w14:paraId="6A69C984" w14:textId="070F4114" w:rsidR="00C3515C" w:rsidRDefault="00C3515C" w:rsidP="004A419A">
      <w:r>
        <w:rPr>
          <w:noProof/>
        </w:rPr>
        <w:drawing>
          <wp:inline distT="0" distB="0" distL="0" distR="0" wp14:anchorId="6C9AB36D" wp14:editId="6DA624A1">
            <wp:extent cx="3641697" cy="36066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7925" cy="3612849"/>
                    </a:xfrm>
                    <a:prstGeom prst="rect">
                      <a:avLst/>
                    </a:prstGeom>
                    <a:noFill/>
                  </pic:spPr>
                </pic:pic>
              </a:graphicData>
            </a:graphic>
          </wp:inline>
        </w:drawing>
      </w:r>
    </w:p>
    <w:p w14:paraId="6D70739F" w14:textId="0E107D4C" w:rsidR="00C3515C" w:rsidRDefault="00C3515C" w:rsidP="004A419A"/>
    <w:p w14:paraId="29A37AB1" w14:textId="7FA6A6F9" w:rsidR="00C3515C" w:rsidRDefault="00C3515C" w:rsidP="004A419A"/>
    <w:p w14:paraId="28013D05" w14:textId="5D0DD8E6" w:rsidR="00C3515C" w:rsidRDefault="00C3515C" w:rsidP="00C3515C">
      <w:r w:rsidRPr="0002445A">
        <w:rPr>
          <w:b/>
          <w:bCs/>
        </w:rPr>
        <w:lastRenderedPageBreak/>
        <w:t xml:space="preserve">Figure </w:t>
      </w:r>
      <w:r w:rsidR="0079770E" w:rsidRPr="0002445A">
        <w:rPr>
          <w:b/>
          <w:bCs/>
        </w:rPr>
        <w:t>3</w:t>
      </w:r>
      <w:r>
        <w:t>. East Africa domain for AICCRA extrapolation. System classification from Sere and Steinfeld (1996), mapped in Robinson et al. (2011).</w:t>
      </w:r>
      <w:r w:rsidR="002C3CD6">
        <w:t xml:space="preserve"> </w:t>
      </w:r>
      <w:r>
        <w:t>Anchor countries in bold italic, other named countries are included in the extrapolation domain.</w:t>
      </w:r>
    </w:p>
    <w:p w14:paraId="0A11C43A" w14:textId="66A1A13C" w:rsidR="00C3515C" w:rsidRDefault="00C3515C" w:rsidP="004A419A"/>
    <w:p w14:paraId="12011EC6" w14:textId="5729B665" w:rsidR="006928CD" w:rsidRDefault="00C3515C" w:rsidP="004A419A">
      <w:r>
        <w:rPr>
          <w:noProof/>
        </w:rPr>
        <w:drawing>
          <wp:inline distT="0" distB="0" distL="0" distR="0" wp14:anchorId="48AE4ED2" wp14:editId="4D4D2827">
            <wp:extent cx="4381169" cy="48841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92926" cy="4897231"/>
                    </a:xfrm>
                    <a:prstGeom prst="rect">
                      <a:avLst/>
                    </a:prstGeom>
                    <a:noFill/>
                  </pic:spPr>
                </pic:pic>
              </a:graphicData>
            </a:graphic>
          </wp:inline>
        </w:drawing>
      </w:r>
    </w:p>
    <w:p w14:paraId="1BE6755A" w14:textId="7330C0E7" w:rsidR="006928CD" w:rsidRDefault="006928CD" w:rsidP="004A419A"/>
    <w:p w14:paraId="30655B80" w14:textId="3B740176" w:rsidR="006928CD" w:rsidRDefault="006928CD" w:rsidP="004A419A"/>
    <w:p w14:paraId="6C68DC0A" w14:textId="0DCE531D" w:rsidR="006928CD" w:rsidRDefault="006928CD" w:rsidP="004A419A"/>
    <w:p w14:paraId="3F572D2B" w14:textId="0E6C95DA" w:rsidR="006928CD" w:rsidRDefault="006928CD" w:rsidP="004A419A"/>
    <w:p w14:paraId="76BD8DC1" w14:textId="60F422D7" w:rsidR="006928CD" w:rsidRDefault="006928CD" w:rsidP="004A419A"/>
    <w:p w14:paraId="09E0AAEC" w14:textId="77777777" w:rsidR="00193F0E" w:rsidRDefault="00193F0E" w:rsidP="004A419A">
      <w:pPr>
        <w:sectPr w:rsidR="00193F0E">
          <w:pgSz w:w="11906" w:h="16838"/>
          <w:pgMar w:top="1440" w:right="1440" w:bottom="1440" w:left="1440" w:header="708" w:footer="708" w:gutter="0"/>
          <w:cols w:space="708"/>
          <w:docGrid w:linePitch="360"/>
        </w:sectPr>
      </w:pPr>
    </w:p>
    <w:p w14:paraId="6CB7F316" w14:textId="20858558" w:rsidR="002C0C6B" w:rsidRPr="00342287" w:rsidRDefault="00342287" w:rsidP="002C0C6B">
      <w:pPr>
        <w:rPr>
          <w:b/>
          <w:bCs/>
        </w:rPr>
      </w:pPr>
      <w:r w:rsidRPr="00342287">
        <w:rPr>
          <w:b/>
          <w:bCs/>
        </w:rPr>
        <w:t>References</w:t>
      </w:r>
    </w:p>
    <w:p w14:paraId="5339759E" w14:textId="4580EF73" w:rsidR="002C0C6B" w:rsidRDefault="002C0C6B" w:rsidP="002C0C6B"/>
    <w:p w14:paraId="03759D5A" w14:textId="6CFCAB35" w:rsidR="001C4496" w:rsidRDefault="001C4496" w:rsidP="002C0C6B">
      <w:r>
        <w:t xml:space="preserve">Arslan A, </w:t>
      </w:r>
      <w:proofErr w:type="spellStart"/>
      <w:r>
        <w:t>Floress</w:t>
      </w:r>
      <w:proofErr w:type="spellEnd"/>
      <w:r>
        <w:t xml:space="preserve"> K, </w:t>
      </w:r>
      <w:proofErr w:type="spellStart"/>
      <w:r>
        <w:t>Lamanna</w:t>
      </w:r>
      <w:proofErr w:type="spellEnd"/>
      <w:r>
        <w:t xml:space="preserve"> C, Lipper L, Asfaw S, Rosenstock T, 2020. The adoption of improved agricultural technologies: A meta-analysis for Africa. IFAD (in press).</w:t>
      </w:r>
    </w:p>
    <w:p w14:paraId="048E05F3" w14:textId="56C8595E" w:rsidR="001C4496" w:rsidRDefault="001C4496" w:rsidP="002C0C6B"/>
    <w:p w14:paraId="5F194E80" w14:textId="76708F38" w:rsidR="006A5E08" w:rsidRDefault="006A5E08" w:rsidP="002C0C6B">
      <w:r w:rsidRPr="006A5E08">
        <w:t>Barrett, C.B., Garg, T. and McBride, L., 2016. Well-being dynamics and poverty traps. Annual Review of Resource Economics, 8, pp.303-327.</w:t>
      </w:r>
    </w:p>
    <w:p w14:paraId="0EA2441D" w14:textId="77777777" w:rsidR="006A5E08" w:rsidRDefault="006A5E08" w:rsidP="002C0C6B"/>
    <w:p w14:paraId="726FB77E" w14:textId="28B3F027" w:rsidR="002C0C6B" w:rsidRDefault="00E23A0B" w:rsidP="002C0C6B">
      <w:proofErr w:type="spellStart"/>
      <w:r w:rsidRPr="00E23A0B">
        <w:t>Birachi</w:t>
      </w:r>
      <w:proofErr w:type="spellEnd"/>
      <w:r w:rsidRPr="00E23A0B">
        <w:t xml:space="preserve"> E, Hansen J, Radeny M, Mutua M, Mbugua MW, </w:t>
      </w:r>
      <w:proofErr w:type="spellStart"/>
      <w:r w:rsidRPr="00E23A0B">
        <w:t>Munyangeri</w:t>
      </w:r>
      <w:proofErr w:type="spellEnd"/>
      <w:r w:rsidRPr="00E23A0B">
        <w:t xml:space="preserve"> Y, Rose A, </w:t>
      </w:r>
      <w:proofErr w:type="spellStart"/>
      <w:r w:rsidRPr="00E23A0B">
        <w:t>Chiputwa</w:t>
      </w:r>
      <w:proofErr w:type="spellEnd"/>
      <w:r w:rsidRPr="00E23A0B">
        <w:t xml:space="preserve"> B, Solomon D, Zebiak SE, </w:t>
      </w:r>
      <w:proofErr w:type="spellStart"/>
      <w:r w:rsidRPr="00E23A0B">
        <w:t>Kagabo</w:t>
      </w:r>
      <w:proofErr w:type="spellEnd"/>
      <w:r w:rsidRPr="00E23A0B">
        <w:t xml:space="preserve"> DM. 2020. Rwanda Climate Services for Agriculture: Evaluation of farmers’ awareness, use and impacts. CCAFS Working Paper no. 304. Wageningen, the Netherlands: CGIAR Research Program on Climate Change, Agriculture and Food Security (CCAFS).</w:t>
      </w:r>
    </w:p>
    <w:p w14:paraId="1A10E23C" w14:textId="02A765E3" w:rsidR="00E23A0B" w:rsidRDefault="00E23A0B" w:rsidP="002C0C6B"/>
    <w:p w14:paraId="6AFC760D" w14:textId="411108FC" w:rsidR="00133AFF" w:rsidRDefault="00133AFF" w:rsidP="002C0C6B">
      <w:r w:rsidRPr="00133AFF">
        <w:t xml:space="preserve">Cacho, O., Paolantonio, A., </w:t>
      </w:r>
      <w:proofErr w:type="spellStart"/>
      <w:r w:rsidRPr="00133AFF">
        <w:t>Branca</w:t>
      </w:r>
      <w:proofErr w:type="spellEnd"/>
      <w:r w:rsidRPr="00133AFF">
        <w:t xml:space="preserve">, G., </w:t>
      </w:r>
      <w:proofErr w:type="spellStart"/>
      <w:r w:rsidRPr="00133AFF">
        <w:t>Cavatassi</w:t>
      </w:r>
      <w:proofErr w:type="spellEnd"/>
      <w:r w:rsidRPr="00133AFF">
        <w:t>, R., Arslan, A. and Lipper, L., 2018. Identifying strategies to enhance the resilience of smallholder farming systems: evidence from Zambia. In Climate Smart Agriculture (pp. 425-441). Springer, Cham.</w:t>
      </w:r>
    </w:p>
    <w:p w14:paraId="126E58F8" w14:textId="5BE7613F" w:rsidR="00133AFF" w:rsidRDefault="00133AFF" w:rsidP="002C0C6B"/>
    <w:p w14:paraId="568A8C98" w14:textId="6A039BAB" w:rsidR="009E7875" w:rsidRDefault="009E7875" w:rsidP="002C0C6B">
      <w:r w:rsidRPr="009E7875">
        <w:t>Center for International Earth Science Information Network - CIESIN - Columbia University. 2018. Gridded Population of the World, Version 4 (GPWv4): Population Count Adjusted to Match 2015 Revision of UN WPP Country Totals, Revision 11. Palisades, NY: NASA Socioeconomic Data and Applications Center (SEDAC). https://doi.org/10.7927/H4PN93PB.</w:t>
      </w:r>
    </w:p>
    <w:p w14:paraId="747452CE" w14:textId="77777777" w:rsidR="009E7875" w:rsidRDefault="009E7875" w:rsidP="002C0C6B"/>
    <w:p w14:paraId="01A62326" w14:textId="680DDB7D" w:rsidR="001F413A" w:rsidRDefault="001F413A" w:rsidP="001F413A">
      <w:proofErr w:type="spellStart"/>
      <w:r>
        <w:t>Chiputwa</w:t>
      </w:r>
      <w:proofErr w:type="spellEnd"/>
      <w:r>
        <w:t xml:space="preserve">, B.; </w:t>
      </w:r>
      <w:proofErr w:type="spellStart"/>
      <w:r>
        <w:t>Wainaina</w:t>
      </w:r>
      <w:proofErr w:type="spellEnd"/>
      <w:r>
        <w:t xml:space="preserve">, P.; </w:t>
      </w:r>
      <w:proofErr w:type="spellStart"/>
      <w:r>
        <w:t>Makui</w:t>
      </w:r>
      <w:proofErr w:type="spellEnd"/>
      <w:r>
        <w:t xml:space="preserve">, P.; </w:t>
      </w:r>
      <w:proofErr w:type="spellStart"/>
      <w:r>
        <w:t>Nakelse</w:t>
      </w:r>
      <w:proofErr w:type="spellEnd"/>
      <w:r>
        <w:t xml:space="preserve">, T., </w:t>
      </w:r>
      <w:proofErr w:type="spellStart"/>
      <w:r>
        <w:t>Zougmoré</w:t>
      </w:r>
      <w:proofErr w:type="spellEnd"/>
      <w:r>
        <w:t>, R.; Ndiaye, O</w:t>
      </w:r>
      <w:r w:rsidR="00977E5E">
        <w:t>, 2019.</w:t>
      </w:r>
      <w:r>
        <w:t xml:space="preserve"> Evaluating </w:t>
      </w:r>
      <w:r w:rsidR="00C60642">
        <w:t>t</w:t>
      </w:r>
      <w:r>
        <w:t xml:space="preserve">he </w:t>
      </w:r>
      <w:r w:rsidR="00C60642">
        <w:t>i</w:t>
      </w:r>
      <w:r>
        <w:t xml:space="preserve">mpact of </w:t>
      </w:r>
      <w:r w:rsidR="00C60642">
        <w:t>t</w:t>
      </w:r>
      <w:r>
        <w:t xml:space="preserve">he </w:t>
      </w:r>
      <w:r w:rsidR="00C60642">
        <w:t>m</w:t>
      </w:r>
      <w:r>
        <w:t xml:space="preserve">ultidisciplinary </w:t>
      </w:r>
      <w:r w:rsidR="00C60642">
        <w:t>w</w:t>
      </w:r>
      <w:r>
        <w:t xml:space="preserve">orking </w:t>
      </w:r>
      <w:r w:rsidR="00C60642">
        <w:t>g</w:t>
      </w:r>
      <w:r>
        <w:t xml:space="preserve">roup </w:t>
      </w:r>
      <w:r w:rsidR="00C60642">
        <w:t>m</w:t>
      </w:r>
      <w:r>
        <w:t xml:space="preserve">odel on </w:t>
      </w:r>
      <w:r w:rsidR="00C60642">
        <w:t>f</w:t>
      </w:r>
      <w:r>
        <w:t xml:space="preserve">armers’ </w:t>
      </w:r>
      <w:r w:rsidR="00C60642">
        <w:t>u</w:t>
      </w:r>
      <w:r>
        <w:t xml:space="preserve">se of </w:t>
      </w:r>
      <w:r w:rsidR="00C60642">
        <w:t>c</w:t>
      </w:r>
      <w:r>
        <w:t xml:space="preserve">limate </w:t>
      </w:r>
      <w:r w:rsidR="00C60642">
        <w:t>i</w:t>
      </w:r>
      <w:r>
        <w:t xml:space="preserve">nformation </w:t>
      </w:r>
      <w:r w:rsidR="00C60642">
        <w:t>s</w:t>
      </w:r>
      <w:r>
        <w:t xml:space="preserve">ervices in Senegal. </w:t>
      </w:r>
      <w:r w:rsidR="000633C9">
        <w:t>Repo</w:t>
      </w:r>
      <w:r w:rsidR="00977E5E">
        <w:t>r</w:t>
      </w:r>
      <w:r w:rsidR="000633C9">
        <w:t>t to USAID, 2019.</w:t>
      </w:r>
    </w:p>
    <w:p w14:paraId="3CA800D9" w14:textId="77777777" w:rsidR="001F413A" w:rsidRDefault="001F413A" w:rsidP="002C0C6B"/>
    <w:p w14:paraId="6061ED11" w14:textId="5D2C5678" w:rsidR="001F413A" w:rsidRDefault="001F413A" w:rsidP="001F413A">
      <w:proofErr w:type="spellStart"/>
      <w:r>
        <w:t>Chiputwa</w:t>
      </w:r>
      <w:proofErr w:type="spellEnd"/>
      <w:r>
        <w:t xml:space="preserve"> B, </w:t>
      </w:r>
      <w:proofErr w:type="spellStart"/>
      <w:r>
        <w:t>Blundo</w:t>
      </w:r>
      <w:proofErr w:type="spellEnd"/>
      <w:r>
        <w:t xml:space="preserve">-Canto G, </w:t>
      </w:r>
      <w:proofErr w:type="spellStart"/>
      <w:r>
        <w:t>Andrieu</w:t>
      </w:r>
      <w:proofErr w:type="spellEnd"/>
      <w:r>
        <w:t xml:space="preserve"> N, Ndiaye O, 2020. Dynamic uptake of CIS use and impacts</w:t>
      </w:r>
    </w:p>
    <w:p w14:paraId="04CDCC51" w14:textId="7746D202" w:rsidR="001F413A" w:rsidRDefault="001F413A" w:rsidP="001F413A">
      <w:r>
        <w:t>on agricultural productivity and incomes: does co-production make a difference?</w:t>
      </w:r>
      <w:r w:rsidR="002C3CD6">
        <w:t xml:space="preserve"> </w:t>
      </w:r>
      <w:r>
        <w:t>CCAFS draft paper.</w:t>
      </w:r>
    </w:p>
    <w:p w14:paraId="1CFD7981" w14:textId="77777777" w:rsidR="001F413A" w:rsidRDefault="001F413A" w:rsidP="002C0C6B"/>
    <w:p w14:paraId="34ED0610" w14:textId="4CFC1218" w:rsidR="002C0C6B" w:rsidRDefault="002C0C6B" w:rsidP="002C0C6B">
      <w:r w:rsidRPr="002C0C6B">
        <w:t>Clarke, D.J. and Hill, R.V., 2013. Cost-benefit analysis of the African risk capacity facility</w:t>
      </w:r>
      <w:r>
        <w:t xml:space="preserve">, IFRPI Discussion Paper </w:t>
      </w:r>
      <w:r w:rsidRPr="002C0C6B">
        <w:t>1292). Intl Food Policy Res Inst.</w:t>
      </w:r>
    </w:p>
    <w:p w14:paraId="7D4F04A6" w14:textId="77777777" w:rsidR="002C0C6B" w:rsidRDefault="002C0C6B" w:rsidP="002C0C6B"/>
    <w:p w14:paraId="37C55A86" w14:textId="51D0E00E" w:rsidR="002C0C6B" w:rsidRDefault="002C0C6B" w:rsidP="002C0C6B">
      <w:proofErr w:type="spellStart"/>
      <w:r w:rsidRPr="002C0C6B">
        <w:t>Diro</w:t>
      </w:r>
      <w:proofErr w:type="spellEnd"/>
      <w:r w:rsidRPr="002C0C6B">
        <w:t xml:space="preserve">, S., </w:t>
      </w:r>
      <w:proofErr w:type="spellStart"/>
      <w:r w:rsidRPr="002C0C6B">
        <w:t>Getahun</w:t>
      </w:r>
      <w:proofErr w:type="spellEnd"/>
      <w:r w:rsidRPr="002C0C6B">
        <w:t xml:space="preserve">, W., Alemu, A., Yami, M., Mamo, T. and </w:t>
      </w:r>
      <w:proofErr w:type="spellStart"/>
      <w:r w:rsidRPr="002C0C6B">
        <w:t>Mebratu</w:t>
      </w:r>
      <w:proofErr w:type="spellEnd"/>
      <w:r w:rsidRPr="002C0C6B">
        <w:t>, T., 2019. Cost and Benefit Analysis of Dairy Farms in the Central Highlands of Ethiopia. Ethiopian Journal of Agricultural Sciences, 29(3), pp.29-47.</w:t>
      </w:r>
    </w:p>
    <w:p w14:paraId="5530498F" w14:textId="5B23931C" w:rsidR="00E23A0B" w:rsidRDefault="00E23A0B" w:rsidP="002C0C6B"/>
    <w:p w14:paraId="7ECF7016" w14:textId="32B04846" w:rsidR="009E7875" w:rsidRDefault="009E7875" w:rsidP="009E7875">
      <w:r>
        <w:t xml:space="preserve">FAO, 1996. World livestock production systems: current status, issues and trends, by </w:t>
      </w:r>
      <w:proofErr w:type="spellStart"/>
      <w:r>
        <w:t>Seré</w:t>
      </w:r>
      <w:proofErr w:type="spellEnd"/>
      <w:r>
        <w:t>, C. &amp; Steinfeld, H. FAO Animal Production and Health Paper 127. Rome, Food and Agriculture Organization of the United Nations (FAO), Animal Production and Health Division.</w:t>
      </w:r>
    </w:p>
    <w:p w14:paraId="45CCC161" w14:textId="52B42FFD" w:rsidR="009E7875" w:rsidRDefault="009E7875" w:rsidP="002C0C6B"/>
    <w:p w14:paraId="65A1EC7A" w14:textId="349268FC" w:rsidR="002B4163" w:rsidRDefault="002B4163" w:rsidP="002C0C6B">
      <w:r>
        <w:t xml:space="preserve">FAOSTAT, 2020. Country food balances for 2017. </w:t>
      </w:r>
      <w:r w:rsidRPr="002B4163">
        <w:t>http://www.fao.org/faostat/en/#data/FBS</w:t>
      </w:r>
    </w:p>
    <w:p w14:paraId="16557439" w14:textId="77777777" w:rsidR="002B4163" w:rsidRDefault="002B4163" w:rsidP="002C0C6B"/>
    <w:p w14:paraId="036ABD3A" w14:textId="39A8A883" w:rsidR="00523D48" w:rsidRDefault="00523D48" w:rsidP="002C0C6B">
      <w:proofErr w:type="spellStart"/>
      <w:r w:rsidRPr="00523D48">
        <w:t>Girvetz</w:t>
      </w:r>
      <w:proofErr w:type="spellEnd"/>
      <w:r w:rsidRPr="00523D48">
        <w:t xml:space="preserve">, E., Ramirez-Villegas, J., </w:t>
      </w:r>
      <w:proofErr w:type="spellStart"/>
      <w:r w:rsidRPr="00523D48">
        <w:t>Claessens</w:t>
      </w:r>
      <w:proofErr w:type="spellEnd"/>
      <w:r w:rsidRPr="00523D48">
        <w:t xml:space="preserve">, L., </w:t>
      </w:r>
      <w:proofErr w:type="spellStart"/>
      <w:r w:rsidRPr="00523D48">
        <w:t>Lamanna</w:t>
      </w:r>
      <w:proofErr w:type="spellEnd"/>
      <w:r w:rsidRPr="00523D48">
        <w:t>, C., Navarro-</w:t>
      </w:r>
      <w:proofErr w:type="spellStart"/>
      <w:r w:rsidRPr="00523D48">
        <w:t>Racines</w:t>
      </w:r>
      <w:proofErr w:type="spellEnd"/>
      <w:r w:rsidRPr="00523D48">
        <w:t>, C., Nowak, A., Thornton, P. and Rosenstock, T.S., 2019. Future Climate Projections in Africa: Where Are We Headed? In</w:t>
      </w:r>
      <w:r>
        <w:t>:</w:t>
      </w:r>
      <w:r w:rsidRPr="00523D48">
        <w:t xml:space="preserve"> The Climate-Smart Agriculture Papers (pp. 15-27). Springer, Cham.</w:t>
      </w:r>
    </w:p>
    <w:p w14:paraId="1FBD1286" w14:textId="77777777" w:rsidR="00523D48" w:rsidRDefault="00523D48" w:rsidP="002C0C6B"/>
    <w:p w14:paraId="61C984C5" w14:textId="10530F98" w:rsidR="00DC15AD" w:rsidRDefault="00DC15AD" w:rsidP="002C0C6B">
      <w:r w:rsidRPr="00DC15AD">
        <w:t>Harris, D. and Orr, A., 2014. Is rainfed agriculture really a pathway from poverty? Agricultural Systems 123, 84-96.</w:t>
      </w:r>
    </w:p>
    <w:p w14:paraId="4F1099E4" w14:textId="77777777" w:rsidR="00DC15AD" w:rsidRDefault="00DC15AD" w:rsidP="002C0C6B"/>
    <w:p w14:paraId="5D4D052A" w14:textId="66C1403C" w:rsidR="009E7875" w:rsidRDefault="009E7875" w:rsidP="002C0C6B">
      <w:bookmarkStart w:id="2" w:name="_Hlk46399757"/>
      <w:proofErr w:type="spellStart"/>
      <w:r w:rsidRPr="009E7875">
        <w:lastRenderedPageBreak/>
        <w:t>HarvestChoice</w:t>
      </w:r>
      <w:proofErr w:type="spellEnd"/>
      <w:r w:rsidRPr="009E7875">
        <w:t xml:space="preserve">, International Food Policy Research Institute (IFPRI); University of Minnesota, 2017, "CELL5M: A Multidisciplinary Geospatial Database for Africa South of the Sahara", https://doi.org/10.7910/DVN/G4TBLF, Harvard </w:t>
      </w:r>
      <w:proofErr w:type="spellStart"/>
      <w:r w:rsidRPr="009E7875">
        <w:t>Dataverse</w:t>
      </w:r>
      <w:proofErr w:type="spellEnd"/>
      <w:r w:rsidRPr="009E7875">
        <w:t>, V5</w:t>
      </w:r>
    </w:p>
    <w:p w14:paraId="227625B4" w14:textId="77777777" w:rsidR="009E7875" w:rsidRDefault="009E7875" w:rsidP="002C0C6B"/>
    <w:p w14:paraId="658363DE" w14:textId="473D14E4" w:rsidR="00E23A0B" w:rsidRDefault="00E23A0B" w:rsidP="002C0C6B">
      <w:r w:rsidRPr="00E23A0B">
        <w:t xml:space="preserve">Henderson, B., Cacho, O., Thornton, P., van </w:t>
      </w:r>
      <w:proofErr w:type="spellStart"/>
      <w:r w:rsidRPr="00E23A0B">
        <w:t>Wijk</w:t>
      </w:r>
      <w:proofErr w:type="spellEnd"/>
      <w:r w:rsidRPr="00E23A0B">
        <w:t>, M. and Herrero, M., 2018. The economic potential of residue management and fertilizer use to address climate change impacts on mixed smallholder farmers in Burkina Faso. Agricultural Systems, 167, pp.195-205.</w:t>
      </w:r>
    </w:p>
    <w:p w14:paraId="748C5D29" w14:textId="31A59E33" w:rsidR="00E23A0B" w:rsidRDefault="00E23A0B" w:rsidP="002C0C6B"/>
    <w:p w14:paraId="73FD2B64" w14:textId="77777777" w:rsidR="008B105B" w:rsidRPr="008B105B" w:rsidRDefault="008B105B" w:rsidP="008B105B">
      <w:r w:rsidRPr="008B105B">
        <w:t xml:space="preserve">Herrero M, </w:t>
      </w:r>
      <w:proofErr w:type="spellStart"/>
      <w:r w:rsidRPr="008B105B">
        <w:t>Havlík</w:t>
      </w:r>
      <w:proofErr w:type="spellEnd"/>
      <w:r w:rsidRPr="008B105B">
        <w:t xml:space="preserve"> P, Valin H, </w:t>
      </w:r>
      <w:proofErr w:type="spellStart"/>
      <w:r w:rsidRPr="008B105B">
        <w:t>Notenbaert</w:t>
      </w:r>
      <w:proofErr w:type="spellEnd"/>
      <w:r w:rsidRPr="008B105B">
        <w:t xml:space="preserve"> AM, Rufino M, Thornton P K, </w:t>
      </w:r>
      <w:proofErr w:type="spellStart"/>
      <w:r w:rsidRPr="008B105B">
        <w:t>Blummel</w:t>
      </w:r>
      <w:proofErr w:type="spellEnd"/>
      <w:r w:rsidRPr="008B105B">
        <w:t xml:space="preserve"> M, Weiss F, Obersteiner M (2013). Global livestock systems: biomass use, production, feed efficiencies and greenhouse gas emissions. PNAS 110 (52), 20888-20893.</w:t>
      </w:r>
    </w:p>
    <w:p w14:paraId="0B666963" w14:textId="77777777" w:rsidR="008B105B" w:rsidRDefault="008B105B" w:rsidP="002C0C6B"/>
    <w:bookmarkEnd w:id="2"/>
    <w:p w14:paraId="7A9A9976" w14:textId="3BAF5EB3" w:rsidR="002C0C6B" w:rsidRDefault="00E23A0B" w:rsidP="002C0C6B">
      <w:r w:rsidRPr="00E23A0B">
        <w:t>Khatri-Chhetri, A., Aryal, J.P., Sapkota, T.B. and Khurana, R., 2016. Economic benefits of climate-smart agricultural practices to smallholder farmers in the Indo-Gangetic Plains of India. Current Science, pp.1251-1256.</w:t>
      </w:r>
    </w:p>
    <w:p w14:paraId="0D6FEDA0" w14:textId="77777777" w:rsidR="00E23A0B" w:rsidRDefault="00E23A0B" w:rsidP="002C0C6B"/>
    <w:p w14:paraId="268C274F" w14:textId="3882CFF0" w:rsidR="00E23A0B" w:rsidRDefault="00E23A0B" w:rsidP="002C0C6B">
      <w:proofErr w:type="spellStart"/>
      <w:r w:rsidRPr="00E23A0B">
        <w:t>Komarek</w:t>
      </w:r>
      <w:proofErr w:type="spellEnd"/>
      <w:r w:rsidRPr="00E23A0B">
        <w:t>, A.M., Thurlow, J., Koo, J. and De Pinto, A., 2019. Economywide effects of climate‐smart agriculture in Ethiopia. Agricultural Economics, 50(6), pp.765-778.</w:t>
      </w:r>
    </w:p>
    <w:p w14:paraId="6F129CB6" w14:textId="5BA078CA" w:rsidR="00E23A0B" w:rsidRDefault="00E23A0B" w:rsidP="002C0C6B"/>
    <w:p w14:paraId="53CA220A" w14:textId="77777777" w:rsidR="006C20D6" w:rsidRDefault="006C20D6" w:rsidP="006C20D6">
      <w:proofErr w:type="spellStart"/>
      <w:r w:rsidRPr="002E128B">
        <w:t>Martey</w:t>
      </w:r>
      <w:proofErr w:type="spellEnd"/>
      <w:r w:rsidRPr="002E128B">
        <w:t xml:space="preserve">, E., </w:t>
      </w:r>
      <w:proofErr w:type="spellStart"/>
      <w:r w:rsidRPr="002E128B">
        <w:t>Etwire</w:t>
      </w:r>
      <w:proofErr w:type="spellEnd"/>
      <w:r w:rsidRPr="002E128B">
        <w:t xml:space="preserve">, P.M. and </w:t>
      </w:r>
      <w:proofErr w:type="spellStart"/>
      <w:r w:rsidRPr="002E128B">
        <w:t>Kuwornu</w:t>
      </w:r>
      <w:proofErr w:type="spellEnd"/>
      <w:r w:rsidRPr="002E128B">
        <w:t>, J.K., 2020. Economic impacts of smallholder farmers’ adoption of drought-tolerant maize varieties. Land Use Policy, 94, p.104524.</w:t>
      </w:r>
    </w:p>
    <w:p w14:paraId="3646C396" w14:textId="77777777" w:rsidR="006C20D6" w:rsidRDefault="006C20D6" w:rsidP="002C0C6B"/>
    <w:p w14:paraId="1C40D43C" w14:textId="43F40F9E" w:rsidR="00E23A0B" w:rsidRDefault="00E23A0B" w:rsidP="002C0C6B">
      <w:proofErr w:type="spellStart"/>
      <w:r>
        <w:t>N</w:t>
      </w:r>
      <w:r w:rsidRPr="00E23A0B">
        <w:t>g’ang’a</w:t>
      </w:r>
      <w:proofErr w:type="spellEnd"/>
      <w:r w:rsidRPr="00E23A0B">
        <w:t xml:space="preserve">, Stanley Karanja; Miller, Vail; </w:t>
      </w:r>
      <w:proofErr w:type="spellStart"/>
      <w:r w:rsidRPr="00E23A0B">
        <w:t>Essegbey</w:t>
      </w:r>
      <w:proofErr w:type="spellEnd"/>
      <w:r w:rsidRPr="00E23A0B">
        <w:t xml:space="preserve">, George; </w:t>
      </w:r>
      <w:proofErr w:type="spellStart"/>
      <w:r w:rsidRPr="00E23A0B">
        <w:t>Karbo</w:t>
      </w:r>
      <w:proofErr w:type="spellEnd"/>
      <w:r w:rsidRPr="00E23A0B">
        <w:t xml:space="preserve">, </w:t>
      </w:r>
      <w:proofErr w:type="spellStart"/>
      <w:r w:rsidRPr="00E23A0B">
        <w:t>Naaminong</w:t>
      </w:r>
      <w:proofErr w:type="spellEnd"/>
      <w:r w:rsidRPr="00E23A0B">
        <w:t xml:space="preserve">; Ansah, V.; </w:t>
      </w:r>
      <w:proofErr w:type="spellStart"/>
      <w:r w:rsidRPr="00E23A0B">
        <w:t>Nautsukpo</w:t>
      </w:r>
      <w:proofErr w:type="spellEnd"/>
      <w:r w:rsidRPr="00E23A0B">
        <w:t xml:space="preserve">, </w:t>
      </w:r>
      <w:proofErr w:type="spellStart"/>
      <w:r w:rsidRPr="00E23A0B">
        <w:t>Delali</w:t>
      </w:r>
      <w:proofErr w:type="spellEnd"/>
      <w:r w:rsidRPr="00E23A0B">
        <w:t xml:space="preserve">; Kingsley, Sam; </w:t>
      </w:r>
      <w:proofErr w:type="spellStart"/>
      <w:r w:rsidRPr="00E23A0B">
        <w:t>Girvetz</w:t>
      </w:r>
      <w:proofErr w:type="spellEnd"/>
      <w:r w:rsidRPr="00E23A0B">
        <w:t>, Evan. 2017. Cost and benefit analysis for climate-smart agricultural (</w:t>
      </w:r>
      <w:proofErr w:type="spellStart"/>
      <w:r w:rsidRPr="00E23A0B">
        <w:t>csa</w:t>
      </w:r>
      <w:proofErr w:type="spellEnd"/>
      <w:r w:rsidRPr="00E23A0B">
        <w:t>) practices in the coastal savannah agro-ecological zone (</w:t>
      </w:r>
      <w:proofErr w:type="spellStart"/>
      <w:r w:rsidRPr="00E23A0B">
        <w:t>aez</w:t>
      </w:r>
      <w:proofErr w:type="spellEnd"/>
      <w:r w:rsidRPr="00E23A0B">
        <w:t>) of Ghana. International Center for Tropical Agriculture CIAT, USAID. Cali.CO. 50 p.</w:t>
      </w:r>
    </w:p>
    <w:p w14:paraId="61B76F74" w14:textId="14C3D803" w:rsidR="00E23A0B" w:rsidRDefault="00E23A0B" w:rsidP="002C0C6B"/>
    <w:p w14:paraId="3842B81E" w14:textId="53A5CE17" w:rsidR="00E23A0B" w:rsidRDefault="00E23A0B" w:rsidP="002C0C6B">
      <w:r w:rsidRPr="00E23A0B">
        <w:t>Nowak AC, Wilkes A, Rosenstock TS. 2019. Measurement and reporting of climate-smart agriculture: technical guidance for a country-centric process. CCAFS Working Paper No. 274. Wageningen, the Netherlands: CGIAR Research Program on Climate Change, Agriculture and Food Security (CCAFS).</w:t>
      </w:r>
    </w:p>
    <w:p w14:paraId="7ACEB852" w14:textId="77777777" w:rsidR="0054667E" w:rsidRDefault="0054667E" w:rsidP="0054667E"/>
    <w:p w14:paraId="2EED5B7B" w14:textId="60F38F56" w:rsidR="0054667E" w:rsidRDefault="0054667E" w:rsidP="0054667E">
      <w:r w:rsidRPr="0054667E">
        <w:t>Nowak A, Steward P, Rosenstock T</w:t>
      </w:r>
      <w:r>
        <w:t>, 2020a. The business case for resilient agriculture: a financial and risk analysis of maize farming technologies in Kenya. ICRAF, Nairobi.</w:t>
      </w:r>
    </w:p>
    <w:p w14:paraId="62DB4517" w14:textId="77777777" w:rsidR="0054667E" w:rsidRDefault="0054667E" w:rsidP="0054667E"/>
    <w:p w14:paraId="10F6612B" w14:textId="77777777" w:rsidR="0054667E" w:rsidRDefault="0054667E" w:rsidP="0054667E">
      <w:r w:rsidRPr="0054667E">
        <w:t>Nowak A, Steward P</w:t>
      </w:r>
      <w:r>
        <w:t>, Rosenstock T, 2020b. The business case for resilient agriculture: a financial and risk analysis of maize farming technologies in Malawi. ICRAF, Nairobi.</w:t>
      </w:r>
    </w:p>
    <w:p w14:paraId="68047FDE" w14:textId="0FAA6947" w:rsidR="00E23A0B" w:rsidRDefault="00E23A0B" w:rsidP="002C0C6B"/>
    <w:p w14:paraId="1795856A" w14:textId="28C655AE" w:rsidR="00E23A0B" w:rsidRDefault="00E23A0B" w:rsidP="002C0C6B">
      <w:proofErr w:type="spellStart"/>
      <w:r w:rsidRPr="00E23A0B">
        <w:t>Ogada</w:t>
      </w:r>
      <w:proofErr w:type="spellEnd"/>
      <w:r w:rsidRPr="00E23A0B">
        <w:t xml:space="preserve">, M.J., Rao, E.J.O., Radeny, M., </w:t>
      </w:r>
      <w:proofErr w:type="spellStart"/>
      <w:r w:rsidRPr="00E23A0B">
        <w:t>Recha</w:t>
      </w:r>
      <w:proofErr w:type="spellEnd"/>
      <w:r w:rsidRPr="00E23A0B">
        <w:t xml:space="preserve">, J.W. and Solomon, D. 2020. Climate-smart agriculture, household income and asset accumulation among smallholder farmers in the </w:t>
      </w:r>
      <w:proofErr w:type="spellStart"/>
      <w:r w:rsidRPr="00E23A0B">
        <w:t>Nyando</w:t>
      </w:r>
      <w:proofErr w:type="spellEnd"/>
      <w:r w:rsidRPr="00E23A0B">
        <w:t xml:space="preserve"> basin of Kenya. World Development Perspectives 18:100203</w:t>
      </w:r>
    </w:p>
    <w:p w14:paraId="54FB86B6" w14:textId="77777777" w:rsidR="00E23A0B" w:rsidRDefault="00E23A0B" w:rsidP="002C0C6B"/>
    <w:p w14:paraId="15C3696F" w14:textId="6570EC6C" w:rsidR="00E23A0B" w:rsidRDefault="00E23A0B" w:rsidP="002C0C6B">
      <w:proofErr w:type="spellStart"/>
      <w:r>
        <w:t>Ouédraogo</w:t>
      </w:r>
      <w:proofErr w:type="spellEnd"/>
      <w:r>
        <w:t xml:space="preserve"> M, Barry S, </w:t>
      </w:r>
      <w:proofErr w:type="spellStart"/>
      <w:r>
        <w:t>Zougmoré</w:t>
      </w:r>
      <w:proofErr w:type="spellEnd"/>
      <w:r>
        <w:t xml:space="preserve"> RB, </w:t>
      </w:r>
      <w:proofErr w:type="spellStart"/>
      <w:r>
        <w:t>Partey</w:t>
      </w:r>
      <w:proofErr w:type="spellEnd"/>
      <w:r>
        <w:t xml:space="preserve"> ST, </w:t>
      </w:r>
      <w:proofErr w:type="spellStart"/>
      <w:r>
        <w:t>Somé</w:t>
      </w:r>
      <w:proofErr w:type="spellEnd"/>
      <w:r>
        <w:t xml:space="preserve"> L, </w:t>
      </w:r>
      <w:proofErr w:type="spellStart"/>
      <w:r>
        <w:t>Baki</w:t>
      </w:r>
      <w:proofErr w:type="spellEnd"/>
      <w:r>
        <w:t xml:space="preserve"> G. 2018. Farmers’ Willingness to Pay for Climate Information Services: Evidence from Cowpea and Sesame Producers in Northern Burkina Faso. Sustainability 10(3):611</w:t>
      </w:r>
    </w:p>
    <w:p w14:paraId="02B14D26" w14:textId="2615DB6C" w:rsidR="00E23A0B" w:rsidRDefault="00E23A0B" w:rsidP="002C0C6B"/>
    <w:p w14:paraId="2F8F7515" w14:textId="54EB14AA" w:rsidR="00E23A0B" w:rsidRDefault="00E23A0B" w:rsidP="002C0C6B">
      <w:proofErr w:type="spellStart"/>
      <w:r>
        <w:t>Ou</w:t>
      </w:r>
      <w:r w:rsidR="0085313D">
        <w:t>é</w:t>
      </w:r>
      <w:r>
        <w:t>draogo</w:t>
      </w:r>
      <w:proofErr w:type="spellEnd"/>
      <w:r>
        <w:t xml:space="preserve"> M, </w:t>
      </w:r>
      <w:proofErr w:type="spellStart"/>
      <w:r>
        <w:t>Houessionon</w:t>
      </w:r>
      <w:proofErr w:type="spellEnd"/>
      <w:r>
        <w:t xml:space="preserve"> P, </w:t>
      </w:r>
      <w:proofErr w:type="spellStart"/>
      <w:r>
        <w:t>Zougmoré</w:t>
      </w:r>
      <w:proofErr w:type="spellEnd"/>
      <w:r>
        <w:t xml:space="preserve"> RB, </w:t>
      </w:r>
      <w:proofErr w:type="spellStart"/>
      <w:r>
        <w:t>Partey</w:t>
      </w:r>
      <w:proofErr w:type="spellEnd"/>
      <w:r>
        <w:t xml:space="preserve"> ST. 2019. Uptake of Climate-Smart Agricultural Technologies and Practices: Actual and Potential Adoption Rates in the Climate-Smart Village Site of Mali. Sustainability 11(17):4710.</w:t>
      </w:r>
    </w:p>
    <w:p w14:paraId="5984B3FE" w14:textId="77777777" w:rsidR="00E531FA" w:rsidRDefault="00E531FA" w:rsidP="002C0C6B"/>
    <w:p w14:paraId="5B92CFDA" w14:textId="0B27A0CE" w:rsidR="00E23A0B" w:rsidRDefault="00E531FA" w:rsidP="002C0C6B">
      <w:proofErr w:type="spellStart"/>
      <w:r w:rsidRPr="00E531FA">
        <w:t>Pardey</w:t>
      </w:r>
      <w:proofErr w:type="spellEnd"/>
      <w:r w:rsidRPr="00E531FA">
        <w:t>, P.G., Andrade, R.S., Hurley, T.M., Rao, X. and Liebenberg, F.G., 2016. Returns to food and agricultural R&amp;D investments in Sub-Saharan Africa, 1975–2014. Food Policy 65, 1-8.</w:t>
      </w:r>
    </w:p>
    <w:p w14:paraId="5D414D90" w14:textId="77777777" w:rsidR="00E531FA" w:rsidRDefault="00E531FA" w:rsidP="002C0C6B"/>
    <w:p w14:paraId="641105DE" w14:textId="52FA093D" w:rsidR="00E23A0B" w:rsidRDefault="00E23A0B" w:rsidP="002C0C6B">
      <w:r w:rsidRPr="00E23A0B">
        <w:t xml:space="preserve">Radeny M, </w:t>
      </w:r>
      <w:proofErr w:type="spellStart"/>
      <w:r w:rsidRPr="00E23A0B">
        <w:t>Ogada</w:t>
      </w:r>
      <w:proofErr w:type="spellEnd"/>
      <w:r w:rsidRPr="00E23A0B">
        <w:t xml:space="preserve"> MJ, </w:t>
      </w:r>
      <w:proofErr w:type="spellStart"/>
      <w:r w:rsidRPr="00E23A0B">
        <w:t>Recha</w:t>
      </w:r>
      <w:proofErr w:type="spellEnd"/>
      <w:r w:rsidRPr="00E23A0B">
        <w:t xml:space="preserve"> J, </w:t>
      </w:r>
      <w:proofErr w:type="spellStart"/>
      <w:r w:rsidRPr="00E23A0B">
        <w:t>Kimeli</w:t>
      </w:r>
      <w:proofErr w:type="spellEnd"/>
      <w:r w:rsidRPr="00E23A0B">
        <w:t xml:space="preserve"> P, Rao EJO, Solomon D. 2018. Uptake and Impact of Climate-Smart Agriculture Technologies and Innovations in East Africa. CCAFS Working Paper no. 251. Wageningen, Netherlands: CGIAR Research Program on Climate Change, Agriculture and Food Security (CCAFS).</w:t>
      </w:r>
    </w:p>
    <w:p w14:paraId="307C3EEB" w14:textId="2986981C" w:rsidR="00E23A0B" w:rsidRDefault="00E23A0B" w:rsidP="002C0C6B"/>
    <w:p w14:paraId="2B8642BD" w14:textId="634B116F" w:rsidR="00E23A0B" w:rsidRDefault="00E23A0B" w:rsidP="002C0C6B">
      <w:proofErr w:type="spellStart"/>
      <w:r w:rsidRPr="00E23A0B">
        <w:t>Rigolot</w:t>
      </w:r>
      <w:proofErr w:type="spellEnd"/>
      <w:r w:rsidRPr="00E23A0B">
        <w:t xml:space="preserve">, C., De </w:t>
      </w:r>
      <w:proofErr w:type="spellStart"/>
      <w:r w:rsidRPr="00E23A0B">
        <w:t>Voil</w:t>
      </w:r>
      <w:proofErr w:type="spellEnd"/>
      <w:r w:rsidRPr="00E23A0B">
        <w:t xml:space="preserve">, P., </w:t>
      </w:r>
      <w:proofErr w:type="spellStart"/>
      <w:r w:rsidRPr="00E23A0B">
        <w:t>Douxchamps</w:t>
      </w:r>
      <w:proofErr w:type="spellEnd"/>
      <w:r w:rsidRPr="00E23A0B">
        <w:t xml:space="preserve">, S., </w:t>
      </w:r>
      <w:proofErr w:type="spellStart"/>
      <w:r w:rsidRPr="00E23A0B">
        <w:t>Prestwidge</w:t>
      </w:r>
      <w:proofErr w:type="spellEnd"/>
      <w:r w:rsidRPr="00E23A0B">
        <w:t xml:space="preserve">, D., Van </w:t>
      </w:r>
      <w:proofErr w:type="spellStart"/>
      <w:r w:rsidRPr="00E23A0B">
        <w:t>Wijk</w:t>
      </w:r>
      <w:proofErr w:type="spellEnd"/>
      <w:r w:rsidRPr="00E23A0B">
        <w:t>, M., Thornton, P.K., Rodriguez, D., Henderson, B., Medina, D. and Herrero, M., 2017. Interactions between intervention packages, climatic risk, climate change and food security in mixed crop–livestock systems in Burkina Faso. Agricultural Systems, 151, pp.217-224.</w:t>
      </w:r>
    </w:p>
    <w:p w14:paraId="40527F38" w14:textId="46DC84D4" w:rsidR="00E92289" w:rsidRDefault="00E92289" w:rsidP="002C0C6B"/>
    <w:p w14:paraId="19BADB3D" w14:textId="3C84A54F" w:rsidR="009E7875" w:rsidRDefault="009E7875" w:rsidP="002C0C6B">
      <w:r w:rsidRPr="009E7875">
        <w:t xml:space="preserve">Robinson, T.P., Thornton P.K., </w:t>
      </w:r>
      <w:proofErr w:type="spellStart"/>
      <w:r w:rsidRPr="009E7875">
        <w:t>Franceschini</w:t>
      </w:r>
      <w:proofErr w:type="spellEnd"/>
      <w:r w:rsidRPr="009E7875">
        <w:t xml:space="preserve">, G., </w:t>
      </w:r>
      <w:proofErr w:type="spellStart"/>
      <w:r w:rsidRPr="009E7875">
        <w:t>Kruska</w:t>
      </w:r>
      <w:proofErr w:type="spellEnd"/>
      <w:r w:rsidRPr="009E7875">
        <w:t xml:space="preserve">, R.L., </w:t>
      </w:r>
      <w:proofErr w:type="spellStart"/>
      <w:r w:rsidRPr="009E7875">
        <w:t>Chiozza</w:t>
      </w:r>
      <w:proofErr w:type="spellEnd"/>
      <w:r w:rsidRPr="009E7875">
        <w:t xml:space="preserve">, F., </w:t>
      </w:r>
      <w:proofErr w:type="spellStart"/>
      <w:r w:rsidRPr="009E7875">
        <w:t>Notenbaert</w:t>
      </w:r>
      <w:proofErr w:type="spellEnd"/>
      <w:r w:rsidRPr="009E7875">
        <w:t xml:space="preserve">, A., Cecchi, G., Herrero, M., </w:t>
      </w:r>
      <w:proofErr w:type="spellStart"/>
      <w:r w:rsidRPr="009E7875">
        <w:t>Epprecht</w:t>
      </w:r>
      <w:proofErr w:type="spellEnd"/>
      <w:r w:rsidRPr="009E7875">
        <w:t>, M., Fritz, S., You, L., Conchedda, G. &amp; See, L. 2011. Global livestock production systems. Rome, Food and Agriculture Organization of the United Nations (FAO) and International Livestock Research Institute (ILRI), 152 pp</w:t>
      </w:r>
    </w:p>
    <w:p w14:paraId="47C6A43C" w14:textId="77777777" w:rsidR="009E7875" w:rsidRDefault="009E7875" w:rsidP="002C0C6B"/>
    <w:p w14:paraId="3F889C47" w14:textId="7110F2F7" w:rsidR="00E92289" w:rsidRDefault="00E92289" w:rsidP="002C0C6B">
      <w:r w:rsidRPr="00E92289">
        <w:t>Rodrigues, J., Thurlow, J., Landman, W., Ringler, C., Robertson, R.D. and Zhu, T., 2016. The economic value of seasonal forecasts stochastic economywide analysis for East Africa (Vol. 1546). Intl Food Policy Res Inst.</w:t>
      </w:r>
    </w:p>
    <w:p w14:paraId="3245E17F" w14:textId="77777777" w:rsidR="00E92289" w:rsidRDefault="00E92289" w:rsidP="002C0C6B"/>
    <w:p w14:paraId="3DE494B4" w14:textId="2BF4479C" w:rsidR="00E23A0B" w:rsidRDefault="00E23A0B" w:rsidP="00E23A0B">
      <w:r>
        <w:t xml:space="preserve">Rollins KS, </w:t>
      </w:r>
      <w:proofErr w:type="spellStart"/>
      <w:r>
        <w:t>Shaykewich</w:t>
      </w:r>
      <w:proofErr w:type="spellEnd"/>
      <w:r>
        <w:t xml:space="preserve"> J, 2006. Using willingness‐to‐pay to assess the economic value of weather forecasts for multiple commercial sectors. Meteorological Applications 10, 31-38. https://doi.org/10.1017/S1350482703005048</w:t>
      </w:r>
    </w:p>
    <w:p w14:paraId="276206B2" w14:textId="35600349" w:rsidR="00E23A0B" w:rsidRDefault="00E23A0B" w:rsidP="002C0C6B"/>
    <w:p w14:paraId="5A66337B" w14:textId="6A3B3175" w:rsidR="00523D48" w:rsidRDefault="00523D48" w:rsidP="00523D48">
      <w:r>
        <w:t xml:space="preserve">Steward P, </w:t>
      </w:r>
      <w:proofErr w:type="spellStart"/>
      <w:r>
        <w:t>Lamanna</w:t>
      </w:r>
      <w:proofErr w:type="spellEnd"/>
      <w:r>
        <w:t xml:space="preserve"> C, Rosenstock T, 2019. Bundles of Joy? Using the ERA database to explore the outcomes of CSA practice interactions. Presentation at the Global Science Conference for Climate-Smart Agriculture 8-11 October 2019. Bali, Indonesia. https://hdl.handle.net/10568/106210</w:t>
      </w:r>
    </w:p>
    <w:p w14:paraId="7FED4BF3" w14:textId="77777777" w:rsidR="00523D48" w:rsidRDefault="00523D48" w:rsidP="002C0C6B"/>
    <w:p w14:paraId="0AC003AE" w14:textId="430DB533" w:rsidR="002C0C6B" w:rsidRDefault="002C0C6B" w:rsidP="002C0C6B">
      <w:r w:rsidRPr="002C0C6B">
        <w:t>Tesfaye, A., Hansen, J., Kassie, G.T., Radeny, M. and Solomon, D., 2019. Estimating the economic value of climate services for strengthening resilience of smallholder farmers to climate risks in Ethiopia: A choice experiment approach. Ecological Economics, 162, pp.157-168.</w:t>
      </w:r>
    </w:p>
    <w:p w14:paraId="19087771" w14:textId="4532FC0B" w:rsidR="001F413A" w:rsidRDefault="001F413A" w:rsidP="002C0C6B"/>
    <w:p w14:paraId="4FFC089D" w14:textId="44F35BD8" w:rsidR="00E8003A" w:rsidRDefault="00E8003A" w:rsidP="002C0C6B">
      <w:r w:rsidRPr="00E8003A">
        <w:t>Thornton P K and Herrero M</w:t>
      </w:r>
      <w:r>
        <w:t xml:space="preserve">, </w:t>
      </w:r>
      <w:r w:rsidRPr="00E8003A">
        <w:t>2010.</w:t>
      </w:r>
      <w:r w:rsidR="002C3CD6">
        <w:t xml:space="preserve"> </w:t>
      </w:r>
      <w:r w:rsidRPr="00E8003A">
        <w:t>The potential for reduced methane and carbon dioxide emissions from livestock and pasture management in the tropics.</w:t>
      </w:r>
      <w:r w:rsidR="002C3CD6">
        <w:t xml:space="preserve"> </w:t>
      </w:r>
      <w:r w:rsidRPr="00E8003A">
        <w:t>PNAS 107 (46), 19667–19672.</w:t>
      </w:r>
      <w:r w:rsidR="002C3CD6">
        <w:t xml:space="preserve"> </w:t>
      </w:r>
      <w:proofErr w:type="spellStart"/>
      <w:r w:rsidRPr="00E8003A">
        <w:t>doi</w:t>
      </w:r>
      <w:proofErr w:type="spellEnd"/>
      <w:r w:rsidRPr="00E8003A">
        <w:t>/10.1073/pnas.0912890107</w:t>
      </w:r>
    </w:p>
    <w:p w14:paraId="344D0C9A" w14:textId="77777777" w:rsidR="00E8003A" w:rsidRDefault="00E8003A" w:rsidP="002C0C6B"/>
    <w:p w14:paraId="0E850949" w14:textId="1A7B953E" w:rsidR="001F413A" w:rsidRDefault="001F413A" w:rsidP="002C0C6B">
      <w:r w:rsidRPr="001F413A">
        <w:t xml:space="preserve">Vaughan, C., Hansen, J., </w:t>
      </w:r>
      <w:proofErr w:type="spellStart"/>
      <w:r w:rsidRPr="001F413A">
        <w:t>Roudier</w:t>
      </w:r>
      <w:proofErr w:type="spellEnd"/>
      <w:r w:rsidRPr="001F413A">
        <w:t xml:space="preserve">, P., </w:t>
      </w:r>
      <w:proofErr w:type="spellStart"/>
      <w:r w:rsidRPr="001F413A">
        <w:t>Watkiss</w:t>
      </w:r>
      <w:proofErr w:type="spellEnd"/>
      <w:r w:rsidRPr="001F413A">
        <w:t xml:space="preserve">, P. and </w:t>
      </w:r>
      <w:proofErr w:type="spellStart"/>
      <w:r w:rsidRPr="001F413A">
        <w:t>Carr</w:t>
      </w:r>
      <w:proofErr w:type="spellEnd"/>
      <w:r w:rsidRPr="001F413A">
        <w:t>, E., 2019. Evaluating agricultural weather and climate services in Africa: Evidence, methods, and a learning agenda. Wiley Interdisciplinary Reviews: Climate Change, 10(4), p.e586.</w:t>
      </w:r>
    </w:p>
    <w:p w14:paraId="4BEBBB19" w14:textId="2D759629" w:rsidR="001F413A" w:rsidRDefault="001F413A" w:rsidP="002C0C6B"/>
    <w:p w14:paraId="13130D66" w14:textId="77777777" w:rsidR="006C20D6" w:rsidRPr="006C20D6" w:rsidRDefault="006C20D6" w:rsidP="006C20D6">
      <w:proofErr w:type="spellStart"/>
      <w:r w:rsidRPr="006C20D6">
        <w:t>Wossen</w:t>
      </w:r>
      <w:proofErr w:type="spellEnd"/>
      <w:r w:rsidRPr="006C20D6">
        <w:t xml:space="preserve">, T., Abdoulaye, T., </w:t>
      </w:r>
      <w:proofErr w:type="spellStart"/>
      <w:r w:rsidRPr="006C20D6">
        <w:t>Alene</w:t>
      </w:r>
      <w:proofErr w:type="spellEnd"/>
      <w:r w:rsidRPr="006C20D6">
        <w:t xml:space="preserve">, A., </w:t>
      </w:r>
      <w:proofErr w:type="spellStart"/>
      <w:r w:rsidRPr="006C20D6">
        <w:t>Feleke</w:t>
      </w:r>
      <w:proofErr w:type="spellEnd"/>
      <w:r w:rsidRPr="006C20D6">
        <w:t xml:space="preserve">, S., </w:t>
      </w:r>
      <w:proofErr w:type="spellStart"/>
      <w:r w:rsidRPr="006C20D6">
        <w:t>Menkir</w:t>
      </w:r>
      <w:proofErr w:type="spellEnd"/>
      <w:r w:rsidRPr="006C20D6">
        <w:t xml:space="preserve">, A. and </w:t>
      </w:r>
      <w:proofErr w:type="spellStart"/>
      <w:r w:rsidRPr="006C20D6">
        <w:t>Manyong</w:t>
      </w:r>
      <w:proofErr w:type="spellEnd"/>
      <w:r w:rsidRPr="006C20D6">
        <w:t>, V., 2017. Measuring the impacts of adaptation strategies to drought stress: the case of drought tolerant maize varieties. Journal of Environmental Management, 203, pp.106-113.</w:t>
      </w:r>
    </w:p>
    <w:p w14:paraId="130E61D6" w14:textId="15897839" w:rsidR="001F413A" w:rsidRDefault="001F413A" w:rsidP="002C0C6B"/>
    <w:p w14:paraId="55D5D85B" w14:textId="07D9F700" w:rsidR="004A463C" w:rsidRDefault="004A463C" w:rsidP="002C0C6B"/>
    <w:p w14:paraId="249F49D0" w14:textId="77777777" w:rsidR="009371FB" w:rsidRDefault="009371FB">
      <w:r>
        <w:br w:type="page"/>
      </w:r>
    </w:p>
    <w:p w14:paraId="35F46470" w14:textId="7C1370DB" w:rsidR="009371FB" w:rsidRPr="00D46EFF" w:rsidRDefault="009371FB" w:rsidP="002C0C6B">
      <w:pPr>
        <w:rPr>
          <w:b/>
          <w:bCs/>
        </w:rPr>
      </w:pPr>
      <w:r w:rsidRPr="00D46EFF">
        <w:rPr>
          <w:b/>
          <w:bCs/>
        </w:rPr>
        <w:lastRenderedPageBreak/>
        <w:t>Annex</w:t>
      </w:r>
      <w:r w:rsidR="00D46EFF" w:rsidRPr="00D46EFF">
        <w:rPr>
          <w:b/>
          <w:bCs/>
        </w:rPr>
        <w:t xml:space="preserve">: </w:t>
      </w:r>
      <w:r w:rsidRPr="00D46EFF">
        <w:rPr>
          <w:b/>
          <w:bCs/>
        </w:rPr>
        <w:t>Calculations</w:t>
      </w:r>
    </w:p>
    <w:p w14:paraId="6240F4F7" w14:textId="710286BD" w:rsidR="009371FB" w:rsidRDefault="009371FB" w:rsidP="002C0C6B"/>
    <w:p w14:paraId="08F7E6CB" w14:textId="58B33A27" w:rsidR="009371FB" w:rsidRDefault="0085313D" w:rsidP="002C0C6B">
      <w:r>
        <w:t>From the gridded data, w</w:t>
      </w:r>
      <w:r w:rsidR="009371FB">
        <w:t>e have:</w:t>
      </w:r>
    </w:p>
    <w:p w14:paraId="0D679BCC" w14:textId="5AD0AB36" w:rsidR="009371FB" w:rsidRDefault="009371FB" w:rsidP="002C0C6B"/>
    <w:p w14:paraId="1245291C" w14:textId="2E7A70E9" w:rsidR="009371FB" w:rsidRDefault="009371FB" w:rsidP="00D46EFF">
      <w:pPr>
        <w:pStyle w:val="ListParagraph"/>
        <w:numPr>
          <w:ilvl w:val="0"/>
          <w:numId w:val="4"/>
        </w:numPr>
      </w:pPr>
      <w:r>
        <w:t>VOP, value of production ($ per year)</w:t>
      </w:r>
    </w:p>
    <w:p w14:paraId="72C691E9" w14:textId="065B3C5C" w:rsidR="009371FB" w:rsidRDefault="009371FB" w:rsidP="00D46EFF">
      <w:pPr>
        <w:pStyle w:val="ListParagraph"/>
        <w:numPr>
          <w:ilvl w:val="0"/>
          <w:numId w:val="4"/>
        </w:numPr>
      </w:pPr>
      <w:r>
        <w:t>A, area planted, or numbers of cattle (ha or head)</w:t>
      </w:r>
    </w:p>
    <w:p w14:paraId="5B18E54A" w14:textId="3C625784" w:rsidR="009371FB" w:rsidRDefault="009371FB" w:rsidP="00D46EFF">
      <w:pPr>
        <w:pStyle w:val="ListParagraph"/>
        <w:numPr>
          <w:ilvl w:val="0"/>
          <w:numId w:val="4"/>
        </w:numPr>
      </w:pPr>
      <w:r>
        <w:t xml:space="preserve">P, production </w:t>
      </w:r>
      <w:r w:rsidR="00D46EFF">
        <w:t>(</w:t>
      </w:r>
      <w:r>
        <w:t>t</w:t>
      </w:r>
      <w:r w:rsidR="00D46EFF">
        <w:t>)</w:t>
      </w:r>
    </w:p>
    <w:p w14:paraId="0BB69E94" w14:textId="333872FD" w:rsidR="009371FB" w:rsidRDefault="009371FB" w:rsidP="00D46EFF">
      <w:pPr>
        <w:pStyle w:val="ListParagraph"/>
        <w:numPr>
          <w:ilvl w:val="0"/>
          <w:numId w:val="4"/>
        </w:numPr>
      </w:pPr>
      <w:r>
        <w:t>R, price</w:t>
      </w:r>
      <w:r w:rsidR="00D46EFF">
        <w:t xml:space="preserve"> ($/t)</w:t>
      </w:r>
      <w:r>
        <w:t>,</w:t>
      </w:r>
      <w:r w:rsidR="00D46EFF">
        <w:t xml:space="preserve"> given by </w:t>
      </w:r>
      <w:r>
        <w:t>VOP / P</w:t>
      </w:r>
    </w:p>
    <w:p w14:paraId="5926984A" w14:textId="77777777" w:rsidR="009371FB" w:rsidRDefault="009371FB" w:rsidP="002C0C6B"/>
    <w:p w14:paraId="16626DD1" w14:textId="6DA1D80F" w:rsidR="009371FB" w:rsidRDefault="009371FB" w:rsidP="002C0C6B">
      <w:r>
        <w:t xml:space="preserve">Assume adoption rate </w:t>
      </w:r>
      <w:r w:rsidRPr="0044422D">
        <w:rPr>
          <w:b/>
          <w:bCs/>
          <w:i/>
          <w:iCs/>
        </w:rPr>
        <w:t>a</w:t>
      </w:r>
      <w:r>
        <w:t xml:space="preserve"> (% per year)</w:t>
      </w:r>
    </w:p>
    <w:p w14:paraId="59AF6637" w14:textId="13B7672B" w:rsidR="009371FB" w:rsidRDefault="009371FB" w:rsidP="002C0C6B">
      <w:r>
        <w:t xml:space="preserve">Assume </w:t>
      </w:r>
      <w:r w:rsidR="0085313D">
        <w:t xml:space="preserve">a productivity </w:t>
      </w:r>
      <w:r>
        <w:t xml:space="preserve">increment </w:t>
      </w:r>
      <w:r w:rsidRPr="0044422D">
        <w:rPr>
          <w:b/>
          <w:bCs/>
          <w:i/>
          <w:iCs/>
        </w:rPr>
        <w:t>y</w:t>
      </w:r>
      <w:r>
        <w:t xml:space="preserve"> (%, flat rate one-off)</w:t>
      </w:r>
    </w:p>
    <w:p w14:paraId="7EC89D03" w14:textId="345B6396" w:rsidR="009371FB" w:rsidRDefault="009371FB" w:rsidP="002C0C6B"/>
    <w:p w14:paraId="6D6F8814" w14:textId="47173C71" w:rsidR="009371FB" w:rsidRDefault="009371FB" w:rsidP="002C0C6B">
      <w:r>
        <w:t>Y = P/A</w:t>
      </w:r>
      <w:r w:rsidR="002C3CD6">
        <w:t xml:space="preserve"> </w:t>
      </w:r>
      <w:r>
        <w:t>in t/ha or kg/head</w:t>
      </w:r>
    </w:p>
    <w:p w14:paraId="5044009A" w14:textId="3B2F87AA" w:rsidR="0044422D" w:rsidRDefault="0044422D" w:rsidP="002C0C6B">
      <w:r>
        <w:t xml:space="preserve">NB </w:t>
      </w:r>
      <w:r w:rsidR="0085313D">
        <w:t xml:space="preserve">we </w:t>
      </w:r>
      <w:r>
        <w:t>use</w:t>
      </w:r>
      <w:r w:rsidR="0085313D">
        <w:t>d</w:t>
      </w:r>
      <w:r>
        <w:t xml:space="preserve"> derived yields rather than spatial values because of spatial data alignment issues</w:t>
      </w:r>
      <w:r w:rsidR="0085313D">
        <w:t>.</w:t>
      </w:r>
    </w:p>
    <w:p w14:paraId="2608241A" w14:textId="215DD1DD" w:rsidR="009371FB" w:rsidRDefault="009371FB" w:rsidP="002C0C6B"/>
    <w:p w14:paraId="2748CBA7" w14:textId="78CC8738" w:rsidR="009371FB" w:rsidRPr="00D46EFF" w:rsidRDefault="009371FB" w:rsidP="002C0C6B">
      <w:pPr>
        <w:rPr>
          <w:b/>
          <w:bCs/>
          <w:i/>
          <w:iCs/>
        </w:rPr>
      </w:pPr>
      <w:r w:rsidRPr="00D46EFF">
        <w:rPr>
          <w:b/>
          <w:bCs/>
          <w:i/>
          <w:iCs/>
        </w:rPr>
        <w:t xml:space="preserve">For adopters over 10 years, </w:t>
      </w:r>
    </w:p>
    <w:p w14:paraId="466D9AE9" w14:textId="29184394" w:rsidR="009371FB" w:rsidRDefault="009371FB" w:rsidP="002C0C6B">
      <w:r>
        <w:t>Y’ = Y * (1+y/100)</w:t>
      </w:r>
      <w:r w:rsidR="00D46EFF">
        <w:tab/>
      </w:r>
      <w:r w:rsidR="00D46EFF">
        <w:tab/>
      </w:r>
      <w:r w:rsidR="0044422D">
        <w:t>increased yield</w:t>
      </w:r>
    </w:p>
    <w:p w14:paraId="7F0EA9B7" w14:textId="62812606" w:rsidR="009371FB" w:rsidRDefault="009371FB" w:rsidP="002C0C6B">
      <w:r>
        <w:t>A’ = A * (1 + a/100)^10 – A</w:t>
      </w:r>
      <w:r w:rsidR="00D46EFF">
        <w:tab/>
      </w:r>
      <w:r w:rsidR="0044422D">
        <w:t>increasing area under adoption, a% per year</w:t>
      </w:r>
    </w:p>
    <w:p w14:paraId="42D651E7" w14:textId="0C28D97B" w:rsidR="009371FB" w:rsidRDefault="009371FB" w:rsidP="002C0C6B">
      <w:r>
        <w:t>VOP’ = Y’ * A’ * R</w:t>
      </w:r>
      <w:r w:rsidR="00D46EFF">
        <w:tab/>
      </w:r>
      <w:r w:rsidR="00D46EFF">
        <w:tab/>
      </w:r>
      <w:r w:rsidR="0044422D">
        <w:t>VOP from adopters</w:t>
      </w:r>
    </w:p>
    <w:p w14:paraId="2236E79D" w14:textId="4741DB9D" w:rsidR="009371FB" w:rsidRDefault="009371FB" w:rsidP="002C0C6B">
      <w:r>
        <w:t xml:space="preserve"> </w:t>
      </w:r>
    </w:p>
    <w:p w14:paraId="179E4657" w14:textId="09ADE4AD" w:rsidR="009371FB" w:rsidRPr="00D46EFF" w:rsidRDefault="009371FB" w:rsidP="002C0C6B">
      <w:pPr>
        <w:rPr>
          <w:b/>
          <w:bCs/>
          <w:i/>
          <w:iCs/>
        </w:rPr>
      </w:pPr>
      <w:r w:rsidRPr="00D46EFF">
        <w:rPr>
          <w:b/>
          <w:bCs/>
          <w:i/>
          <w:iCs/>
        </w:rPr>
        <w:t>For non-adopters,</w:t>
      </w:r>
    </w:p>
    <w:p w14:paraId="6F2A66AA" w14:textId="6A3C9B0B" w:rsidR="009371FB" w:rsidRDefault="009371FB" w:rsidP="002C0C6B">
      <w:r>
        <w:t>Y’’ = Y</w:t>
      </w:r>
      <w:r w:rsidR="00D46EFF">
        <w:tab/>
      </w:r>
      <w:r w:rsidR="00D46EFF">
        <w:tab/>
      </w:r>
      <w:r w:rsidR="00D46EFF">
        <w:tab/>
      </w:r>
      <w:r w:rsidR="00D46EFF">
        <w:tab/>
      </w:r>
      <w:r w:rsidR="0044422D">
        <w:t>same yield</w:t>
      </w:r>
    </w:p>
    <w:p w14:paraId="1DFE5908" w14:textId="0BCE4254" w:rsidR="009371FB" w:rsidRDefault="009371FB" w:rsidP="002C0C6B">
      <w:r>
        <w:t>A’’ = A – A’</w:t>
      </w:r>
      <w:r w:rsidR="0044422D">
        <w:t xml:space="preserve"> </w:t>
      </w:r>
      <w:r w:rsidR="00D46EFF">
        <w:tab/>
      </w:r>
      <w:r w:rsidR="00D46EFF">
        <w:tab/>
      </w:r>
      <w:r w:rsidR="00D46EFF">
        <w:tab/>
      </w:r>
      <w:r w:rsidR="0044422D">
        <w:t>decreasing share of the area as adoption increases through time</w:t>
      </w:r>
    </w:p>
    <w:p w14:paraId="310F02FA" w14:textId="3FA277D7" w:rsidR="009371FB" w:rsidRDefault="009371FB" w:rsidP="002C0C6B">
      <w:r>
        <w:t>VOP’’ = Y * A’’ * R</w:t>
      </w:r>
      <w:r w:rsidR="00D46EFF">
        <w:tab/>
      </w:r>
      <w:r w:rsidR="00D46EFF">
        <w:tab/>
      </w:r>
      <w:r w:rsidR="0044422D">
        <w:t>VOP from non-adopters</w:t>
      </w:r>
    </w:p>
    <w:p w14:paraId="0BDD6394" w14:textId="77777777" w:rsidR="009371FB" w:rsidRDefault="009371FB" w:rsidP="002C0C6B"/>
    <w:p w14:paraId="030B5A80" w14:textId="7BA086D5" w:rsidR="009371FB" w:rsidRDefault="009371FB" w:rsidP="002C0C6B">
      <w:r>
        <w:t>VOP tot = VOP’ + VOP’’</w:t>
      </w:r>
      <w:r w:rsidR="00D46EFF">
        <w:tab/>
      </w:r>
      <w:r w:rsidR="00D46EFF">
        <w:tab/>
      </w:r>
      <w:r w:rsidR="0044422D">
        <w:t>At year 10, total VOP from adopters and non-adopters</w:t>
      </w:r>
    </w:p>
    <w:p w14:paraId="271DE627" w14:textId="41133D76" w:rsidR="009371FB" w:rsidRDefault="009371FB" w:rsidP="002C0C6B"/>
    <w:p w14:paraId="1A29A2CC" w14:textId="61D7CD5C" w:rsidR="009371FB" w:rsidRDefault="0044422D" w:rsidP="002C0C6B">
      <w:r>
        <w:t>Thus t</w:t>
      </w:r>
      <w:r w:rsidR="009371FB">
        <w:t>he marginal benefits of adoption per year at year 10 is:</w:t>
      </w:r>
    </w:p>
    <w:p w14:paraId="28036D05" w14:textId="037C3CF3" w:rsidR="009371FB" w:rsidRDefault="009371FB" w:rsidP="002C0C6B">
      <w:r>
        <w:t>VOP delta = VOP tot – VOP</w:t>
      </w:r>
    </w:p>
    <w:p w14:paraId="503AF212" w14:textId="6F549D18" w:rsidR="0044422D" w:rsidRDefault="0044422D" w:rsidP="002C0C6B"/>
    <w:p w14:paraId="1C1B84A0" w14:textId="59D67C05" w:rsidR="0044422D" w:rsidRDefault="0044422D" w:rsidP="002C0C6B">
      <w:r>
        <w:t>After some algebra,</w:t>
      </w:r>
    </w:p>
    <w:p w14:paraId="4F307C46" w14:textId="04E4AAE3" w:rsidR="0044422D" w:rsidRDefault="0044422D" w:rsidP="002C0C6B">
      <w:r>
        <w:t xml:space="preserve">VOP delta = VOP * </w:t>
      </w:r>
      <w:r w:rsidRPr="0044422D">
        <w:t>(1</w:t>
      </w:r>
      <w:r>
        <w:t xml:space="preserve"> </w:t>
      </w:r>
      <w:r w:rsidRPr="0044422D">
        <w:t>-</w:t>
      </w:r>
      <w:r>
        <w:t xml:space="preserve"> </w:t>
      </w:r>
      <w:r w:rsidRPr="0044422D">
        <w:t>(((1+</w:t>
      </w:r>
      <w:r>
        <w:t>a</w:t>
      </w:r>
      <w:r w:rsidRPr="0044422D">
        <w:t>/100)^10</w:t>
      </w:r>
      <w:r>
        <w:t xml:space="preserve"> </w:t>
      </w:r>
      <w:r w:rsidRPr="0044422D">
        <w:t>)</w:t>
      </w:r>
      <w:r>
        <w:t xml:space="preserve"> </w:t>
      </w:r>
      <w:r w:rsidRPr="0044422D">
        <w:t>-</w:t>
      </w:r>
      <w:r>
        <w:t xml:space="preserve"> </w:t>
      </w:r>
      <w:r w:rsidRPr="0044422D">
        <w:t>1))</w:t>
      </w:r>
      <w:r>
        <w:t xml:space="preserve"> </w:t>
      </w:r>
      <w:r w:rsidRPr="0044422D">
        <w:t>+</w:t>
      </w:r>
      <w:r>
        <w:t xml:space="preserve"> VOP </w:t>
      </w:r>
      <w:r w:rsidRPr="0044422D">
        <w:t>*</w:t>
      </w:r>
      <w:r>
        <w:t xml:space="preserve"> </w:t>
      </w:r>
      <w:r w:rsidRPr="0044422D">
        <w:t>(1+</w:t>
      </w:r>
      <w:r>
        <w:t>y</w:t>
      </w:r>
      <w:r w:rsidRPr="0044422D">
        <w:t>/100)</w:t>
      </w:r>
      <w:r>
        <w:t xml:space="preserve"> </w:t>
      </w:r>
      <w:r w:rsidRPr="0044422D">
        <w:t>*</w:t>
      </w:r>
      <w:r>
        <w:t xml:space="preserve"> </w:t>
      </w:r>
      <w:r w:rsidRPr="0044422D">
        <w:t>(((1+</w:t>
      </w:r>
      <w:r>
        <w:t>a</w:t>
      </w:r>
      <w:r w:rsidRPr="0044422D">
        <w:t>0/100)^10)</w:t>
      </w:r>
      <w:r>
        <w:t xml:space="preserve"> </w:t>
      </w:r>
      <w:r w:rsidRPr="0044422D">
        <w:t>-</w:t>
      </w:r>
      <w:r>
        <w:t xml:space="preserve"> </w:t>
      </w:r>
      <w:r w:rsidRPr="0044422D">
        <w:t>1)</w:t>
      </w:r>
      <w:r>
        <w:t xml:space="preserve"> – VOP</w:t>
      </w:r>
    </w:p>
    <w:p w14:paraId="1DF3A70F" w14:textId="123CD651" w:rsidR="0044422D" w:rsidRDefault="0044422D" w:rsidP="002C0C6B"/>
    <w:p w14:paraId="42F6A84F" w14:textId="77777777" w:rsidR="0044422D" w:rsidRDefault="0044422D" w:rsidP="002C0C6B"/>
    <w:sectPr w:rsidR="004442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992DD" w14:textId="77777777" w:rsidR="00841975" w:rsidRDefault="00841975" w:rsidP="00D04E4F">
      <w:r>
        <w:separator/>
      </w:r>
    </w:p>
  </w:endnote>
  <w:endnote w:type="continuationSeparator" w:id="0">
    <w:p w14:paraId="28E345A7" w14:textId="77777777" w:rsidR="00841975" w:rsidRDefault="00841975" w:rsidP="00D04E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C10EA" w14:textId="77777777" w:rsidR="00F515D7" w:rsidRDefault="00F515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829006"/>
      <w:docPartObj>
        <w:docPartGallery w:val="Page Numbers (Bottom of Page)"/>
        <w:docPartUnique/>
      </w:docPartObj>
    </w:sdtPr>
    <w:sdtEndPr>
      <w:rPr>
        <w:noProof/>
      </w:rPr>
    </w:sdtEndPr>
    <w:sdtContent>
      <w:p w14:paraId="46E855FD" w14:textId="2142A7BF" w:rsidR="001C4496" w:rsidRDefault="001C44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3CAB6F" w14:textId="77777777" w:rsidR="001C4496" w:rsidRDefault="001C449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F926E" w14:textId="77777777" w:rsidR="00F515D7" w:rsidRDefault="00F515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38AFE3" w14:textId="77777777" w:rsidR="00841975" w:rsidRDefault="00841975" w:rsidP="00D04E4F">
      <w:r>
        <w:separator/>
      </w:r>
    </w:p>
  </w:footnote>
  <w:footnote w:type="continuationSeparator" w:id="0">
    <w:p w14:paraId="6B796FF8" w14:textId="77777777" w:rsidR="00841975" w:rsidRDefault="00841975" w:rsidP="00D04E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67CB7" w14:textId="77777777" w:rsidR="00F515D7" w:rsidRDefault="00F515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48F2B" w14:textId="311A0BE3" w:rsidR="001C4496" w:rsidRPr="009D2062" w:rsidRDefault="001C4496" w:rsidP="009D2062">
    <w:pPr>
      <w:pStyle w:val="Header"/>
      <w:jc w:val="right"/>
      <w:rPr>
        <w:lang w:val="en-US"/>
      </w:rPr>
    </w:pPr>
    <w:r>
      <w:rPr>
        <w:lang w:val="en-US"/>
      </w:rPr>
      <w:t>July 2</w:t>
    </w:r>
    <w:r w:rsidR="00FB2B7C">
      <w:rPr>
        <w:lang w:val="en-US"/>
      </w:rPr>
      <w:t>7</w:t>
    </w:r>
    <w:r>
      <w:rPr>
        <w:lang w:val="en-US"/>
      </w:rPr>
      <w:t>, 2020 -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2A312" w14:textId="77777777" w:rsidR="00F515D7" w:rsidRDefault="00F51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43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AF4B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F37316"/>
    <w:multiLevelType w:val="multilevel"/>
    <w:tmpl w:val="0CC2C7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33D6E14"/>
    <w:multiLevelType w:val="hybridMultilevel"/>
    <w:tmpl w:val="6A4C5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0DD1BBF"/>
    <w:multiLevelType w:val="hybridMultilevel"/>
    <w:tmpl w:val="357C1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A08F8"/>
    <w:multiLevelType w:val="hybridMultilevel"/>
    <w:tmpl w:val="F0D0FE52"/>
    <w:lvl w:ilvl="0" w:tplc="489A9B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C39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F662A5F"/>
    <w:multiLevelType w:val="hybridMultilevel"/>
    <w:tmpl w:val="5E02CA3E"/>
    <w:lvl w:ilvl="0" w:tplc="AD9A9ADC">
      <w:start w:val="1"/>
      <w:numFmt w:val="upperRoman"/>
      <w:pStyle w:val="Heading2"/>
      <w:lvlText w:val="%1."/>
      <w:lvlJc w:val="left"/>
      <w:pPr>
        <w:ind w:left="720" w:hanging="360"/>
      </w:pPr>
      <w:rPr>
        <w:rFonts w:ascii="Times New Roman Bold" w:hAnsi="Times New Roman Bold" w:cs="Times New Roman"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720CE"/>
    <w:multiLevelType w:val="multilevel"/>
    <w:tmpl w:val="410E4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A7B4F2E"/>
    <w:multiLevelType w:val="hybridMultilevel"/>
    <w:tmpl w:val="9446C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D82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3447DF"/>
    <w:multiLevelType w:val="multilevel"/>
    <w:tmpl w:val="F8FA448E"/>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1BE5C94"/>
    <w:multiLevelType w:val="hybridMultilevel"/>
    <w:tmpl w:val="C70E1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EA28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4B637FA"/>
    <w:multiLevelType w:val="multilevel"/>
    <w:tmpl w:val="425AF01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5017690"/>
    <w:multiLevelType w:val="multilevel"/>
    <w:tmpl w:val="410E4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E318E"/>
    <w:multiLevelType w:val="hybridMultilevel"/>
    <w:tmpl w:val="80D04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E79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4F42D99"/>
    <w:multiLevelType w:val="hybridMultilevel"/>
    <w:tmpl w:val="1258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18"/>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num>
  <w:num w:numId="7">
    <w:abstractNumId w:val="3"/>
  </w:num>
  <w:num w:numId="8">
    <w:abstractNumId w:val="8"/>
  </w:num>
  <w:num w:numId="9">
    <w:abstractNumId w:val="13"/>
  </w:num>
  <w:num w:numId="10">
    <w:abstractNumId w:val="5"/>
  </w:num>
  <w:num w:numId="11">
    <w:abstractNumId w:val="17"/>
  </w:num>
  <w:num w:numId="12">
    <w:abstractNumId w:val="2"/>
  </w:num>
  <w:num w:numId="13">
    <w:abstractNumId w:val="6"/>
  </w:num>
  <w:num w:numId="14">
    <w:abstractNumId w:val="1"/>
  </w:num>
  <w:num w:numId="15">
    <w:abstractNumId w:val="10"/>
  </w:num>
  <w:num w:numId="16">
    <w:abstractNumId w:val="14"/>
  </w:num>
  <w:num w:numId="17">
    <w:abstractNumId w:val="15"/>
  </w:num>
  <w:num w:numId="18">
    <w:abstractNumId w:val="11"/>
  </w:num>
  <w:num w:numId="19">
    <w:abstractNumId w:val="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revisionView w:markup="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FA7"/>
    <w:rsid w:val="000040EE"/>
    <w:rsid w:val="00010DC0"/>
    <w:rsid w:val="00014F9A"/>
    <w:rsid w:val="000155C2"/>
    <w:rsid w:val="00016B04"/>
    <w:rsid w:val="0002445A"/>
    <w:rsid w:val="000356BA"/>
    <w:rsid w:val="000470E9"/>
    <w:rsid w:val="000474B8"/>
    <w:rsid w:val="00050C9A"/>
    <w:rsid w:val="00052E64"/>
    <w:rsid w:val="000600E3"/>
    <w:rsid w:val="000633C9"/>
    <w:rsid w:val="00082F94"/>
    <w:rsid w:val="0008636D"/>
    <w:rsid w:val="000956A2"/>
    <w:rsid w:val="00095FA7"/>
    <w:rsid w:val="0009683B"/>
    <w:rsid w:val="00097F53"/>
    <w:rsid w:val="000A3352"/>
    <w:rsid w:val="000C06C0"/>
    <w:rsid w:val="000C37F0"/>
    <w:rsid w:val="000D11AB"/>
    <w:rsid w:val="000D30C4"/>
    <w:rsid w:val="000D4FCF"/>
    <w:rsid w:val="000D7F45"/>
    <w:rsid w:val="000E353C"/>
    <w:rsid w:val="000E6608"/>
    <w:rsid w:val="000E6FD6"/>
    <w:rsid w:val="000F1B46"/>
    <w:rsid w:val="000F5841"/>
    <w:rsid w:val="00100173"/>
    <w:rsid w:val="001048C1"/>
    <w:rsid w:val="00105153"/>
    <w:rsid w:val="001053C9"/>
    <w:rsid w:val="00112B0A"/>
    <w:rsid w:val="001238D4"/>
    <w:rsid w:val="001262DC"/>
    <w:rsid w:val="00133AFF"/>
    <w:rsid w:val="00146D0C"/>
    <w:rsid w:val="001505FB"/>
    <w:rsid w:val="00166C15"/>
    <w:rsid w:val="00167928"/>
    <w:rsid w:val="0017722A"/>
    <w:rsid w:val="001801A3"/>
    <w:rsid w:val="00190882"/>
    <w:rsid w:val="00193746"/>
    <w:rsid w:val="00193F0E"/>
    <w:rsid w:val="001979F2"/>
    <w:rsid w:val="001A56D0"/>
    <w:rsid w:val="001B0641"/>
    <w:rsid w:val="001B36A5"/>
    <w:rsid w:val="001C4496"/>
    <w:rsid w:val="001C6C5C"/>
    <w:rsid w:val="001D099A"/>
    <w:rsid w:val="001D2194"/>
    <w:rsid w:val="001D3400"/>
    <w:rsid w:val="001D445D"/>
    <w:rsid w:val="001E406B"/>
    <w:rsid w:val="001F2B23"/>
    <w:rsid w:val="001F413A"/>
    <w:rsid w:val="001F44F8"/>
    <w:rsid w:val="00200A5D"/>
    <w:rsid w:val="00203FFA"/>
    <w:rsid w:val="002056C9"/>
    <w:rsid w:val="0020650F"/>
    <w:rsid w:val="00206C83"/>
    <w:rsid w:val="00207E0B"/>
    <w:rsid w:val="00212C2D"/>
    <w:rsid w:val="00217560"/>
    <w:rsid w:val="00230317"/>
    <w:rsid w:val="002352F0"/>
    <w:rsid w:val="0024461F"/>
    <w:rsid w:val="00246EBE"/>
    <w:rsid w:val="00273A9B"/>
    <w:rsid w:val="00276308"/>
    <w:rsid w:val="002774DC"/>
    <w:rsid w:val="002824C4"/>
    <w:rsid w:val="0028398B"/>
    <w:rsid w:val="0029392A"/>
    <w:rsid w:val="002A031A"/>
    <w:rsid w:val="002A1A0D"/>
    <w:rsid w:val="002A470D"/>
    <w:rsid w:val="002B4163"/>
    <w:rsid w:val="002B543A"/>
    <w:rsid w:val="002B5D4D"/>
    <w:rsid w:val="002C0C6B"/>
    <w:rsid w:val="002C3CD6"/>
    <w:rsid w:val="002D04FA"/>
    <w:rsid w:val="002D06C0"/>
    <w:rsid w:val="002D3B7B"/>
    <w:rsid w:val="002D7C03"/>
    <w:rsid w:val="002E128B"/>
    <w:rsid w:val="002F129F"/>
    <w:rsid w:val="002F17AD"/>
    <w:rsid w:val="002F3235"/>
    <w:rsid w:val="00316DA7"/>
    <w:rsid w:val="003202E8"/>
    <w:rsid w:val="003248F8"/>
    <w:rsid w:val="00327C31"/>
    <w:rsid w:val="00331911"/>
    <w:rsid w:val="003324B4"/>
    <w:rsid w:val="003331C9"/>
    <w:rsid w:val="00340077"/>
    <w:rsid w:val="00341676"/>
    <w:rsid w:val="00342287"/>
    <w:rsid w:val="0034381F"/>
    <w:rsid w:val="00344E6F"/>
    <w:rsid w:val="00346E2E"/>
    <w:rsid w:val="00346F1B"/>
    <w:rsid w:val="00350954"/>
    <w:rsid w:val="00355DB0"/>
    <w:rsid w:val="0035662A"/>
    <w:rsid w:val="003660FD"/>
    <w:rsid w:val="00380405"/>
    <w:rsid w:val="00380703"/>
    <w:rsid w:val="00380FBB"/>
    <w:rsid w:val="00383EF2"/>
    <w:rsid w:val="00395F88"/>
    <w:rsid w:val="00396440"/>
    <w:rsid w:val="003B0D9A"/>
    <w:rsid w:val="003B1E18"/>
    <w:rsid w:val="003D02EA"/>
    <w:rsid w:val="003D13B8"/>
    <w:rsid w:val="003E5CAE"/>
    <w:rsid w:val="003F0D2B"/>
    <w:rsid w:val="0040083F"/>
    <w:rsid w:val="00407E3D"/>
    <w:rsid w:val="00410646"/>
    <w:rsid w:val="0041109D"/>
    <w:rsid w:val="0042299F"/>
    <w:rsid w:val="004308E7"/>
    <w:rsid w:val="00433300"/>
    <w:rsid w:val="00436E97"/>
    <w:rsid w:val="0044422D"/>
    <w:rsid w:val="004627F0"/>
    <w:rsid w:val="004630C8"/>
    <w:rsid w:val="00466325"/>
    <w:rsid w:val="0047400D"/>
    <w:rsid w:val="00481B0D"/>
    <w:rsid w:val="00481D1D"/>
    <w:rsid w:val="00485217"/>
    <w:rsid w:val="00487094"/>
    <w:rsid w:val="00487BDB"/>
    <w:rsid w:val="00496A01"/>
    <w:rsid w:val="004A419A"/>
    <w:rsid w:val="004A463C"/>
    <w:rsid w:val="004B1E20"/>
    <w:rsid w:val="004B7C60"/>
    <w:rsid w:val="004C55B5"/>
    <w:rsid w:val="004D4353"/>
    <w:rsid w:val="004D4AD1"/>
    <w:rsid w:val="004E1FBA"/>
    <w:rsid w:val="004E3F71"/>
    <w:rsid w:val="004F4953"/>
    <w:rsid w:val="004F562A"/>
    <w:rsid w:val="00505CFA"/>
    <w:rsid w:val="00515F56"/>
    <w:rsid w:val="00522DE8"/>
    <w:rsid w:val="00523A36"/>
    <w:rsid w:val="00523D48"/>
    <w:rsid w:val="005277A6"/>
    <w:rsid w:val="00543AAC"/>
    <w:rsid w:val="00543FE9"/>
    <w:rsid w:val="00546344"/>
    <w:rsid w:val="0054667E"/>
    <w:rsid w:val="005507F0"/>
    <w:rsid w:val="00555EC9"/>
    <w:rsid w:val="00563244"/>
    <w:rsid w:val="0056488B"/>
    <w:rsid w:val="00570423"/>
    <w:rsid w:val="005748D3"/>
    <w:rsid w:val="005759D2"/>
    <w:rsid w:val="0057674E"/>
    <w:rsid w:val="005853F7"/>
    <w:rsid w:val="0059312A"/>
    <w:rsid w:val="005A06FD"/>
    <w:rsid w:val="005A55A0"/>
    <w:rsid w:val="005A5C0D"/>
    <w:rsid w:val="005B6E91"/>
    <w:rsid w:val="005C30C0"/>
    <w:rsid w:val="005C73F8"/>
    <w:rsid w:val="005D39CA"/>
    <w:rsid w:val="005E159A"/>
    <w:rsid w:val="005F2176"/>
    <w:rsid w:val="005F63A0"/>
    <w:rsid w:val="006019C7"/>
    <w:rsid w:val="00607911"/>
    <w:rsid w:val="00614CA8"/>
    <w:rsid w:val="0061709F"/>
    <w:rsid w:val="006175C2"/>
    <w:rsid w:val="00622E97"/>
    <w:rsid w:val="00623E9E"/>
    <w:rsid w:val="00642BD2"/>
    <w:rsid w:val="00643DC3"/>
    <w:rsid w:val="006442CE"/>
    <w:rsid w:val="0064669C"/>
    <w:rsid w:val="00651A7B"/>
    <w:rsid w:val="00657255"/>
    <w:rsid w:val="00657B4F"/>
    <w:rsid w:val="00662693"/>
    <w:rsid w:val="0066748D"/>
    <w:rsid w:val="00670475"/>
    <w:rsid w:val="00670FBF"/>
    <w:rsid w:val="006737CF"/>
    <w:rsid w:val="00686DE3"/>
    <w:rsid w:val="006928CD"/>
    <w:rsid w:val="00694D35"/>
    <w:rsid w:val="006A2654"/>
    <w:rsid w:val="006A2B4D"/>
    <w:rsid w:val="006A5E08"/>
    <w:rsid w:val="006A7FAE"/>
    <w:rsid w:val="006B22D7"/>
    <w:rsid w:val="006B5EC8"/>
    <w:rsid w:val="006B6970"/>
    <w:rsid w:val="006B7A9D"/>
    <w:rsid w:val="006C20D6"/>
    <w:rsid w:val="006C5489"/>
    <w:rsid w:val="006C5FFC"/>
    <w:rsid w:val="006D277B"/>
    <w:rsid w:val="006E42B3"/>
    <w:rsid w:val="006E5C3E"/>
    <w:rsid w:val="006E61E1"/>
    <w:rsid w:val="006F0EBC"/>
    <w:rsid w:val="006F746A"/>
    <w:rsid w:val="006F7B5E"/>
    <w:rsid w:val="00703047"/>
    <w:rsid w:val="00717B03"/>
    <w:rsid w:val="0072058E"/>
    <w:rsid w:val="007225BB"/>
    <w:rsid w:val="00725057"/>
    <w:rsid w:val="007305A6"/>
    <w:rsid w:val="0073421F"/>
    <w:rsid w:val="00740CF8"/>
    <w:rsid w:val="00741006"/>
    <w:rsid w:val="00747E0D"/>
    <w:rsid w:val="0075077E"/>
    <w:rsid w:val="00753B6E"/>
    <w:rsid w:val="00756DC7"/>
    <w:rsid w:val="0076311B"/>
    <w:rsid w:val="007666F3"/>
    <w:rsid w:val="00766EB0"/>
    <w:rsid w:val="00767B39"/>
    <w:rsid w:val="00780F2B"/>
    <w:rsid w:val="00793F5E"/>
    <w:rsid w:val="007944E1"/>
    <w:rsid w:val="0079770E"/>
    <w:rsid w:val="007A2429"/>
    <w:rsid w:val="007B6330"/>
    <w:rsid w:val="007C36B7"/>
    <w:rsid w:val="007C49E4"/>
    <w:rsid w:val="007D06B8"/>
    <w:rsid w:val="007D096A"/>
    <w:rsid w:val="007D4FC0"/>
    <w:rsid w:val="007D61F5"/>
    <w:rsid w:val="007E152D"/>
    <w:rsid w:val="007E4C6D"/>
    <w:rsid w:val="007E7AE6"/>
    <w:rsid w:val="007F58AB"/>
    <w:rsid w:val="007F6BEF"/>
    <w:rsid w:val="00800E16"/>
    <w:rsid w:val="00804A68"/>
    <w:rsid w:val="00811C24"/>
    <w:rsid w:val="00814236"/>
    <w:rsid w:val="008179C2"/>
    <w:rsid w:val="00827661"/>
    <w:rsid w:val="00841975"/>
    <w:rsid w:val="00841E48"/>
    <w:rsid w:val="008439CA"/>
    <w:rsid w:val="00850F09"/>
    <w:rsid w:val="0085313D"/>
    <w:rsid w:val="00854C56"/>
    <w:rsid w:val="0085527B"/>
    <w:rsid w:val="00855A72"/>
    <w:rsid w:val="00863D51"/>
    <w:rsid w:val="00872D06"/>
    <w:rsid w:val="00874FE2"/>
    <w:rsid w:val="0088120C"/>
    <w:rsid w:val="008835E7"/>
    <w:rsid w:val="00884105"/>
    <w:rsid w:val="00885F28"/>
    <w:rsid w:val="00890D77"/>
    <w:rsid w:val="008B105B"/>
    <w:rsid w:val="008B26E9"/>
    <w:rsid w:val="008E0333"/>
    <w:rsid w:val="008E087B"/>
    <w:rsid w:val="008E1832"/>
    <w:rsid w:val="008F170A"/>
    <w:rsid w:val="008F4B5E"/>
    <w:rsid w:val="00900483"/>
    <w:rsid w:val="00905E35"/>
    <w:rsid w:val="00910027"/>
    <w:rsid w:val="00912D96"/>
    <w:rsid w:val="009220FA"/>
    <w:rsid w:val="009371FB"/>
    <w:rsid w:val="0094041D"/>
    <w:rsid w:val="00943953"/>
    <w:rsid w:val="00954C5C"/>
    <w:rsid w:val="00957835"/>
    <w:rsid w:val="009605CE"/>
    <w:rsid w:val="0097122B"/>
    <w:rsid w:val="00972F7D"/>
    <w:rsid w:val="00975521"/>
    <w:rsid w:val="009777AE"/>
    <w:rsid w:val="00977E5E"/>
    <w:rsid w:val="00980283"/>
    <w:rsid w:val="00981698"/>
    <w:rsid w:val="009859AB"/>
    <w:rsid w:val="00993353"/>
    <w:rsid w:val="00996298"/>
    <w:rsid w:val="009A36E1"/>
    <w:rsid w:val="009A4C2F"/>
    <w:rsid w:val="009C29AE"/>
    <w:rsid w:val="009C417F"/>
    <w:rsid w:val="009C7258"/>
    <w:rsid w:val="009D2062"/>
    <w:rsid w:val="009D4F61"/>
    <w:rsid w:val="009E12B5"/>
    <w:rsid w:val="009E7875"/>
    <w:rsid w:val="009F150A"/>
    <w:rsid w:val="009F2CBE"/>
    <w:rsid w:val="009F5376"/>
    <w:rsid w:val="00A034A5"/>
    <w:rsid w:val="00A04AF8"/>
    <w:rsid w:val="00A0620B"/>
    <w:rsid w:val="00A074E7"/>
    <w:rsid w:val="00A12281"/>
    <w:rsid w:val="00A14EBE"/>
    <w:rsid w:val="00A15015"/>
    <w:rsid w:val="00A22803"/>
    <w:rsid w:val="00A252D8"/>
    <w:rsid w:val="00A25B60"/>
    <w:rsid w:val="00A31089"/>
    <w:rsid w:val="00A41E4A"/>
    <w:rsid w:val="00A45F69"/>
    <w:rsid w:val="00A572F4"/>
    <w:rsid w:val="00A63C1C"/>
    <w:rsid w:val="00A660D2"/>
    <w:rsid w:val="00A7262F"/>
    <w:rsid w:val="00A73B53"/>
    <w:rsid w:val="00A831E2"/>
    <w:rsid w:val="00A90B60"/>
    <w:rsid w:val="00A92C12"/>
    <w:rsid w:val="00AC0ADD"/>
    <w:rsid w:val="00AC5A44"/>
    <w:rsid w:val="00AD51BA"/>
    <w:rsid w:val="00AE3AB2"/>
    <w:rsid w:val="00AE4EA8"/>
    <w:rsid w:val="00AF3D62"/>
    <w:rsid w:val="00B00DFA"/>
    <w:rsid w:val="00B04BAE"/>
    <w:rsid w:val="00B136D7"/>
    <w:rsid w:val="00B21095"/>
    <w:rsid w:val="00B222D0"/>
    <w:rsid w:val="00B33D11"/>
    <w:rsid w:val="00B428E6"/>
    <w:rsid w:val="00B52206"/>
    <w:rsid w:val="00B53422"/>
    <w:rsid w:val="00B55CE3"/>
    <w:rsid w:val="00B676F7"/>
    <w:rsid w:val="00B7108F"/>
    <w:rsid w:val="00B734FD"/>
    <w:rsid w:val="00B73DF4"/>
    <w:rsid w:val="00B869E8"/>
    <w:rsid w:val="00B95702"/>
    <w:rsid w:val="00B95EFE"/>
    <w:rsid w:val="00B96BB4"/>
    <w:rsid w:val="00B97A0C"/>
    <w:rsid w:val="00BB14D2"/>
    <w:rsid w:val="00BB309B"/>
    <w:rsid w:val="00BB3647"/>
    <w:rsid w:val="00BB6F6B"/>
    <w:rsid w:val="00BC40F9"/>
    <w:rsid w:val="00BC5A07"/>
    <w:rsid w:val="00BD7A3B"/>
    <w:rsid w:val="00BE269F"/>
    <w:rsid w:val="00BF59C4"/>
    <w:rsid w:val="00BF7DBC"/>
    <w:rsid w:val="00C06AD7"/>
    <w:rsid w:val="00C10173"/>
    <w:rsid w:val="00C10F64"/>
    <w:rsid w:val="00C20F2F"/>
    <w:rsid w:val="00C24A96"/>
    <w:rsid w:val="00C27000"/>
    <w:rsid w:val="00C279AA"/>
    <w:rsid w:val="00C307A1"/>
    <w:rsid w:val="00C32D8B"/>
    <w:rsid w:val="00C3515C"/>
    <w:rsid w:val="00C46D4A"/>
    <w:rsid w:val="00C47ABB"/>
    <w:rsid w:val="00C60642"/>
    <w:rsid w:val="00C61D30"/>
    <w:rsid w:val="00C66290"/>
    <w:rsid w:val="00C72507"/>
    <w:rsid w:val="00C735C1"/>
    <w:rsid w:val="00C76F09"/>
    <w:rsid w:val="00C83D07"/>
    <w:rsid w:val="00C843D9"/>
    <w:rsid w:val="00C84B36"/>
    <w:rsid w:val="00C90365"/>
    <w:rsid w:val="00C9116D"/>
    <w:rsid w:val="00C91F7A"/>
    <w:rsid w:val="00C924DE"/>
    <w:rsid w:val="00C926E1"/>
    <w:rsid w:val="00C93F5D"/>
    <w:rsid w:val="00C96BC1"/>
    <w:rsid w:val="00C97322"/>
    <w:rsid w:val="00C976CB"/>
    <w:rsid w:val="00C97F0D"/>
    <w:rsid w:val="00CB3192"/>
    <w:rsid w:val="00CC30DE"/>
    <w:rsid w:val="00CC7C19"/>
    <w:rsid w:val="00CD2A35"/>
    <w:rsid w:val="00CE1B7C"/>
    <w:rsid w:val="00CE325E"/>
    <w:rsid w:val="00CE6EA6"/>
    <w:rsid w:val="00CF093F"/>
    <w:rsid w:val="00CF170C"/>
    <w:rsid w:val="00CF2D4E"/>
    <w:rsid w:val="00D0022A"/>
    <w:rsid w:val="00D00E8C"/>
    <w:rsid w:val="00D0271B"/>
    <w:rsid w:val="00D04E4F"/>
    <w:rsid w:val="00D0648B"/>
    <w:rsid w:val="00D2001F"/>
    <w:rsid w:val="00D20437"/>
    <w:rsid w:val="00D22B86"/>
    <w:rsid w:val="00D23482"/>
    <w:rsid w:val="00D3181B"/>
    <w:rsid w:val="00D34ADB"/>
    <w:rsid w:val="00D3573A"/>
    <w:rsid w:val="00D46EB0"/>
    <w:rsid w:val="00D46EFF"/>
    <w:rsid w:val="00D5075C"/>
    <w:rsid w:val="00D5103A"/>
    <w:rsid w:val="00D51447"/>
    <w:rsid w:val="00D55E84"/>
    <w:rsid w:val="00D57527"/>
    <w:rsid w:val="00D57CDC"/>
    <w:rsid w:val="00D60B50"/>
    <w:rsid w:val="00D623E9"/>
    <w:rsid w:val="00D62C84"/>
    <w:rsid w:val="00D6643A"/>
    <w:rsid w:val="00D70403"/>
    <w:rsid w:val="00D77520"/>
    <w:rsid w:val="00D95B4E"/>
    <w:rsid w:val="00D97A28"/>
    <w:rsid w:val="00DA0635"/>
    <w:rsid w:val="00DA0E7F"/>
    <w:rsid w:val="00DA2143"/>
    <w:rsid w:val="00DA2CDA"/>
    <w:rsid w:val="00DA3643"/>
    <w:rsid w:val="00DB5193"/>
    <w:rsid w:val="00DB6382"/>
    <w:rsid w:val="00DC15AD"/>
    <w:rsid w:val="00DC1622"/>
    <w:rsid w:val="00DC1E48"/>
    <w:rsid w:val="00DC63C6"/>
    <w:rsid w:val="00DD542C"/>
    <w:rsid w:val="00DD6E53"/>
    <w:rsid w:val="00DF151B"/>
    <w:rsid w:val="00DF3BB1"/>
    <w:rsid w:val="00E07E97"/>
    <w:rsid w:val="00E10561"/>
    <w:rsid w:val="00E14400"/>
    <w:rsid w:val="00E214C9"/>
    <w:rsid w:val="00E216F6"/>
    <w:rsid w:val="00E23A0B"/>
    <w:rsid w:val="00E264CF"/>
    <w:rsid w:val="00E3093D"/>
    <w:rsid w:val="00E318DD"/>
    <w:rsid w:val="00E322CB"/>
    <w:rsid w:val="00E329D5"/>
    <w:rsid w:val="00E351B3"/>
    <w:rsid w:val="00E406EA"/>
    <w:rsid w:val="00E42E2F"/>
    <w:rsid w:val="00E52567"/>
    <w:rsid w:val="00E531FA"/>
    <w:rsid w:val="00E56AEB"/>
    <w:rsid w:val="00E73F6C"/>
    <w:rsid w:val="00E8003A"/>
    <w:rsid w:val="00E83F62"/>
    <w:rsid w:val="00E845DF"/>
    <w:rsid w:val="00E86E8F"/>
    <w:rsid w:val="00E91F90"/>
    <w:rsid w:val="00E92289"/>
    <w:rsid w:val="00E93CB5"/>
    <w:rsid w:val="00E94BA5"/>
    <w:rsid w:val="00EA0295"/>
    <w:rsid w:val="00EB22B1"/>
    <w:rsid w:val="00EB7D8F"/>
    <w:rsid w:val="00EC045C"/>
    <w:rsid w:val="00EC0EAA"/>
    <w:rsid w:val="00EC5F58"/>
    <w:rsid w:val="00ED11F0"/>
    <w:rsid w:val="00ED3430"/>
    <w:rsid w:val="00F03D9E"/>
    <w:rsid w:val="00F050FA"/>
    <w:rsid w:val="00F24DD2"/>
    <w:rsid w:val="00F336B0"/>
    <w:rsid w:val="00F463E7"/>
    <w:rsid w:val="00F515D7"/>
    <w:rsid w:val="00F52464"/>
    <w:rsid w:val="00F53E9A"/>
    <w:rsid w:val="00F67486"/>
    <w:rsid w:val="00F71093"/>
    <w:rsid w:val="00F8110D"/>
    <w:rsid w:val="00F906B0"/>
    <w:rsid w:val="00F91C5C"/>
    <w:rsid w:val="00F92731"/>
    <w:rsid w:val="00F94624"/>
    <w:rsid w:val="00FB04CA"/>
    <w:rsid w:val="00FB214D"/>
    <w:rsid w:val="00FB2B7C"/>
    <w:rsid w:val="00FB3CD4"/>
    <w:rsid w:val="00FD17C0"/>
    <w:rsid w:val="00FD1C5F"/>
    <w:rsid w:val="00FD73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5A24DCD"/>
  <w15:chartTrackingRefBased/>
  <w15:docId w15:val="{89B28A6A-09C1-43F9-892D-BF03EA48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0D30C4"/>
    <w:pPr>
      <w:keepNext/>
      <w:numPr>
        <w:numId w:val="18"/>
      </w:numPr>
      <w:spacing w:before="240" w:after="120"/>
      <w:contextualSpacing w:val="0"/>
      <w:outlineLvl w:val="0"/>
    </w:pPr>
    <w:rPr>
      <w:rFonts w:cstheme="minorHAnsi"/>
      <w:b/>
      <w:bCs/>
      <w:color w:val="000000" w:themeColor="text1"/>
    </w:rPr>
  </w:style>
  <w:style w:type="paragraph" w:styleId="Heading2">
    <w:name w:val="heading 2"/>
    <w:basedOn w:val="Normal"/>
    <w:next w:val="Normal"/>
    <w:link w:val="Heading2Char"/>
    <w:uiPriority w:val="9"/>
    <w:unhideWhenUsed/>
    <w:qFormat/>
    <w:rsid w:val="000F1B46"/>
    <w:pPr>
      <w:keepNext/>
      <w:keepLines/>
      <w:numPr>
        <w:numId w:val="20"/>
      </w:numPr>
      <w:spacing w:before="120" w:after="120"/>
      <w:outlineLvl w:val="1"/>
    </w:pPr>
    <w:rPr>
      <w:rFonts w:eastAsiaTheme="majorEastAsia" w:cstheme="minorHAnsi"/>
      <w:b/>
      <w:bCs/>
      <w:lang w:val="en-US"/>
    </w:rPr>
  </w:style>
  <w:style w:type="paragraph" w:styleId="Heading3">
    <w:name w:val="heading 3"/>
    <w:basedOn w:val="Normal"/>
    <w:next w:val="Normal"/>
    <w:link w:val="Heading3Char"/>
    <w:uiPriority w:val="9"/>
    <w:semiHidden/>
    <w:unhideWhenUsed/>
    <w:qFormat/>
    <w:rsid w:val="000D30C4"/>
    <w:pPr>
      <w:keepNext/>
      <w:keepLines/>
      <w:numPr>
        <w:ilvl w:val="2"/>
        <w:numId w:val="16"/>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D30C4"/>
    <w:pPr>
      <w:keepNext/>
      <w:keepLines/>
      <w:numPr>
        <w:ilvl w:val="3"/>
        <w:numId w:val="1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30C4"/>
    <w:pPr>
      <w:keepNext/>
      <w:keepLines/>
      <w:numPr>
        <w:ilvl w:val="4"/>
        <w:numId w:val="1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30C4"/>
    <w:pPr>
      <w:keepNext/>
      <w:keepLines/>
      <w:numPr>
        <w:ilvl w:val="5"/>
        <w:numId w:val="1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30C4"/>
    <w:pPr>
      <w:keepNext/>
      <w:keepLines/>
      <w:numPr>
        <w:ilvl w:val="6"/>
        <w:numId w:val="1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30C4"/>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30C4"/>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3DC3"/>
    <w:rPr>
      <w:color w:val="0563C1" w:themeColor="hyperlink"/>
      <w:u w:val="single"/>
    </w:rPr>
  </w:style>
  <w:style w:type="character" w:styleId="UnresolvedMention">
    <w:name w:val="Unresolved Mention"/>
    <w:basedOn w:val="DefaultParagraphFont"/>
    <w:uiPriority w:val="99"/>
    <w:semiHidden/>
    <w:unhideWhenUsed/>
    <w:rsid w:val="00643DC3"/>
    <w:rPr>
      <w:color w:val="605E5C"/>
      <w:shd w:val="clear" w:color="auto" w:fill="E1DFDD"/>
    </w:rPr>
  </w:style>
  <w:style w:type="paragraph" w:styleId="BalloonText">
    <w:name w:val="Balloon Text"/>
    <w:basedOn w:val="Normal"/>
    <w:link w:val="BalloonTextChar"/>
    <w:uiPriority w:val="99"/>
    <w:semiHidden/>
    <w:unhideWhenUsed/>
    <w:rsid w:val="00643DC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3DC3"/>
    <w:rPr>
      <w:rFonts w:ascii="Segoe UI" w:hAnsi="Segoe UI" w:cs="Segoe UI"/>
      <w:sz w:val="18"/>
      <w:szCs w:val="18"/>
    </w:rPr>
  </w:style>
  <w:style w:type="paragraph" w:styleId="ListParagraph">
    <w:name w:val="List Paragraph"/>
    <w:basedOn w:val="Normal"/>
    <w:uiPriority w:val="34"/>
    <w:qFormat/>
    <w:rsid w:val="00E92289"/>
    <w:pPr>
      <w:ind w:left="720"/>
      <w:contextualSpacing/>
    </w:pPr>
  </w:style>
  <w:style w:type="paragraph" w:styleId="Header">
    <w:name w:val="header"/>
    <w:basedOn w:val="Normal"/>
    <w:link w:val="HeaderChar"/>
    <w:uiPriority w:val="99"/>
    <w:unhideWhenUsed/>
    <w:rsid w:val="00767B39"/>
    <w:pPr>
      <w:tabs>
        <w:tab w:val="center" w:pos="4680"/>
        <w:tab w:val="right" w:pos="9360"/>
      </w:tabs>
    </w:pPr>
  </w:style>
  <w:style w:type="character" w:customStyle="1" w:styleId="HeaderChar">
    <w:name w:val="Header Char"/>
    <w:basedOn w:val="DefaultParagraphFont"/>
    <w:link w:val="Header"/>
    <w:uiPriority w:val="99"/>
    <w:rsid w:val="00767B39"/>
  </w:style>
  <w:style w:type="paragraph" w:styleId="Footer">
    <w:name w:val="footer"/>
    <w:basedOn w:val="Normal"/>
    <w:link w:val="FooterChar"/>
    <w:uiPriority w:val="99"/>
    <w:unhideWhenUsed/>
    <w:rsid w:val="00767B39"/>
    <w:pPr>
      <w:tabs>
        <w:tab w:val="center" w:pos="4680"/>
        <w:tab w:val="right" w:pos="9360"/>
      </w:tabs>
    </w:pPr>
  </w:style>
  <w:style w:type="character" w:customStyle="1" w:styleId="FooterChar">
    <w:name w:val="Footer Char"/>
    <w:basedOn w:val="DefaultParagraphFont"/>
    <w:link w:val="Footer"/>
    <w:uiPriority w:val="99"/>
    <w:rsid w:val="00767B39"/>
  </w:style>
  <w:style w:type="character" w:styleId="CommentReference">
    <w:name w:val="annotation reference"/>
    <w:basedOn w:val="DefaultParagraphFont"/>
    <w:uiPriority w:val="99"/>
    <w:semiHidden/>
    <w:unhideWhenUsed/>
    <w:rsid w:val="00A14EBE"/>
    <w:rPr>
      <w:sz w:val="16"/>
      <w:szCs w:val="16"/>
    </w:rPr>
  </w:style>
  <w:style w:type="paragraph" w:styleId="CommentText">
    <w:name w:val="annotation text"/>
    <w:basedOn w:val="Normal"/>
    <w:link w:val="CommentTextChar"/>
    <w:uiPriority w:val="99"/>
    <w:semiHidden/>
    <w:unhideWhenUsed/>
    <w:rsid w:val="00A14EBE"/>
    <w:rPr>
      <w:sz w:val="20"/>
      <w:szCs w:val="20"/>
    </w:rPr>
  </w:style>
  <w:style w:type="character" w:customStyle="1" w:styleId="CommentTextChar">
    <w:name w:val="Comment Text Char"/>
    <w:basedOn w:val="DefaultParagraphFont"/>
    <w:link w:val="CommentText"/>
    <w:uiPriority w:val="99"/>
    <w:semiHidden/>
    <w:rsid w:val="00A14EBE"/>
    <w:rPr>
      <w:sz w:val="20"/>
      <w:szCs w:val="20"/>
    </w:rPr>
  </w:style>
  <w:style w:type="paragraph" w:styleId="CommentSubject">
    <w:name w:val="annotation subject"/>
    <w:basedOn w:val="CommentText"/>
    <w:next w:val="CommentText"/>
    <w:link w:val="CommentSubjectChar"/>
    <w:uiPriority w:val="99"/>
    <w:semiHidden/>
    <w:unhideWhenUsed/>
    <w:rsid w:val="00A14EBE"/>
    <w:rPr>
      <w:b/>
      <w:bCs/>
    </w:rPr>
  </w:style>
  <w:style w:type="character" w:customStyle="1" w:styleId="CommentSubjectChar">
    <w:name w:val="Comment Subject Char"/>
    <w:basedOn w:val="CommentTextChar"/>
    <w:link w:val="CommentSubject"/>
    <w:uiPriority w:val="99"/>
    <w:semiHidden/>
    <w:rsid w:val="00A14EBE"/>
    <w:rPr>
      <w:b/>
      <w:bCs/>
      <w:sz w:val="20"/>
      <w:szCs w:val="20"/>
    </w:rPr>
  </w:style>
  <w:style w:type="table" w:styleId="TableGrid">
    <w:name w:val="Table Grid"/>
    <w:basedOn w:val="TableNormal"/>
    <w:uiPriority w:val="39"/>
    <w:rsid w:val="004A4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979F2"/>
  </w:style>
  <w:style w:type="character" w:customStyle="1" w:styleId="Heading1Char">
    <w:name w:val="Heading 1 Char"/>
    <w:basedOn w:val="DefaultParagraphFont"/>
    <w:link w:val="Heading1"/>
    <w:uiPriority w:val="9"/>
    <w:rsid w:val="000D30C4"/>
    <w:rPr>
      <w:rFonts w:cstheme="minorHAnsi"/>
      <w:b/>
      <w:bCs/>
      <w:color w:val="000000" w:themeColor="text1"/>
    </w:rPr>
  </w:style>
  <w:style w:type="character" w:customStyle="1" w:styleId="Heading2Char">
    <w:name w:val="Heading 2 Char"/>
    <w:basedOn w:val="DefaultParagraphFont"/>
    <w:link w:val="Heading2"/>
    <w:uiPriority w:val="9"/>
    <w:rsid w:val="000F1B46"/>
    <w:rPr>
      <w:rFonts w:eastAsiaTheme="majorEastAsia" w:cstheme="minorHAnsi"/>
      <w:b/>
      <w:bCs/>
      <w:lang w:val="en-US"/>
    </w:rPr>
  </w:style>
  <w:style w:type="character" w:customStyle="1" w:styleId="Heading3Char">
    <w:name w:val="Heading 3 Char"/>
    <w:basedOn w:val="DefaultParagraphFont"/>
    <w:link w:val="Heading3"/>
    <w:uiPriority w:val="9"/>
    <w:semiHidden/>
    <w:rsid w:val="000D30C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D30C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D30C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D30C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D30C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D30C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D30C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03334">
      <w:bodyDiv w:val="1"/>
      <w:marLeft w:val="0"/>
      <w:marRight w:val="0"/>
      <w:marTop w:val="0"/>
      <w:marBottom w:val="0"/>
      <w:divBdr>
        <w:top w:val="none" w:sz="0" w:space="0" w:color="auto"/>
        <w:left w:val="none" w:sz="0" w:space="0" w:color="auto"/>
        <w:bottom w:val="none" w:sz="0" w:space="0" w:color="auto"/>
        <w:right w:val="none" w:sz="0" w:space="0" w:color="auto"/>
      </w:divBdr>
    </w:div>
    <w:div w:id="38868767">
      <w:bodyDiv w:val="1"/>
      <w:marLeft w:val="0"/>
      <w:marRight w:val="0"/>
      <w:marTop w:val="0"/>
      <w:marBottom w:val="0"/>
      <w:divBdr>
        <w:top w:val="none" w:sz="0" w:space="0" w:color="auto"/>
        <w:left w:val="none" w:sz="0" w:space="0" w:color="auto"/>
        <w:bottom w:val="none" w:sz="0" w:space="0" w:color="auto"/>
        <w:right w:val="none" w:sz="0" w:space="0" w:color="auto"/>
      </w:divBdr>
    </w:div>
    <w:div w:id="109864897">
      <w:bodyDiv w:val="1"/>
      <w:marLeft w:val="0"/>
      <w:marRight w:val="0"/>
      <w:marTop w:val="0"/>
      <w:marBottom w:val="0"/>
      <w:divBdr>
        <w:top w:val="none" w:sz="0" w:space="0" w:color="auto"/>
        <w:left w:val="none" w:sz="0" w:space="0" w:color="auto"/>
        <w:bottom w:val="none" w:sz="0" w:space="0" w:color="auto"/>
        <w:right w:val="none" w:sz="0" w:space="0" w:color="auto"/>
      </w:divBdr>
    </w:div>
    <w:div w:id="216169638">
      <w:bodyDiv w:val="1"/>
      <w:marLeft w:val="0"/>
      <w:marRight w:val="0"/>
      <w:marTop w:val="0"/>
      <w:marBottom w:val="0"/>
      <w:divBdr>
        <w:top w:val="none" w:sz="0" w:space="0" w:color="auto"/>
        <w:left w:val="none" w:sz="0" w:space="0" w:color="auto"/>
        <w:bottom w:val="none" w:sz="0" w:space="0" w:color="auto"/>
        <w:right w:val="none" w:sz="0" w:space="0" w:color="auto"/>
      </w:divBdr>
    </w:div>
    <w:div w:id="298610202">
      <w:bodyDiv w:val="1"/>
      <w:marLeft w:val="0"/>
      <w:marRight w:val="0"/>
      <w:marTop w:val="0"/>
      <w:marBottom w:val="0"/>
      <w:divBdr>
        <w:top w:val="none" w:sz="0" w:space="0" w:color="auto"/>
        <w:left w:val="none" w:sz="0" w:space="0" w:color="auto"/>
        <w:bottom w:val="none" w:sz="0" w:space="0" w:color="auto"/>
        <w:right w:val="none" w:sz="0" w:space="0" w:color="auto"/>
      </w:divBdr>
    </w:div>
    <w:div w:id="360399990">
      <w:bodyDiv w:val="1"/>
      <w:marLeft w:val="0"/>
      <w:marRight w:val="0"/>
      <w:marTop w:val="0"/>
      <w:marBottom w:val="0"/>
      <w:divBdr>
        <w:top w:val="none" w:sz="0" w:space="0" w:color="auto"/>
        <w:left w:val="none" w:sz="0" w:space="0" w:color="auto"/>
        <w:bottom w:val="none" w:sz="0" w:space="0" w:color="auto"/>
        <w:right w:val="none" w:sz="0" w:space="0" w:color="auto"/>
      </w:divBdr>
    </w:div>
    <w:div w:id="400178294">
      <w:bodyDiv w:val="1"/>
      <w:marLeft w:val="0"/>
      <w:marRight w:val="0"/>
      <w:marTop w:val="0"/>
      <w:marBottom w:val="0"/>
      <w:divBdr>
        <w:top w:val="none" w:sz="0" w:space="0" w:color="auto"/>
        <w:left w:val="none" w:sz="0" w:space="0" w:color="auto"/>
        <w:bottom w:val="none" w:sz="0" w:space="0" w:color="auto"/>
        <w:right w:val="none" w:sz="0" w:space="0" w:color="auto"/>
      </w:divBdr>
    </w:div>
    <w:div w:id="463739327">
      <w:bodyDiv w:val="1"/>
      <w:marLeft w:val="0"/>
      <w:marRight w:val="0"/>
      <w:marTop w:val="0"/>
      <w:marBottom w:val="0"/>
      <w:divBdr>
        <w:top w:val="none" w:sz="0" w:space="0" w:color="auto"/>
        <w:left w:val="none" w:sz="0" w:space="0" w:color="auto"/>
        <w:bottom w:val="none" w:sz="0" w:space="0" w:color="auto"/>
        <w:right w:val="none" w:sz="0" w:space="0" w:color="auto"/>
      </w:divBdr>
    </w:div>
    <w:div w:id="478113557">
      <w:bodyDiv w:val="1"/>
      <w:marLeft w:val="0"/>
      <w:marRight w:val="0"/>
      <w:marTop w:val="0"/>
      <w:marBottom w:val="0"/>
      <w:divBdr>
        <w:top w:val="none" w:sz="0" w:space="0" w:color="auto"/>
        <w:left w:val="none" w:sz="0" w:space="0" w:color="auto"/>
        <w:bottom w:val="none" w:sz="0" w:space="0" w:color="auto"/>
        <w:right w:val="none" w:sz="0" w:space="0" w:color="auto"/>
      </w:divBdr>
    </w:div>
    <w:div w:id="620915686">
      <w:bodyDiv w:val="1"/>
      <w:marLeft w:val="0"/>
      <w:marRight w:val="0"/>
      <w:marTop w:val="0"/>
      <w:marBottom w:val="0"/>
      <w:divBdr>
        <w:top w:val="none" w:sz="0" w:space="0" w:color="auto"/>
        <w:left w:val="none" w:sz="0" w:space="0" w:color="auto"/>
        <w:bottom w:val="none" w:sz="0" w:space="0" w:color="auto"/>
        <w:right w:val="none" w:sz="0" w:space="0" w:color="auto"/>
      </w:divBdr>
    </w:div>
    <w:div w:id="687947354">
      <w:bodyDiv w:val="1"/>
      <w:marLeft w:val="0"/>
      <w:marRight w:val="0"/>
      <w:marTop w:val="0"/>
      <w:marBottom w:val="0"/>
      <w:divBdr>
        <w:top w:val="none" w:sz="0" w:space="0" w:color="auto"/>
        <w:left w:val="none" w:sz="0" w:space="0" w:color="auto"/>
        <w:bottom w:val="none" w:sz="0" w:space="0" w:color="auto"/>
        <w:right w:val="none" w:sz="0" w:space="0" w:color="auto"/>
      </w:divBdr>
    </w:div>
    <w:div w:id="688682856">
      <w:bodyDiv w:val="1"/>
      <w:marLeft w:val="0"/>
      <w:marRight w:val="0"/>
      <w:marTop w:val="0"/>
      <w:marBottom w:val="0"/>
      <w:divBdr>
        <w:top w:val="none" w:sz="0" w:space="0" w:color="auto"/>
        <w:left w:val="none" w:sz="0" w:space="0" w:color="auto"/>
        <w:bottom w:val="none" w:sz="0" w:space="0" w:color="auto"/>
        <w:right w:val="none" w:sz="0" w:space="0" w:color="auto"/>
      </w:divBdr>
    </w:div>
    <w:div w:id="711925259">
      <w:bodyDiv w:val="1"/>
      <w:marLeft w:val="0"/>
      <w:marRight w:val="0"/>
      <w:marTop w:val="0"/>
      <w:marBottom w:val="0"/>
      <w:divBdr>
        <w:top w:val="none" w:sz="0" w:space="0" w:color="auto"/>
        <w:left w:val="none" w:sz="0" w:space="0" w:color="auto"/>
        <w:bottom w:val="none" w:sz="0" w:space="0" w:color="auto"/>
        <w:right w:val="none" w:sz="0" w:space="0" w:color="auto"/>
      </w:divBdr>
    </w:div>
    <w:div w:id="726925505">
      <w:bodyDiv w:val="1"/>
      <w:marLeft w:val="0"/>
      <w:marRight w:val="0"/>
      <w:marTop w:val="0"/>
      <w:marBottom w:val="0"/>
      <w:divBdr>
        <w:top w:val="none" w:sz="0" w:space="0" w:color="auto"/>
        <w:left w:val="none" w:sz="0" w:space="0" w:color="auto"/>
        <w:bottom w:val="none" w:sz="0" w:space="0" w:color="auto"/>
        <w:right w:val="none" w:sz="0" w:space="0" w:color="auto"/>
      </w:divBdr>
    </w:div>
    <w:div w:id="776410168">
      <w:bodyDiv w:val="1"/>
      <w:marLeft w:val="0"/>
      <w:marRight w:val="0"/>
      <w:marTop w:val="0"/>
      <w:marBottom w:val="0"/>
      <w:divBdr>
        <w:top w:val="none" w:sz="0" w:space="0" w:color="auto"/>
        <w:left w:val="none" w:sz="0" w:space="0" w:color="auto"/>
        <w:bottom w:val="none" w:sz="0" w:space="0" w:color="auto"/>
        <w:right w:val="none" w:sz="0" w:space="0" w:color="auto"/>
      </w:divBdr>
    </w:div>
    <w:div w:id="822477418">
      <w:bodyDiv w:val="1"/>
      <w:marLeft w:val="0"/>
      <w:marRight w:val="0"/>
      <w:marTop w:val="0"/>
      <w:marBottom w:val="0"/>
      <w:divBdr>
        <w:top w:val="none" w:sz="0" w:space="0" w:color="auto"/>
        <w:left w:val="none" w:sz="0" w:space="0" w:color="auto"/>
        <w:bottom w:val="none" w:sz="0" w:space="0" w:color="auto"/>
        <w:right w:val="none" w:sz="0" w:space="0" w:color="auto"/>
      </w:divBdr>
    </w:div>
    <w:div w:id="908613048">
      <w:bodyDiv w:val="1"/>
      <w:marLeft w:val="0"/>
      <w:marRight w:val="0"/>
      <w:marTop w:val="0"/>
      <w:marBottom w:val="0"/>
      <w:divBdr>
        <w:top w:val="none" w:sz="0" w:space="0" w:color="auto"/>
        <w:left w:val="none" w:sz="0" w:space="0" w:color="auto"/>
        <w:bottom w:val="none" w:sz="0" w:space="0" w:color="auto"/>
        <w:right w:val="none" w:sz="0" w:space="0" w:color="auto"/>
      </w:divBdr>
    </w:div>
    <w:div w:id="927689766">
      <w:bodyDiv w:val="1"/>
      <w:marLeft w:val="0"/>
      <w:marRight w:val="0"/>
      <w:marTop w:val="0"/>
      <w:marBottom w:val="0"/>
      <w:divBdr>
        <w:top w:val="none" w:sz="0" w:space="0" w:color="auto"/>
        <w:left w:val="none" w:sz="0" w:space="0" w:color="auto"/>
        <w:bottom w:val="none" w:sz="0" w:space="0" w:color="auto"/>
        <w:right w:val="none" w:sz="0" w:space="0" w:color="auto"/>
      </w:divBdr>
    </w:div>
    <w:div w:id="936596377">
      <w:bodyDiv w:val="1"/>
      <w:marLeft w:val="0"/>
      <w:marRight w:val="0"/>
      <w:marTop w:val="0"/>
      <w:marBottom w:val="0"/>
      <w:divBdr>
        <w:top w:val="none" w:sz="0" w:space="0" w:color="auto"/>
        <w:left w:val="none" w:sz="0" w:space="0" w:color="auto"/>
        <w:bottom w:val="none" w:sz="0" w:space="0" w:color="auto"/>
        <w:right w:val="none" w:sz="0" w:space="0" w:color="auto"/>
      </w:divBdr>
    </w:div>
    <w:div w:id="984357087">
      <w:bodyDiv w:val="1"/>
      <w:marLeft w:val="0"/>
      <w:marRight w:val="0"/>
      <w:marTop w:val="0"/>
      <w:marBottom w:val="0"/>
      <w:divBdr>
        <w:top w:val="none" w:sz="0" w:space="0" w:color="auto"/>
        <w:left w:val="none" w:sz="0" w:space="0" w:color="auto"/>
        <w:bottom w:val="none" w:sz="0" w:space="0" w:color="auto"/>
        <w:right w:val="none" w:sz="0" w:space="0" w:color="auto"/>
      </w:divBdr>
    </w:div>
    <w:div w:id="1011951326">
      <w:bodyDiv w:val="1"/>
      <w:marLeft w:val="0"/>
      <w:marRight w:val="0"/>
      <w:marTop w:val="0"/>
      <w:marBottom w:val="0"/>
      <w:divBdr>
        <w:top w:val="none" w:sz="0" w:space="0" w:color="auto"/>
        <w:left w:val="none" w:sz="0" w:space="0" w:color="auto"/>
        <w:bottom w:val="none" w:sz="0" w:space="0" w:color="auto"/>
        <w:right w:val="none" w:sz="0" w:space="0" w:color="auto"/>
      </w:divBdr>
    </w:div>
    <w:div w:id="1069841292">
      <w:bodyDiv w:val="1"/>
      <w:marLeft w:val="0"/>
      <w:marRight w:val="0"/>
      <w:marTop w:val="0"/>
      <w:marBottom w:val="0"/>
      <w:divBdr>
        <w:top w:val="none" w:sz="0" w:space="0" w:color="auto"/>
        <w:left w:val="none" w:sz="0" w:space="0" w:color="auto"/>
        <w:bottom w:val="none" w:sz="0" w:space="0" w:color="auto"/>
        <w:right w:val="none" w:sz="0" w:space="0" w:color="auto"/>
      </w:divBdr>
      <w:divsChild>
        <w:div w:id="1717004481">
          <w:marLeft w:val="0"/>
          <w:marRight w:val="0"/>
          <w:marTop w:val="0"/>
          <w:marBottom w:val="0"/>
          <w:divBdr>
            <w:top w:val="none" w:sz="0" w:space="0" w:color="auto"/>
            <w:left w:val="none" w:sz="0" w:space="0" w:color="auto"/>
            <w:bottom w:val="none" w:sz="0" w:space="0" w:color="auto"/>
            <w:right w:val="none" w:sz="0" w:space="0" w:color="auto"/>
          </w:divBdr>
          <w:divsChild>
            <w:div w:id="969868551">
              <w:marLeft w:val="0"/>
              <w:marRight w:val="0"/>
              <w:marTop w:val="0"/>
              <w:marBottom w:val="0"/>
              <w:divBdr>
                <w:top w:val="none" w:sz="0" w:space="0" w:color="auto"/>
                <w:left w:val="none" w:sz="0" w:space="0" w:color="auto"/>
                <w:bottom w:val="none" w:sz="0" w:space="0" w:color="auto"/>
                <w:right w:val="none" w:sz="0" w:space="0" w:color="auto"/>
              </w:divBdr>
            </w:div>
          </w:divsChild>
        </w:div>
        <w:div w:id="909921957">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4422">
      <w:bodyDiv w:val="1"/>
      <w:marLeft w:val="0"/>
      <w:marRight w:val="0"/>
      <w:marTop w:val="0"/>
      <w:marBottom w:val="0"/>
      <w:divBdr>
        <w:top w:val="none" w:sz="0" w:space="0" w:color="auto"/>
        <w:left w:val="none" w:sz="0" w:space="0" w:color="auto"/>
        <w:bottom w:val="none" w:sz="0" w:space="0" w:color="auto"/>
        <w:right w:val="none" w:sz="0" w:space="0" w:color="auto"/>
      </w:divBdr>
    </w:div>
    <w:div w:id="1124038844">
      <w:bodyDiv w:val="1"/>
      <w:marLeft w:val="0"/>
      <w:marRight w:val="0"/>
      <w:marTop w:val="0"/>
      <w:marBottom w:val="0"/>
      <w:divBdr>
        <w:top w:val="none" w:sz="0" w:space="0" w:color="auto"/>
        <w:left w:val="none" w:sz="0" w:space="0" w:color="auto"/>
        <w:bottom w:val="none" w:sz="0" w:space="0" w:color="auto"/>
        <w:right w:val="none" w:sz="0" w:space="0" w:color="auto"/>
      </w:divBdr>
    </w:div>
    <w:div w:id="1127896204">
      <w:bodyDiv w:val="1"/>
      <w:marLeft w:val="0"/>
      <w:marRight w:val="0"/>
      <w:marTop w:val="0"/>
      <w:marBottom w:val="0"/>
      <w:divBdr>
        <w:top w:val="none" w:sz="0" w:space="0" w:color="auto"/>
        <w:left w:val="none" w:sz="0" w:space="0" w:color="auto"/>
        <w:bottom w:val="none" w:sz="0" w:space="0" w:color="auto"/>
        <w:right w:val="none" w:sz="0" w:space="0" w:color="auto"/>
      </w:divBdr>
    </w:div>
    <w:div w:id="1213737753">
      <w:bodyDiv w:val="1"/>
      <w:marLeft w:val="0"/>
      <w:marRight w:val="0"/>
      <w:marTop w:val="0"/>
      <w:marBottom w:val="0"/>
      <w:divBdr>
        <w:top w:val="none" w:sz="0" w:space="0" w:color="auto"/>
        <w:left w:val="none" w:sz="0" w:space="0" w:color="auto"/>
        <w:bottom w:val="none" w:sz="0" w:space="0" w:color="auto"/>
        <w:right w:val="none" w:sz="0" w:space="0" w:color="auto"/>
      </w:divBdr>
    </w:div>
    <w:div w:id="1218469008">
      <w:bodyDiv w:val="1"/>
      <w:marLeft w:val="0"/>
      <w:marRight w:val="0"/>
      <w:marTop w:val="0"/>
      <w:marBottom w:val="0"/>
      <w:divBdr>
        <w:top w:val="none" w:sz="0" w:space="0" w:color="auto"/>
        <w:left w:val="none" w:sz="0" w:space="0" w:color="auto"/>
        <w:bottom w:val="none" w:sz="0" w:space="0" w:color="auto"/>
        <w:right w:val="none" w:sz="0" w:space="0" w:color="auto"/>
      </w:divBdr>
    </w:div>
    <w:div w:id="1224369159">
      <w:bodyDiv w:val="1"/>
      <w:marLeft w:val="0"/>
      <w:marRight w:val="0"/>
      <w:marTop w:val="0"/>
      <w:marBottom w:val="0"/>
      <w:divBdr>
        <w:top w:val="none" w:sz="0" w:space="0" w:color="auto"/>
        <w:left w:val="none" w:sz="0" w:space="0" w:color="auto"/>
        <w:bottom w:val="none" w:sz="0" w:space="0" w:color="auto"/>
        <w:right w:val="none" w:sz="0" w:space="0" w:color="auto"/>
      </w:divBdr>
    </w:div>
    <w:div w:id="1240558382">
      <w:bodyDiv w:val="1"/>
      <w:marLeft w:val="0"/>
      <w:marRight w:val="0"/>
      <w:marTop w:val="0"/>
      <w:marBottom w:val="0"/>
      <w:divBdr>
        <w:top w:val="none" w:sz="0" w:space="0" w:color="auto"/>
        <w:left w:val="none" w:sz="0" w:space="0" w:color="auto"/>
        <w:bottom w:val="none" w:sz="0" w:space="0" w:color="auto"/>
        <w:right w:val="none" w:sz="0" w:space="0" w:color="auto"/>
      </w:divBdr>
    </w:div>
    <w:div w:id="1280994628">
      <w:bodyDiv w:val="1"/>
      <w:marLeft w:val="0"/>
      <w:marRight w:val="0"/>
      <w:marTop w:val="0"/>
      <w:marBottom w:val="0"/>
      <w:divBdr>
        <w:top w:val="none" w:sz="0" w:space="0" w:color="auto"/>
        <w:left w:val="none" w:sz="0" w:space="0" w:color="auto"/>
        <w:bottom w:val="none" w:sz="0" w:space="0" w:color="auto"/>
        <w:right w:val="none" w:sz="0" w:space="0" w:color="auto"/>
      </w:divBdr>
    </w:div>
    <w:div w:id="1282027708">
      <w:bodyDiv w:val="1"/>
      <w:marLeft w:val="0"/>
      <w:marRight w:val="0"/>
      <w:marTop w:val="0"/>
      <w:marBottom w:val="0"/>
      <w:divBdr>
        <w:top w:val="none" w:sz="0" w:space="0" w:color="auto"/>
        <w:left w:val="none" w:sz="0" w:space="0" w:color="auto"/>
        <w:bottom w:val="none" w:sz="0" w:space="0" w:color="auto"/>
        <w:right w:val="none" w:sz="0" w:space="0" w:color="auto"/>
      </w:divBdr>
    </w:div>
    <w:div w:id="1294366713">
      <w:bodyDiv w:val="1"/>
      <w:marLeft w:val="0"/>
      <w:marRight w:val="0"/>
      <w:marTop w:val="0"/>
      <w:marBottom w:val="0"/>
      <w:divBdr>
        <w:top w:val="none" w:sz="0" w:space="0" w:color="auto"/>
        <w:left w:val="none" w:sz="0" w:space="0" w:color="auto"/>
        <w:bottom w:val="none" w:sz="0" w:space="0" w:color="auto"/>
        <w:right w:val="none" w:sz="0" w:space="0" w:color="auto"/>
      </w:divBdr>
    </w:div>
    <w:div w:id="1299457932">
      <w:bodyDiv w:val="1"/>
      <w:marLeft w:val="0"/>
      <w:marRight w:val="0"/>
      <w:marTop w:val="0"/>
      <w:marBottom w:val="0"/>
      <w:divBdr>
        <w:top w:val="none" w:sz="0" w:space="0" w:color="auto"/>
        <w:left w:val="none" w:sz="0" w:space="0" w:color="auto"/>
        <w:bottom w:val="none" w:sz="0" w:space="0" w:color="auto"/>
        <w:right w:val="none" w:sz="0" w:space="0" w:color="auto"/>
      </w:divBdr>
    </w:div>
    <w:div w:id="1301038232">
      <w:bodyDiv w:val="1"/>
      <w:marLeft w:val="0"/>
      <w:marRight w:val="0"/>
      <w:marTop w:val="0"/>
      <w:marBottom w:val="0"/>
      <w:divBdr>
        <w:top w:val="none" w:sz="0" w:space="0" w:color="auto"/>
        <w:left w:val="none" w:sz="0" w:space="0" w:color="auto"/>
        <w:bottom w:val="none" w:sz="0" w:space="0" w:color="auto"/>
        <w:right w:val="none" w:sz="0" w:space="0" w:color="auto"/>
      </w:divBdr>
      <w:divsChild>
        <w:div w:id="1350255242">
          <w:marLeft w:val="0"/>
          <w:marRight w:val="0"/>
          <w:marTop w:val="0"/>
          <w:marBottom w:val="0"/>
          <w:divBdr>
            <w:top w:val="none" w:sz="0" w:space="0" w:color="auto"/>
            <w:left w:val="none" w:sz="0" w:space="0" w:color="auto"/>
            <w:bottom w:val="none" w:sz="0" w:space="0" w:color="auto"/>
            <w:right w:val="none" w:sz="0" w:space="0" w:color="auto"/>
          </w:divBdr>
        </w:div>
      </w:divsChild>
    </w:div>
    <w:div w:id="1356151991">
      <w:bodyDiv w:val="1"/>
      <w:marLeft w:val="0"/>
      <w:marRight w:val="0"/>
      <w:marTop w:val="0"/>
      <w:marBottom w:val="0"/>
      <w:divBdr>
        <w:top w:val="none" w:sz="0" w:space="0" w:color="auto"/>
        <w:left w:val="none" w:sz="0" w:space="0" w:color="auto"/>
        <w:bottom w:val="none" w:sz="0" w:space="0" w:color="auto"/>
        <w:right w:val="none" w:sz="0" w:space="0" w:color="auto"/>
      </w:divBdr>
    </w:div>
    <w:div w:id="1402365888">
      <w:bodyDiv w:val="1"/>
      <w:marLeft w:val="0"/>
      <w:marRight w:val="0"/>
      <w:marTop w:val="0"/>
      <w:marBottom w:val="0"/>
      <w:divBdr>
        <w:top w:val="none" w:sz="0" w:space="0" w:color="auto"/>
        <w:left w:val="none" w:sz="0" w:space="0" w:color="auto"/>
        <w:bottom w:val="none" w:sz="0" w:space="0" w:color="auto"/>
        <w:right w:val="none" w:sz="0" w:space="0" w:color="auto"/>
      </w:divBdr>
    </w:div>
    <w:div w:id="1429428241">
      <w:bodyDiv w:val="1"/>
      <w:marLeft w:val="0"/>
      <w:marRight w:val="0"/>
      <w:marTop w:val="0"/>
      <w:marBottom w:val="0"/>
      <w:divBdr>
        <w:top w:val="none" w:sz="0" w:space="0" w:color="auto"/>
        <w:left w:val="none" w:sz="0" w:space="0" w:color="auto"/>
        <w:bottom w:val="none" w:sz="0" w:space="0" w:color="auto"/>
        <w:right w:val="none" w:sz="0" w:space="0" w:color="auto"/>
      </w:divBdr>
    </w:div>
    <w:div w:id="1529178302">
      <w:bodyDiv w:val="1"/>
      <w:marLeft w:val="0"/>
      <w:marRight w:val="0"/>
      <w:marTop w:val="0"/>
      <w:marBottom w:val="0"/>
      <w:divBdr>
        <w:top w:val="none" w:sz="0" w:space="0" w:color="auto"/>
        <w:left w:val="none" w:sz="0" w:space="0" w:color="auto"/>
        <w:bottom w:val="none" w:sz="0" w:space="0" w:color="auto"/>
        <w:right w:val="none" w:sz="0" w:space="0" w:color="auto"/>
      </w:divBdr>
    </w:div>
    <w:div w:id="1585989707">
      <w:bodyDiv w:val="1"/>
      <w:marLeft w:val="0"/>
      <w:marRight w:val="0"/>
      <w:marTop w:val="0"/>
      <w:marBottom w:val="0"/>
      <w:divBdr>
        <w:top w:val="none" w:sz="0" w:space="0" w:color="auto"/>
        <w:left w:val="none" w:sz="0" w:space="0" w:color="auto"/>
        <w:bottom w:val="none" w:sz="0" w:space="0" w:color="auto"/>
        <w:right w:val="none" w:sz="0" w:space="0" w:color="auto"/>
      </w:divBdr>
    </w:div>
    <w:div w:id="1599555570">
      <w:bodyDiv w:val="1"/>
      <w:marLeft w:val="0"/>
      <w:marRight w:val="0"/>
      <w:marTop w:val="0"/>
      <w:marBottom w:val="0"/>
      <w:divBdr>
        <w:top w:val="none" w:sz="0" w:space="0" w:color="auto"/>
        <w:left w:val="none" w:sz="0" w:space="0" w:color="auto"/>
        <w:bottom w:val="none" w:sz="0" w:space="0" w:color="auto"/>
        <w:right w:val="none" w:sz="0" w:space="0" w:color="auto"/>
      </w:divBdr>
    </w:div>
    <w:div w:id="1719551895">
      <w:bodyDiv w:val="1"/>
      <w:marLeft w:val="0"/>
      <w:marRight w:val="0"/>
      <w:marTop w:val="0"/>
      <w:marBottom w:val="0"/>
      <w:divBdr>
        <w:top w:val="none" w:sz="0" w:space="0" w:color="auto"/>
        <w:left w:val="none" w:sz="0" w:space="0" w:color="auto"/>
        <w:bottom w:val="none" w:sz="0" w:space="0" w:color="auto"/>
        <w:right w:val="none" w:sz="0" w:space="0" w:color="auto"/>
      </w:divBdr>
    </w:div>
    <w:div w:id="1836147847">
      <w:bodyDiv w:val="1"/>
      <w:marLeft w:val="0"/>
      <w:marRight w:val="0"/>
      <w:marTop w:val="0"/>
      <w:marBottom w:val="0"/>
      <w:divBdr>
        <w:top w:val="none" w:sz="0" w:space="0" w:color="auto"/>
        <w:left w:val="none" w:sz="0" w:space="0" w:color="auto"/>
        <w:bottom w:val="none" w:sz="0" w:space="0" w:color="auto"/>
        <w:right w:val="none" w:sz="0" w:space="0" w:color="auto"/>
      </w:divBdr>
    </w:div>
    <w:div w:id="1897740442">
      <w:bodyDiv w:val="1"/>
      <w:marLeft w:val="0"/>
      <w:marRight w:val="0"/>
      <w:marTop w:val="0"/>
      <w:marBottom w:val="0"/>
      <w:divBdr>
        <w:top w:val="none" w:sz="0" w:space="0" w:color="auto"/>
        <w:left w:val="none" w:sz="0" w:space="0" w:color="auto"/>
        <w:bottom w:val="none" w:sz="0" w:space="0" w:color="auto"/>
        <w:right w:val="none" w:sz="0" w:space="0" w:color="auto"/>
      </w:divBdr>
    </w:div>
    <w:div w:id="1904950166">
      <w:bodyDiv w:val="1"/>
      <w:marLeft w:val="0"/>
      <w:marRight w:val="0"/>
      <w:marTop w:val="0"/>
      <w:marBottom w:val="0"/>
      <w:divBdr>
        <w:top w:val="none" w:sz="0" w:space="0" w:color="auto"/>
        <w:left w:val="none" w:sz="0" w:space="0" w:color="auto"/>
        <w:bottom w:val="none" w:sz="0" w:space="0" w:color="auto"/>
        <w:right w:val="none" w:sz="0" w:space="0" w:color="auto"/>
      </w:divBdr>
    </w:div>
    <w:div w:id="1905990659">
      <w:bodyDiv w:val="1"/>
      <w:marLeft w:val="0"/>
      <w:marRight w:val="0"/>
      <w:marTop w:val="0"/>
      <w:marBottom w:val="0"/>
      <w:divBdr>
        <w:top w:val="none" w:sz="0" w:space="0" w:color="auto"/>
        <w:left w:val="none" w:sz="0" w:space="0" w:color="auto"/>
        <w:bottom w:val="none" w:sz="0" w:space="0" w:color="auto"/>
        <w:right w:val="none" w:sz="0" w:space="0" w:color="auto"/>
      </w:divBdr>
    </w:div>
    <w:div w:id="1929000681">
      <w:bodyDiv w:val="1"/>
      <w:marLeft w:val="0"/>
      <w:marRight w:val="0"/>
      <w:marTop w:val="0"/>
      <w:marBottom w:val="0"/>
      <w:divBdr>
        <w:top w:val="none" w:sz="0" w:space="0" w:color="auto"/>
        <w:left w:val="none" w:sz="0" w:space="0" w:color="auto"/>
        <w:bottom w:val="none" w:sz="0" w:space="0" w:color="auto"/>
        <w:right w:val="none" w:sz="0" w:space="0" w:color="auto"/>
      </w:divBdr>
    </w:div>
    <w:div w:id="1935481362">
      <w:bodyDiv w:val="1"/>
      <w:marLeft w:val="0"/>
      <w:marRight w:val="0"/>
      <w:marTop w:val="0"/>
      <w:marBottom w:val="0"/>
      <w:divBdr>
        <w:top w:val="none" w:sz="0" w:space="0" w:color="auto"/>
        <w:left w:val="none" w:sz="0" w:space="0" w:color="auto"/>
        <w:bottom w:val="none" w:sz="0" w:space="0" w:color="auto"/>
        <w:right w:val="none" w:sz="0" w:space="0" w:color="auto"/>
      </w:divBdr>
    </w:div>
    <w:div w:id="1980302568">
      <w:bodyDiv w:val="1"/>
      <w:marLeft w:val="0"/>
      <w:marRight w:val="0"/>
      <w:marTop w:val="0"/>
      <w:marBottom w:val="0"/>
      <w:divBdr>
        <w:top w:val="none" w:sz="0" w:space="0" w:color="auto"/>
        <w:left w:val="none" w:sz="0" w:space="0" w:color="auto"/>
        <w:bottom w:val="none" w:sz="0" w:space="0" w:color="auto"/>
        <w:right w:val="none" w:sz="0" w:space="0" w:color="auto"/>
      </w:divBdr>
    </w:div>
    <w:div w:id="2096248498">
      <w:bodyDiv w:val="1"/>
      <w:marLeft w:val="0"/>
      <w:marRight w:val="0"/>
      <w:marTop w:val="0"/>
      <w:marBottom w:val="0"/>
      <w:divBdr>
        <w:top w:val="none" w:sz="0" w:space="0" w:color="auto"/>
        <w:left w:val="none" w:sz="0" w:space="0" w:color="auto"/>
        <w:bottom w:val="none" w:sz="0" w:space="0" w:color="auto"/>
        <w:right w:val="none" w:sz="0" w:space="0" w:color="auto"/>
      </w:divBdr>
    </w:div>
    <w:div w:id="21110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0D135C35F46F242ABD78D63C2151323" ma:contentTypeVersion="13" ma:contentTypeDescription="Create a new document." ma:contentTypeScope="" ma:versionID="4260727bfdeffa6abb1b61fc78a5d971">
  <xsd:schema xmlns:xsd="http://www.w3.org/2001/XMLSchema" xmlns:xs="http://www.w3.org/2001/XMLSchema" xmlns:p="http://schemas.microsoft.com/office/2006/metadata/properties" xmlns:ns3="fddef6a8-5936-4909-96e0-2ad7a6b1720b" xmlns:ns4="0c867391-8214-4b58-86b3-de07547409f9" targetNamespace="http://schemas.microsoft.com/office/2006/metadata/properties" ma:root="true" ma:fieldsID="47fddfb38fd1c6ae740af4923f0c4454" ns3:_="" ns4:_="">
    <xsd:import namespace="fddef6a8-5936-4909-96e0-2ad7a6b1720b"/>
    <xsd:import namespace="0c867391-8214-4b58-86b3-de07547409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4:SharedWithDetails" minOccurs="0"/>
                <xsd:element ref="ns4:SharingHintHash"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def6a8-5936-4909-96e0-2ad7a6b1720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867391-8214-4b58-86b3-de07547409f9"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SharingHintHash" ma:index="14"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04C69-CEFC-4DAA-9E4C-EDD72A0685B6}">
  <ds:schemaRefs>
    <ds:schemaRef ds:uri="http://purl.org/dc/terms/"/>
    <ds:schemaRef ds:uri="http://purl.org/dc/elements/1.1/"/>
    <ds:schemaRef ds:uri="http://schemas.microsoft.com/office/2006/metadata/properties"/>
    <ds:schemaRef ds:uri="http://schemas.microsoft.com/office/2006/documentManagement/types"/>
    <ds:schemaRef ds:uri="http://schemas.microsoft.com/office/infopath/2007/PartnerControls"/>
    <ds:schemaRef ds:uri="0c867391-8214-4b58-86b3-de07547409f9"/>
    <ds:schemaRef ds:uri="http://purl.org/dc/dcmitype/"/>
    <ds:schemaRef ds:uri="http://schemas.openxmlformats.org/package/2006/metadata/core-properties"/>
    <ds:schemaRef ds:uri="fddef6a8-5936-4909-96e0-2ad7a6b1720b"/>
    <ds:schemaRef ds:uri="http://www.w3.org/XML/1998/namespace"/>
  </ds:schemaRefs>
</ds:datastoreItem>
</file>

<file path=customXml/itemProps2.xml><?xml version="1.0" encoding="utf-8"?>
<ds:datastoreItem xmlns:ds="http://schemas.openxmlformats.org/officeDocument/2006/customXml" ds:itemID="{BC640867-ED11-447B-A3BA-6AB3B9FE05DB}">
  <ds:schemaRefs>
    <ds:schemaRef ds:uri="http://schemas.microsoft.com/sharepoint/v3/contenttype/forms"/>
  </ds:schemaRefs>
</ds:datastoreItem>
</file>

<file path=customXml/itemProps3.xml><?xml version="1.0" encoding="utf-8"?>
<ds:datastoreItem xmlns:ds="http://schemas.openxmlformats.org/officeDocument/2006/customXml" ds:itemID="{D8776E07-3B86-4FD6-97FF-8240329792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def6a8-5936-4909-96e0-2ad7a6b1720b"/>
    <ds:schemaRef ds:uri="0c867391-8214-4b58-86b3-de07547409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2F80C3-16CD-403F-9FFB-E9E7EA6351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16</Pages>
  <Words>5713</Words>
  <Characters>32566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Thornton, Philip (ILRI)</dc:creator>
  <cp:keywords/>
  <dc:description/>
  <cp:lastModifiedBy>Michael Morris</cp:lastModifiedBy>
  <cp:revision>90</cp:revision>
  <dcterms:created xsi:type="dcterms:W3CDTF">2020-07-27T13:11:00Z</dcterms:created>
  <dcterms:modified xsi:type="dcterms:W3CDTF">2020-07-27T15:08:00Z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0x01010000D135C35F46F242ABD78D63C2151323</vt:lpwstr>
  </property>
</Properties>
</file>