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7FC4" w14:textId="4FA692E1" w:rsidR="00B013A1" w:rsidRDefault="002A1A10">
      <w:r>
        <w:t>Annex Methods</w:t>
      </w:r>
    </w:p>
    <w:p w14:paraId="445D986E" w14:textId="54B94C9D" w:rsidR="002A1A10" w:rsidRDefault="002A1A10">
      <w:r>
        <w:t>GHG calculations</w:t>
      </w:r>
    </w:p>
    <w:p w14:paraId="63BD184C" w14:textId="3B014907" w:rsidR="002A1A10" w:rsidRDefault="002A1A10">
      <w:r>
        <w:t>Datasets</w:t>
      </w:r>
      <w:r w:rsidR="00947119">
        <w:t xml:space="preserve"> &amp; Documents Used</w:t>
      </w:r>
    </w:p>
    <w:p w14:paraId="75C509AD" w14:textId="60A5E718" w:rsidR="002A1A10" w:rsidRPr="00A06132" w:rsidRDefault="002A1A10" w:rsidP="002A1A10">
      <w:pPr>
        <w:pStyle w:val="FootnoteText"/>
        <w:numPr>
          <w:ilvl w:val="0"/>
          <w:numId w:val="1"/>
        </w:numPr>
      </w:pPr>
      <w:r>
        <w:t>MWE (20</w:t>
      </w:r>
      <w:r w:rsidR="008459DC">
        <w:t>17</w:t>
      </w:r>
      <w:r>
        <w:t xml:space="preserve">). </w:t>
      </w:r>
      <w:r w:rsidRPr="00A06132">
        <w:t>Uganda LULC for the year</w:t>
      </w:r>
      <w:r w:rsidR="008459DC">
        <w:t>s</w:t>
      </w:r>
      <w:r w:rsidRPr="00A06132">
        <w:t xml:space="preserve"> 2000</w:t>
      </w:r>
      <w:r w:rsidR="008459DC">
        <w:t xml:space="preserve">, 2005, 2015, 2017. </w:t>
      </w:r>
      <w:hyperlink r:id="rId6" w:history="1">
        <w:r w:rsidR="008459DC" w:rsidRPr="00954291">
          <w:rPr>
            <w:rStyle w:val="Hyperlink"/>
          </w:rPr>
          <w:t>https://data.apps.fao.org/map/catalog/static/</w:t>
        </w:r>
        <w:r w:rsidR="008459DC" w:rsidRPr="00954291">
          <w:rPr>
            <w:rStyle w:val="Hyperlink"/>
          </w:rPr>
          <w:t>a</w:t>
        </w:r>
        <w:r w:rsidR="008459DC" w:rsidRPr="00954291">
          <w:rPr>
            <w:rStyle w:val="Hyperlink"/>
          </w:rPr>
          <w:t>pi/records/00956087-b187-4327-b05e-ce7539a150b2</w:t>
        </w:r>
      </w:hyperlink>
      <w:r>
        <w:t xml:space="preserve"> </w:t>
      </w:r>
      <w:r w:rsidR="00947119">
        <w:t xml:space="preserve"> </w:t>
      </w:r>
      <w:r w:rsidR="00947119" w:rsidRPr="008F1EBB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Access date: 06 September 2023  </w:t>
      </w:r>
    </w:p>
    <w:p w14:paraId="6235D4CA" w14:textId="66F77BFE" w:rsidR="002A1A10" w:rsidRDefault="00947119" w:rsidP="002A1A10">
      <w:pPr>
        <w:pStyle w:val="ListParagraph"/>
        <w:numPr>
          <w:ilvl w:val="0"/>
          <w:numId w:val="1"/>
        </w:numPr>
      </w:pPr>
      <w:r>
        <w:t>OCHA</w:t>
      </w:r>
      <w:r w:rsidR="002A1A10" w:rsidRPr="002A1A10">
        <w:t xml:space="preserve"> (202</w:t>
      </w:r>
      <w:r>
        <w:t>3</w:t>
      </w:r>
      <w:r w:rsidR="002A1A10" w:rsidRPr="002A1A10">
        <w:t xml:space="preserve">). Uganda - Subnational Administrative Boundaries [Version 1]. </w:t>
      </w:r>
      <w:hyperlink r:id="rId7" w:history="1">
        <w:r w:rsidR="002A1A10" w:rsidRPr="00954291">
          <w:rPr>
            <w:rStyle w:val="Hyperlink"/>
          </w:rPr>
          <w:t>https://data.humdata.org/dataset/cod-ab-uga</w:t>
        </w:r>
      </w:hyperlink>
    </w:p>
    <w:p w14:paraId="40590D50" w14:textId="732A252D" w:rsidR="002A1A10" w:rsidRDefault="002A1A10" w:rsidP="002A1A10">
      <w:pPr>
        <w:pStyle w:val="ListParagraph"/>
        <w:numPr>
          <w:ilvl w:val="0"/>
          <w:numId w:val="1"/>
        </w:numPr>
      </w:pPr>
      <w:r w:rsidRPr="002A1A10">
        <w:t xml:space="preserve">Ministry of Water and Environment. (2018). Final - Uganda Forest Reference Emission Level Document - February 2018. Retrieved from </w:t>
      </w:r>
      <w:hyperlink r:id="rId8" w:history="1">
        <w:r w:rsidRPr="00954291">
          <w:rPr>
            <w:rStyle w:val="Hyperlink"/>
          </w:rPr>
          <w:t>https://www.mwe.go.ug/sites/default/files/library/Final%20-%20Uganda%20Forest%20Reference%20Emission%20Level%20Document%20-February%202018.pdf</w:t>
        </w:r>
      </w:hyperlink>
      <w:r w:rsidR="00947119">
        <w:t xml:space="preserve"> </w:t>
      </w:r>
      <w:r w:rsidR="00947119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Access date: 06 September 2023  </w:t>
      </w:r>
    </w:p>
    <w:p w14:paraId="4D3B854E" w14:textId="5B20030E" w:rsidR="002A1A10" w:rsidRDefault="00947119" w:rsidP="008459DC">
      <w:pPr>
        <w:pStyle w:val="Heading1"/>
      </w:pPr>
      <w:r w:rsidRPr="008459DC">
        <w:t>Process</w:t>
      </w:r>
    </w:p>
    <w:p w14:paraId="450FAE7E" w14:textId="297E54FE" w:rsidR="00B8460A" w:rsidRDefault="00947119" w:rsidP="00B8460A">
      <w:pPr>
        <w:pStyle w:val="Heading2"/>
      </w:pPr>
      <w:r w:rsidRPr="002838F9">
        <w:t xml:space="preserve">LULC classes </w:t>
      </w:r>
      <w:r w:rsidR="00945B01">
        <w:t>are</w:t>
      </w:r>
      <w:r w:rsidRPr="002838F9">
        <w:t xml:space="preserve"> converted to FREL </w:t>
      </w:r>
      <w:proofErr w:type="gramStart"/>
      <w:r w:rsidR="00945B01">
        <w:t>classes</w:t>
      </w:r>
      <w:proofErr w:type="gramEnd"/>
    </w:p>
    <w:p w14:paraId="0B726EE6" w14:textId="6C222E7E" w:rsidR="00B8460A" w:rsidRPr="00B8460A" w:rsidRDefault="00B8460A" w:rsidP="00B8460A">
      <w:r>
        <w:t xml:space="preserve">The LULC classes in the Uganda LULC maps for 2000, 2005, 2015 and 2017 were converted to </w:t>
      </w:r>
      <w:r w:rsidR="00E34CFE">
        <w:t xml:space="preserve">the classes used in the Uganda FREL (MWE 2018) as per </w:t>
      </w:r>
      <w:r w:rsidR="00E34CFE">
        <w:fldChar w:fldCharType="begin"/>
      </w:r>
      <w:r w:rsidR="00E34CFE">
        <w:instrText xml:space="preserve"> REF _Ref146173646 \h </w:instrText>
      </w:r>
      <w:r w:rsidR="00E34CFE">
        <w:fldChar w:fldCharType="separate"/>
      </w:r>
      <w:r w:rsidR="00E34CFE">
        <w:t xml:space="preserve">Table </w:t>
      </w:r>
      <w:r w:rsidR="00E34CFE">
        <w:rPr>
          <w:noProof/>
        </w:rPr>
        <w:t>1</w:t>
      </w:r>
      <w:r w:rsidR="00E34CFE">
        <w:fldChar w:fldCharType="end"/>
      </w:r>
      <w:r w:rsidR="00E34CFE">
        <w:t>.</w:t>
      </w:r>
    </w:p>
    <w:p w14:paraId="7BB0CB2C" w14:textId="54F690CF" w:rsidR="002838F9" w:rsidRPr="002838F9" w:rsidRDefault="002838F9" w:rsidP="002838F9">
      <w:pPr>
        <w:pStyle w:val="Caption"/>
      </w:pPr>
      <w:bookmarkStart w:id="0" w:name="_Ref1461736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A6071">
        <w:rPr>
          <w:noProof/>
        </w:rPr>
        <w:t>1</w:t>
      </w:r>
      <w:r>
        <w:fldChar w:fldCharType="end"/>
      </w:r>
      <w:bookmarkEnd w:id="0"/>
      <w:r>
        <w:t xml:space="preserve"> LULC classes from the Uganda LULC maps and their equivalent classification in the Uganda FREL</w:t>
      </w:r>
      <w:r w:rsidR="00945B01">
        <w:t xml:space="preserve"> (MWE 2018)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8"/>
        <w:gridCol w:w="2595"/>
        <w:gridCol w:w="1010"/>
      </w:tblGrid>
      <w:tr w:rsidR="00947119" w:rsidRPr="00947119" w14:paraId="0DBD7917" w14:textId="77777777" w:rsidTr="00DA6071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C640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5C3E" w14:textId="5D0143C6" w:rsidR="00947119" w:rsidRPr="00947119" w:rsidRDefault="002838F9" w:rsidP="009471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LULC classes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88BF2" w14:textId="198713B2" w:rsidR="00947119" w:rsidRPr="00947119" w:rsidRDefault="002838F9" w:rsidP="009471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FREL class</w:t>
            </w:r>
          </w:p>
        </w:tc>
      </w:tr>
      <w:tr w:rsidR="00947119" w:rsidRPr="00947119" w14:paraId="5FC27B9F" w14:textId="77777777" w:rsidTr="00DA6071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2758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3974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Plantations broadleaved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2DA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</w:t>
            </w:r>
          </w:p>
        </w:tc>
      </w:tr>
      <w:tr w:rsidR="00947119" w:rsidRPr="00947119" w14:paraId="1FEAEA0A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6837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DD92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Plantations coniferous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10D7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</w:t>
            </w:r>
          </w:p>
        </w:tc>
      </w:tr>
      <w:tr w:rsidR="00947119" w:rsidRPr="00947119" w14:paraId="6319FF1E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449F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4A13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Tropical high forest well-stocked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B39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Forest</w:t>
            </w:r>
          </w:p>
        </w:tc>
      </w:tr>
      <w:tr w:rsidR="00947119" w:rsidRPr="00947119" w14:paraId="550C0FBA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1403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A96E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Tropical high forest low-stocked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C1FE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Forest</w:t>
            </w:r>
          </w:p>
        </w:tc>
      </w:tr>
      <w:tr w:rsidR="00947119" w:rsidRPr="00947119" w14:paraId="0A6387D0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4656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1D11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0E7D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Woodland</w:t>
            </w:r>
          </w:p>
        </w:tc>
      </w:tr>
      <w:tr w:rsidR="00947119" w:rsidRPr="00947119" w14:paraId="7E6BF069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E518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BD7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Bushland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3F0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49B1EB99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E0A9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7841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Grassland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2CAF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5F45644A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2500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485E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Wetland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100B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524F4225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531D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260D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Subsistence farmland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223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7A7598D0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5F95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9E50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Commercial farmland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BF8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1BC153E6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6DF5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65C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Built up areas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6C3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6BAE7654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5819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A41A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5E4D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Water</w:t>
            </w:r>
          </w:p>
        </w:tc>
      </w:tr>
      <w:tr w:rsidR="00947119" w:rsidRPr="00947119" w14:paraId="0677995B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63DD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C5C4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Impediment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B7AF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  <w:tr w:rsidR="00947119" w:rsidRPr="00947119" w14:paraId="3C370D1C" w14:textId="77777777" w:rsidTr="00DA60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2F74D" w14:textId="77777777" w:rsidR="00947119" w:rsidRPr="00947119" w:rsidRDefault="00947119" w:rsidP="0094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60423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99147" w14:textId="77777777" w:rsidR="00947119" w:rsidRPr="00947119" w:rsidRDefault="00947119" w:rsidP="0094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9471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</w:tr>
    </w:tbl>
    <w:p w14:paraId="5F0C0926" w14:textId="27552CD6" w:rsidR="00947119" w:rsidRDefault="00947119" w:rsidP="00947119"/>
    <w:p w14:paraId="663F6F6B" w14:textId="5BAEBB56" w:rsidR="00947119" w:rsidRDefault="00947119" w:rsidP="002838F9">
      <w:pPr>
        <w:pStyle w:val="Heading2"/>
      </w:pPr>
      <w:r>
        <w:t>Automatic consistency check</w:t>
      </w:r>
      <w:r w:rsidR="002838F9">
        <w:t>s</w:t>
      </w:r>
    </w:p>
    <w:p w14:paraId="53E0F61D" w14:textId="77777777" w:rsidR="002838F9" w:rsidRDefault="008459DC" w:rsidP="00947119">
      <w:r>
        <w:t xml:space="preserve">As per section of </w:t>
      </w:r>
      <w:r w:rsidRPr="008459DC">
        <w:t>1.8.1.2</w:t>
      </w:r>
      <w:r>
        <w:t xml:space="preserve"> of the Uganda FREL</w:t>
      </w:r>
      <w:r w:rsidR="002838F9">
        <w:t xml:space="preserve"> (MWE 2018)</w:t>
      </w:r>
      <w:r>
        <w:t xml:space="preserve"> </w:t>
      </w:r>
      <w:r w:rsidR="00947119">
        <w:t>automatic consistency chec</w:t>
      </w:r>
      <w:r>
        <w:t>ks were applied</w:t>
      </w:r>
      <w:r w:rsidR="00947119">
        <w:t xml:space="preserve"> to eliminate unrealistic change trajectories. Most of these unrealistic</w:t>
      </w:r>
      <w:r w:rsidR="00947119">
        <w:t xml:space="preserve"> </w:t>
      </w:r>
      <w:r w:rsidR="00947119">
        <w:t>change trajectories covered very small areas,</w:t>
      </w:r>
      <w:r>
        <w:t xml:space="preserve"> </w:t>
      </w:r>
      <w:r w:rsidR="00947119">
        <w:t xml:space="preserve">covering </w:t>
      </w:r>
      <w:r>
        <w:t>less than</w:t>
      </w:r>
      <w:r w:rsidR="00947119">
        <w:t xml:space="preserve"> 1% of the map area. An example of an unrealistic</w:t>
      </w:r>
      <w:r w:rsidR="00947119">
        <w:t xml:space="preserve"> </w:t>
      </w:r>
      <w:r w:rsidR="00947119">
        <w:t>change trajectory would be “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 xml:space="preserve"> </w:t>
      </w:r>
      <w:r w:rsidR="00947119">
        <w:t xml:space="preserve">– </w:t>
      </w:r>
      <w:r>
        <w:t>Woodland</w:t>
      </w:r>
      <w:r w:rsidR="00947119">
        <w:t xml:space="preserve"> – 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 xml:space="preserve"> </w:t>
      </w:r>
      <w:r w:rsidR="00947119">
        <w:t xml:space="preserve">– 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947119">
        <w:t xml:space="preserve">” because a conversion from </w:t>
      </w:r>
      <w:r>
        <w:rPr>
          <w:rFonts w:ascii="Calibri" w:eastAsia="Times New Roman" w:hAnsi="Calibri" w:cs="Calibri"/>
          <w:color w:val="000000"/>
          <w:lang w:eastAsia="en-GB"/>
          <w14:ligatures w14:val="none"/>
        </w:rPr>
        <w:t>t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ropical high forest</w:t>
      </w:r>
      <w:r>
        <w:t xml:space="preserve"> </w:t>
      </w:r>
      <w:r w:rsidR="00947119">
        <w:t>to woodland and back is very unlikely. In this case, the trajectory was changed to “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 xml:space="preserve"> </w:t>
      </w:r>
      <w:r w:rsidR="00947119">
        <w:t xml:space="preserve">– 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 xml:space="preserve"> </w:t>
      </w:r>
      <w:r w:rsidR="00947119">
        <w:t xml:space="preserve">– 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 xml:space="preserve"> </w:t>
      </w:r>
      <w:r w:rsidR="00947119">
        <w:t xml:space="preserve">– </w:t>
      </w:r>
      <w:r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947119">
        <w:t>”.</w:t>
      </w:r>
      <w:r w:rsidR="00947119">
        <w:t xml:space="preserve"> </w:t>
      </w:r>
    </w:p>
    <w:p w14:paraId="303E913D" w14:textId="3AA7D69C" w:rsidR="00947119" w:rsidRDefault="00947119" w:rsidP="00947119">
      <w:r>
        <w:t>The following principles were applied in the automatic consistency check:</w:t>
      </w:r>
      <w:r>
        <w:t xml:space="preserve"> </w:t>
      </w:r>
    </w:p>
    <w:p w14:paraId="58FD2DBA" w14:textId="0F33F66B" w:rsidR="00947119" w:rsidRDefault="00947119" w:rsidP="00947119">
      <w:pPr>
        <w:pStyle w:val="ListParagraph"/>
        <w:numPr>
          <w:ilvl w:val="0"/>
          <w:numId w:val="3"/>
        </w:numPr>
      </w:pPr>
      <w:r>
        <w:t>Areas of ‘No data’ were replaced with the previous epoch’s LULC label except</w:t>
      </w:r>
      <w:r>
        <w:t xml:space="preserve"> </w:t>
      </w:r>
      <w:r>
        <w:t>for epoch 2000, where ‘No data’ was replaced with the label from epoch 2005.</w:t>
      </w:r>
      <w:r>
        <w:t xml:space="preserve"> </w:t>
      </w:r>
    </w:p>
    <w:p w14:paraId="4E896791" w14:textId="51FE5145" w:rsidR="00947119" w:rsidRDefault="00947119" w:rsidP="00947119">
      <w:pPr>
        <w:pStyle w:val="ListParagraph"/>
        <w:numPr>
          <w:ilvl w:val="0"/>
          <w:numId w:val="3"/>
        </w:numPr>
      </w:pPr>
      <w:r>
        <w:t>If water was detected in any epoch, the class label was applied to all other</w:t>
      </w:r>
      <w:r>
        <w:t xml:space="preserve"> </w:t>
      </w:r>
      <w:r>
        <w:t>epochs unless the area was classified as forest in at least 3 epochs, in which case</w:t>
      </w:r>
      <w:r>
        <w:t xml:space="preserve"> </w:t>
      </w:r>
      <w:r>
        <w:t>the area was classified as forest.</w:t>
      </w:r>
    </w:p>
    <w:p w14:paraId="24809A9C" w14:textId="6B165D82" w:rsidR="00947119" w:rsidRDefault="00947119" w:rsidP="008459DC">
      <w:pPr>
        <w:pStyle w:val="ListParagraph"/>
        <w:numPr>
          <w:ilvl w:val="0"/>
          <w:numId w:val="3"/>
        </w:numPr>
      </w:pPr>
      <w:r>
        <w:t>Areas exhibiting a single-epoch change in class label then reverting to the</w:t>
      </w:r>
      <w:r>
        <w:t xml:space="preserve"> </w:t>
      </w:r>
      <w:r>
        <w:t>previously designated class label were made consistent by re-labelling the ‘odd’</w:t>
      </w:r>
      <w:r>
        <w:t xml:space="preserve"> </w:t>
      </w:r>
      <w:r>
        <w:t>epoch to match the majority (</w:t>
      </w:r>
      <w:proofErr w:type="gramStart"/>
      <w:r>
        <w:t>i.e.</w:t>
      </w:r>
      <w:proofErr w:type="gramEnd"/>
      <w:r>
        <w:t xml:space="preserve"> </w:t>
      </w:r>
      <w:r w:rsidR="008459DC" w:rsidRPr="00947119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8459DC">
        <w:t xml:space="preserve"> </w:t>
      </w:r>
      <w:r>
        <w:t xml:space="preserve">– </w:t>
      </w:r>
      <w:r w:rsidR="008459DC">
        <w:t>Woodland</w:t>
      </w:r>
      <w:r>
        <w:t xml:space="preserve"> –</w:t>
      </w:r>
      <w:r w:rsidR="008459DC" w:rsidRPr="008459DC">
        <w:rPr>
          <w:rFonts w:ascii="Calibri" w:eastAsia="Times New Roman" w:hAnsi="Calibri" w:cs="Calibri"/>
          <w:color w:val="000000"/>
          <w:lang w:eastAsia="en-GB"/>
          <w14:ligatures w14:val="none"/>
        </w:rPr>
        <w:t xml:space="preserve"> </w:t>
      </w:r>
      <w:r w:rsidR="008459DC" w:rsidRPr="008459DC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8459DC">
        <w:t xml:space="preserve"> </w:t>
      </w:r>
      <w:r>
        <w:t xml:space="preserve">becomes </w:t>
      </w:r>
      <w:r w:rsidR="008459DC" w:rsidRPr="008459DC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8459DC">
        <w:t xml:space="preserve"> </w:t>
      </w:r>
      <w:r>
        <w:t xml:space="preserve">– </w:t>
      </w:r>
      <w:r w:rsidR="008459DC" w:rsidRPr="008459DC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 w:rsidR="008459DC">
        <w:t xml:space="preserve"> </w:t>
      </w:r>
      <w:r>
        <w:t xml:space="preserve">– </w:t>
      </w:r>
      <w:r w:rsidR="008459DC" w:rsidRPr="008459DC">
        <w:rPr>
          <w:rFonts w:ascii="Calibri" w:eastAsia="Times New Roman" w:hAnsi="Calibri" w:cs="Calibri"/>
          <w:color w:val="000000"/>
          <w:lang w:eastAsia="en-GB"/>
          <w14:ligatures w14:val="none"/>
        </w:rPr>
        <w:t>Tropical high forest</w:t>
      </w:r>
      <w:r>
        <w:t>).</w:t>
      </w:r>
    </w:p>
    <w:p w14:paraId="1690BF25" w14:textId="62FEFF02" w:rsidR="008459DC" w:rsidRDefault="00947119" w:rsidP="008459DC">
      <w:pPr>
        <w:pStyle w:val="ListParagraph"/>
        <w:numPr>
          <w:ilvl w:val="0"/>
          <w:numId w:val="3"/>
        </w:numPr>
      </w:pPr>
      <w:r>
        <w:t>Areas where natural forest was detected after an epoch mapped as non</w:t>
      </w:r>
      <w:r w:rsidR="008459DC">
        <w:t>-</w:t>
      </w:r>
      <w:r>
        <w:t>forest,</w:t>
      </w:r>
      <w:r>
        <w:t xml:space="preserve"> </w:t>
      </w:r>
      <w:r>
        <w:t>also the non</w:t>
      </w:r>
      <w:r w:rsidR="008459DC">
        <w:t>-</w:t>
      </w:r>
      <w:r>
        <w:t>forest epoch was reclassified to natural forest. This was not applied</w:t>
      </w:r>
      <w:r>
        <w:t xml:space="preserve"> </w:t>
      </w:r>
      <w:r>
        <w:t xml:space="preserve">to </w:t>
      </w:r>
      <w:r w:rsidR="008459DC">
        <w:t>plantations.</w:t>
      </w:r>
    </w:p>
    <w:p w14:paraId="080BC1F1" w14:textId="5A9976D9" w:rsidR="008459DC" w:rsidRDefault="0021209E" w:rsidP="002838F9">
      <w:pPr>
        <w:pStyle w:val="Heading2"/>
      </w:pPr>
      <w:r>
        <w:t>Calculate FREL class changes</w:t>
      </w:r>
    </w:p>
    <w:p w14:paraId="0924C1AE" w14:textId="125B72F5" w:rsidR="008459DC" w:rsidRDefault="002838F9" w:rsidP="008459DC">
      <w:r>
        <w:t>C</w:t>
      </w:r>
      <w:r w:rsidR="008459DC">
        <w:t>hange</w:t>
      </w:r>
      <w:r>
        <w:t xml:space="preserve"> in forest, woodland or plantation cover</w:t>
      </w:r>
      <w:r w:rsidR="008459DC">
        <w:t xml:space="preserve"> was calculated</w:t>
      </w:r>
      <w:r>
        <w:t xml:space="preserve"> in ha</w:t>
      </w:r>
      <w:r w:rsidR="008459DC">
        <w:t xml:space="preserve"> </w:t>
      </w:r>
      <w:r>
        <w:t>by comparing the</w:t>
      </w:r>
      <w:r w:rsidR="008459DC">
        <w:t xml:space="preserve"> 2000 and 2017 </w:t>
      </w:r>
      <w:r>
        <w:t xml:space="preserve">LULC </w:t>
      </w:r>
      <w:r w:rsidR="008459DC">
        <w:t>maps.</w:t>
      </w:r>
      <w:r>
        <w:t xml:space="preserve"> We focus on woodland in this analysis as plantations and tropical high forests only account for a tiny fraction of the total cover</w:t>
      </w:r>
      <w:r w:rsidR="0053628D">
        <w:t xml:space="preserve"> (&lt;0.2%, </w:t>
      </w:r>
      <w:r w:rsidR="0053628D">
        <w:fldChar w:fldCharType="begin"/>
      </w:r>
      <w:r w:rsidR="0053628D">
        <w:instrText xml:space="preserve"> REF _Ref146174475 \h </w:instrText>
      </w:r>
      <w:r w:rsidR="0053628D">
        <w:fldChar w:fldCharType="separate"/>
      </w:r>
      <w:r w:rsidR="0053628D">
        <w:t xml:space="preserve">Table </w:t>
      </w:r>
      <w:r w:rsidR="0053628D">
        <w:rPr>
          <w:noProof/>
        </w:rPr>
        <w:t>3</w:t>
      </w:r>
      <w:r w:rsidR="0053628D">
        <w:fldChar w:fldCharType="end"/>
      </w:r>
      <w:r w:rsidR="0053628D">
        <w:t>)</w:t>
      </w:r>
      <w:r>
        <w:t>.</w:t>
      </w:r>
    </w:p>
    <w:p w14:paraId="43DC601E" w14:textId="24B89E63" w:rsidR="00F43578" w:rsidRDefault="002838F9" w:rsidP="002838F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A6071">
        <w:rPr>
          <w:noProof/>
        </w:rPr>
        <w:t>2</w:t>
      </w:r>
      <w:r>
        <w:fldChar w:fldCharType="end"/>
      </w:r>
      <w:r>
        <w:t xml:space="preserve"> Total area of each district in this proposal (</w:t>
      </w:r>
      <w:proofErr w:type="spellStart"/>
      <w:r>
        <w:t>area_ha</w:t>
      </w:r>
      <w:proofErr w:type="spellEnd"/>
      <w:r>
        <w:t>) and the area (ha) of stable and changing FREL classes in each district</w:t>
      </w:r>
      <w:r w:rsidR="0053628D">
        <w:t xml:space="preserve"> between 2000 and 2017.</w:t>
      </w:r>
    </w:p>
    <w:p w14:paraId="1CC6EF58" w14:textId="148C1714" w:rsidR="00F43578" w:rsidRDefault="00F43578" w:rsidP="008459DC">
      <w:r w:rsidRPr="00F43578">
        <w:drawing>
          <wp:inline distT="0" distB="0" distL="0" distR="0" wp14:anchorId="409D9206" wp14:editId="1D27E7D7">
            <wp:extent cx="5943600" cy="2698115"/>
            <wp:effectExtent l="0" t="0" r="0" b="6985"/>
            <wp:docPr id="21871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93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23D8" w14:textId="4E85C5E5" w:rsidR="0053628D" w:rsidRDefault="0053628D" w:rsidP="0053628D">
      <w:pPr>
        <w:pStyle w:val="Caption"/>
      </w:pPr>
      <w:bookmarkStart w:id="1" w:name="_Ref1461744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A6071">
        <w:rPr>
          <w:noProof/>
        </w:rPr>
        <w:t>3</w:t>
      </w:r>
      <w:r>
        <w:fldChar w:fldCharType="end"/>
      </w:r>
      <w:bookmarkEnd w:id="1"/>
      <w:r>
        <w:t xml:space="preserve"> Change classes totals as the percentage of the total project area (2000 vs 2017).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6"/>
        <w:gridCol w:w="1255"/>
      </w:tblGrid>
      <w:tr w:rsidR="0053628D" w:rsidRPr="0053628D" w14:paraId="45DF4141" w14:textId="77777777" w:rsidTr="0053628D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2E12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FREL 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74DC4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Total area (%)</w:t>
            </w:r>
          </w:p>
        </w:tc>
      </w:tr>
      <w:tr w:rsidR="0053628D" w:rsidRPr="0053628D" w14:paraId="4FC33AC2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2791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AE0E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0.05</w:t>
            </w:r>
          </w:p>
        </w:tc>
      </w:tr>
      <w:tr w:rsidR="0053628D" w:rsidRPr="0053628D" w14:paraId="33862A61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FF11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F9CE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66.34</w:t>
            </w:r>
          </w:p>
        </w:tc>
      </w:tr>
      <w:tr w:rsidR="0053628D" w:rsidRPr="0053628D" w14:paraId="5BF47F0E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9D36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Woodland-&gt;</w:t>
            </w:r>
            <w:proofErr w:type="gramStart"/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EF84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25.55</w:t>
            </w:r>
          </w:p>
        </w:tc>
      </w:tr>
      <w:tr w:rsidR="0053628D" w:rsidRPr="0053628D" w14:paraId="285A0759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2FB3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Non-forest-&gt;Woodland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A49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2.42</w:t>
            </w:r>
          </w:p>
        </w:tc>
      </w:tr>
      <w:tr w:rsidR="0053628D" w:rsidRPr="0053628D" w14:paraId="1529353C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96FC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F71F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5.05</w:t>
            </w:r>
          </w:p>
        </w:tc>
      </w:tr>
      <w:tr w:rsidR="0053628D" w:rsidRPr="0053628D" w14:paraId="3A6D50EE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F185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7A65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0.47</w:t>
            </w:r>
          </w:p>
        </w:tc>
      </w:tr>
      <w:tr w:rsidR="0053628D" w:rsidRPr="0053628D" w14:paraId="634C0ABE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84F1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Woodland-&gt;Plantation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DA27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0.03</w:t>
            </w:r>
          </w:p>
        </w:tc>
      </w:tr>
      <w:tr w:rsidR="0053628D" w:rsidRPr="0053628D" w14:paraId="3F8E389F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0F89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Non-forest-&gt;Plantation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E5EB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0.08</w:t>
            </w:r>
          </w:p>
        </w:tc>
      </w:tr>
      <w:tr w:rsidR="0053628D" w:rsidRPr="0053628D" w14:paraId="2C089CB4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F3D8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Plantation-&gt;</w:t>
            </w:r>
            <w:proofErr w:type="gramStart"/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7545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53628D" w:rsidRPr="0053628D" w14:paraId="5A314BBF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678D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74F9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53628D" w:rsidRPr="0053628D" w14:paraId="46D07C31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CFAE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Plantation-&gt;Woodland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1243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</w:t>
            </w:r>
          </w:p>
        </w:tc>
      </w:tr>
      <w:tr w:rsidR="0053628D" w:rsidRPr="0053628D" w14:paraId="6EFBE86A" w14:textId="77777777" w:rsidTr="005362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93433" w14:textId="77777777" w:rsidR="0053628D" w:rsidRPr="0053628D" w:rsidRDefault="0053628D" w:rsidP="00536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Non-forest-&gt;Forest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45E8B" w14:textId="77777777" w:rsidR="0053628D" w:rsidRPr="0053628D" w:rsidRDefault="0053628D" w:rsidP="00536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5362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</w:t>
            </w:r>
          </w:p>
        </w:tc>
      </w:tr>
    </w:tbl>
    <w:p w14:paraId="049071D5" w14:textId="346B9C58" w:rsidR="0003466E" w:rsidRDefault="0003466E" w:rsidP="008459DC"/>
    <w:p w14:paraId="1F59BD01" w14:textId="64EF7D56" w:rsidR="0037587E" w:rsidRPr="0037587E" w:rsidRDefault="0037587E" w:rsidP="0037587E">
      <w:pPr>
        <w:pStyle w:val="Heading2"/>
      </w:pPr>
      <w:r>
        <w:t>C</w:t>
      </w:r>
      <w:r w:rsidR="0003466E">
        <w:t xml:space="preserve">alculate change in woodland </w:t>
      </w:r>
      <w:proofErr w:type="gramStart"/>
      <w:r w:rsidR="0003466E">
        <w:t>cover</w:t>
      </w:r>
      <w:proofErr w:type="gramEnd"/>
    </w:p>
    <w:p w14:paraId="6C8A6223" w14:textId="3B2BEAC7" w:rsidR="0003466E" w:rsidRPr="0003466E" w:rsidRDefault="0037587E" w:rsidP="0003466E">
      <w:r w:rsidRPr="0037587E">
        <w:t>We calculate the percentage change in woodland cover and the compound rate of change for 2000-2017</w:t>
      </w:r>
      <w:r>
        <w:t xml:space="preserve">. </w:t>
      </w:r>
      <w:r w:rsidR="0003466E">
        <w:t xml:space="preserve">Compound rate of change was calculated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Woodland 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2017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Woodland 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2000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years</m:t>
                </m:r>
              </m:den>
            </m:f>
          </m:sup>
        </m:sSup>
      </m:oMath>
      <w:r w:rsidR="0003466E">
        <w:t xml:space="preserve"> where years is 17.</w:t>
      </w:r>
    </w:p>
    <w:p w14:paraId="50BED693" w14:textId="2DEBB06C" w:rsidR="0053628D" w:rsidRDefault="00A30FC3" w:rsidP="00A30FC3">
      <w:pPr>
        <w:pStyle w:val="Caption"/>
      </w:pPr>
      <w:bookmarkStart w:id="2" w:name="_Ref1461769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A6071">
        <w:rPr>
          <w:noProof/>
        </w:rPr>
        <w:t>4</w:t>
      </w:r>
      <w:r>
        <w:fldChar w:fldCharType="end"/>
      </w:r>
      <w:bookmarkEnd w:id="2"/>
      <w:r>
        <w:t xml:space="preserve"> </w:t>
      </w:r>
      <w:r w:rsidR="00A2379D">
        <w:t>Change in woodland cover</w:t>
      </w:r>
      <w:r w:rsidR="00DA6071">
        <w:t xml:space="preserve"> between 2000 and 2017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2"/>
        <w:gridCol w:w="1342"/>
        <w:gridCol w:w="1342"/>
        <w:gridCol w:w="1400"/>
        <w:gridCol w:w="1054"/>
        <w:gridCol w:w="1669"/>
      </w:tblGrid>
      <w:tr w:rsidR="00054D8F" w:rsidRPr="00DA6071" w14:paraId="3B87646D" w14:textId="77777777" w:rsidTr="00295B04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C1A81" w14:textId="334F21DF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656D" w14:textId="1D1AD666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Total 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20</w:t>
            </w: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00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(ha)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6FC63" w14:textId="37F8FBC9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Total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20</w:t>
            </w: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17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(ha)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8ED42B" w14:textId="672E8DAB" w:rsidR="00054D8F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N</w:t>
            </w: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et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change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(ha)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D3882" w14:textId="23F8818D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C</w:t>
            </w: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hange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DA533" w14:textId="2996EBCD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DA60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Compound rate (%)</w:t>
            </w:r>
          </w:p>
        </w:tc>
      </w:tr>
      <w:tr w:rsidR="00054D8F" w:rsidRPr="00DA6071" w14:paraId="7579B357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8DB3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Abim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1AD6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4249.325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3891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2899.428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84471" w14:textId="7FFDC47D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-1349.9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EEB0" w14:textId="6673A971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B1E1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-2.2</w:t>
            </w:r>
          </w:p>
        </w:tc>
      </w:tr>
      <w:tr w:rsidR="00054D8F" w:rsidRPr="00DA6071" w14:paraId="30B09DD3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100F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Agago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4F5D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9968.94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8F82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863.8223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C25CD" w14:textId="4567FAC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-9105.12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3735" w14:textId="14C96DF6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C2F2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-13.4</w:t>
            </w:r>
          </w:p>
        </w:tc>
      </w:tr>
      <w:tr w:rsidR="00054D8F" w:rsidRPr="00DA6071" w14:paraId="43845E05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6E50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Amuru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5ACB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21959.08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1627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2389.671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AF21D" w14:textId="410C7870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-19569.4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D27A" w14:textId="0A89E1E0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52FC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-12.2</w:t>
            </w:r>
          </w:p>
        </w:tc>
      </w:tr>
      <w:tr w:rsidR="00054D8F" w:rsidRPr="00DA6071" w14:paraId="258CC624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C2CD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Arua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6F30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2784.978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6266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1185.201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EDC2F" w14:textId="167539DB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-1599.78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B45B" w14:textId="7B0ACA46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D9B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-4.9</w:t>
            </w:r>
          </w:p>
        </w:tc>
      </w:tr>
      <w:tr w:rsidR="00054D8F" w:rsidRPr="00DA6071" w14:paraId="35337A4C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CF6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Karenga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35AD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3554.431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F900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3534.891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8AD2F" w14:textId="2A393FE1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-19.5402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55F6" w14:textId="3DF42A54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737D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</w:t>
            </w:r>
          </w:p>
        </w:tc>
      </w:tr>
      <w:tr w:rsidR="00054D8F" w:rsidRPr="00DA6071" w14:paraId="042C5CD3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8111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Kitgum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A29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6803.152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B9EA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2906.182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67B88" w14:textId="715472DA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-3896.97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29BD" w14:textId="4A1F3163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86F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-4.9</w:t>
            </w:r>
          </w:p>
        </w:tc>
      </w:tr>
      <w:tr w:rsidR="00054D8F" w:rsidRPr="00DA6071" w14:paraId="777D2862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BD9B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Koboko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4C8C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2597.14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8D3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544.4251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C79A" w14:textId="4FC70669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-2052.71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B0E" w14:textId="05F7482E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6137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-8.8</w:t>
            </w:r>
          </w:p>
        </w:tc>
      </w:tr>
      <w:tr w:rsidR="00054D8F" w:rsidRPr="00DA6071" w14:paraId="487BA423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3AA7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Lamwo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0B55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15367.99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9438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1785.635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6394E" w14:textId="214DD5AB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-13582.4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81A" w14:textId="7F64607B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-88.4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AC89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-11.9</w:t>
            </w:r>
          </w:p>
        </w:tc>
      </w:tr>
      <w:tr w:rsidR="00054D8F" w:rsidRPr="00DA6071" w14:paraId="30A363DF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BE8A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Maracha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057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15.30802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44F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31.15631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21107" w14:textId="420ACDB3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15.8483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2836" w14:textId="11834D88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103.5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6D79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4.3</w:t>
            </w:r>
          </w:p>
        </w:tc>
      </w:tr>
      <w:tr w:rsidR="00054D8F" w:rsidRPr="00DA6071" w14:paraId="2BBB3BCA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1C3C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Moyo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EF2D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4624.461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814B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2030.383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AFEB2" w14:textId="338217EE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-2594.08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F2F6" w14:textId="4F1B3988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A39B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-4.7</w:t>
            </w:r>
          </w:p>
        </w:tc>
      </w:tr>
      <w:tr w:rsidR="00054D8F" w:rsidRPr="00DA6071" w14:paraId="4D3CE87D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7CFD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Nwoya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29C7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20215.58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7C26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4654.717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D706D" w14:textId="20DCDF61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-15560.9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BB3D" w14:textId="48F6AA3B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C92F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-8.3</w:t>
            </w:r>
          </w:p>
        </w:tc>
      </w:tr>
      <w:tr w:rsidR="00054D8F" w:rsidRPr="00DA6071" w14:paraId="58F4BE10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EA23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A951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3202.797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0BA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423.4917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09CD4" w14:textId="54723E84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-2779.31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636B" w14:textId="473D4443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BD2A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-11.2</w:t>
            </w:r>
          </w:p>
        </w:tc>
      </w:tr>
      <w:tr w:rsidR="00054D8F" w:rsidRPr="00DA6071" w14:paraId="069CDF52" w14:textId="77777777" w:rsidTr="00295B0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C426E" w14:textId="77777777" w:rsidR="00054D8F" w:rsidRPr="00A2379D" w:rsidRDefault="00054D8F" w:rsidP="00054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8BEB3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95343.18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8974B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23249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2F3722" w14:textId="3DD52339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-72094.2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0EFE9" w14:textId="15A99113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-75.6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0AB6A" w14:textId="77777777" w:rsidR="00054D8F" w:rsidRPr="00A2379D" w:rsidRDefault="00054D8F" w:rsidP="00054D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237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-8</w:t>
            </w:r>
          </w:p>
        </w:tc>
      </w:tr>
    </w:tbl>
    <w:p w14:paraId="4E6493B6" w14:textId="217A969B" w:rsidR="00A2379D" w:rsidRDefault="00A2379D" w:rsidP="008459DC"/>
    <w:p w14:paraId="76F077FF" w14:textId="4774EB35" w:rsidR="0003466E" w:rsidRDefault="0037587E" w:rsidP="0003466E">
      <w:pPr>
        <w:pStyle w:val="Heading2"/>
      </w:pPr>
      <w:r>
        <w:t>Calculate</w:t>
      </w:r>
      <w:r w:rsidR="00A30FC3">
        <w:t xml:space="preserve"> </w:t>
      </w:r>
      <w:proofErr w:type="gramStart"/>
      <w:r w:rsidR="00A30FC3">
        <w:t>emissions</w:t>
      </w:r>
      <w:proofErr w:type="gramEnd"/>
    </w:p>
    <w:p w14:paraId="572E7D64" w14:textId="68DB3010" w:rsidR="0003466E" w:rsidRDefault="00A30FC3" w:rsidP="0003466E">
      <w:r>
        <w:t xml:space="preserve">We convert change in woodland (Woodland net change in </w:t>
      </w:r>
      <w:r>
        <w:fldChar w:fldCharType="begin"/>
      </w:r>
      <w:r>
        <w:instrText xml:space="preserve"> REF _Ref146176978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>) to emissions u</w:t>
      </w:r>
      <w:r w:rsidR="0003466E">
        <w:t>sing the emission factors (EF) presented in Table 11 of the Uganda FREL where the conversion of woodland to non-forest has an EF of 91 tCO</w:t>
      </w:r>
      <w:r w:rsidR="0003466E" w:rsidRPr="0003466E">
        <w:rPr>
          <w:vertAlign w:val="subscript"/>
        </w:rPr>
        <w:t>2</w:t>
      </w:r>
      <w:r w:rsidR="0003466E">
        <w:t>/ha</w:t>
      </w:r>
      <w:r>
        <w:t xml:space="preserve"> (MWE 2017)</w:t>
      </w:r>
      <w:r w:rsidR="0003466E">
        <w:t xml:space="preserve">. </w:t>
      </w:r>
      <w:r>
        <w:t>Then using the compound rate of woodland loss (</w:t>
      </w:r>
      <w:r>
        <w:fldChar w:fldCharType="begin"/>
      </w:r>
      <w:r>
        <w:instrText xml:space="preserve"> REF _Ref146176978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>) for the historical period we estimate woodland loss in 2018 and convert this to emissions using the woodland EF.</w:t>
      </w:r>
    </w:p>
    <w:p w14:paraId="4129180B" w14:textId="1A9A2018" w:rsidR="00DA6071" w:rsidRDefault="00DA6071" w:rsidP="00DA607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Emissions from change in woodland cover and project change in woodland cover and associated emissions for 2018.</w:t>
      </w:r>
    </w:p>
    <w:tbl>
      <w:tblPr>
        <w:tblW w:w="4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</w:tblGrid>
      <w:tr w:rsidR="00A30FC3" w:rsidRPr="00A30FC3" w14:paraId="1351DEAE" w14:textId="77777777" w:rsidTr="00A30FC3">
        <w:trPr>
          <w:trHeight w:val="287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701EA" w14:textId="18950564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District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2959" w14:textId="211DFFCA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Emissions 2000-2017 (Mt)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3624" w14:textId="062A557B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Projected Loss 2018 (ha)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5D1C0" w14:textId="4B793D15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Projected Emissions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2018</w:t>
            </w: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 xml:space="preserve"> (Mt)</w:t>
            </w:r>
          </w:p>
        </w:tc>
      </w:tr>
      <w:tr w:rsidR="00A30FC3" w:rsidRPr="00A30FC3" w14:paraId="72F8A63B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75FA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Abim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DD92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0.123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1D8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-64.466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B442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0.006</w:t>
            </w:r>
          </w:p>
        </w:tc>
      </w:tr>
      <w:tr w:rsidR="00A30FC3" w:rsidRPr="00A30FC3" w14:paraId="195990AB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08CA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Agago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01D3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0.829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F0B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-115.755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580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0.011</w:t>
            </w:r>
          </w:p>
        </w:tc>
      </w:tr>
      <w:tr w:rsidR="00A30FC3" w:rsidRPr="00A30FC3" w14:paraId="4FF1C6B8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AF84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Amuru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0D32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1.781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5C4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-292.302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440B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0.027</w:t>
            </w:r>
          </w:p>
        </w:tc>
      </w:tr>
      <w:tr w:rsidR="00A30FC3" w:rsidRPr="00A30FC3" w14:paraId="40CF50A1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67B9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Arua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E6BD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0.146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EC4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-58.09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3C60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</w:tr>
      <w:tr w:rsidR="00A30FC3" w:rsidRPr="00A30FC3" w14:paraId="008CF6DA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E69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Karenga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FEC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E84A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-1.146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1EDF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0.000</w:t>
            </w:r>
          </w:p>
        </w:tc>
      </w:tr>
      <w:tr w:rsidR="00A30FC3" w:rsidRPr="00A30FC3" w14:paraId="3C29A77E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C942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Kitgum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CE6E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0.355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504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-141.825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B93C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0.013</w:t>
            </w:r>
          </w:p>
        </w:tc>
      </w:tr>
      <w:tr w:rsidR="00A30FC3" w:rsidRPr="00A30FC3" w14:paraId="148B1B54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5036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Koboko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ED60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0.187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59D6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-47.806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380B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0.004</w:t>
            </w:r>
          </w:p>
        </w:tc>
      </w:tr>
      <w:tr w:rsidR="00A30FC3" w:rsidRPr="00A30FC3" w14:paraId="6CB5C554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2F65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Lamwo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1347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1.236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5F9D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-212.366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D52F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0.019</w:t>
            </w:r>
          </w:p>
        </w:tc>
      </w:tr>
      <w:tr w:rsidR="00A30FC3" w:rsidRPr="00A30FC3" w14:paraId="054D52FA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06FA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Maracha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682E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-0.001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91DD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1.33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AD5D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0.000</w:t>
            </w:r>
          </w:p>
        </w:tc>
      </w:tr>
      <w:tr w:rsidR="00A30FC3" w:rsidRPr="00A30FC3" w14:paraId="066C177D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B89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Moyo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8869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0.236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1356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-95.968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05E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0.009</w:t>
            </w:r>
          </w:p>
        </w:tc>
      </w:tr>
      <w:tr w:rsidR="00A30FC3" w:rsidRPr="00A30FC3" w14:paraId="51BFB036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D3C6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Nwoya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4A1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1.416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0D2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-385.227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F8A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0.035</w:t>
            </w:r>
          </w:p>
        </w:tc>
      </w:tr>
      <w:tr w:rsidR="00A30FC3" w:rsidRPr="00A30FC3" w14:paraId="496330FD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F28A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Pader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79B1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0.253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41D0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-47.518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791F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  <w14:ligatures w14:val="none"/>
              </w:rPr>
              <w:t>0.004</w:t>
            </w:r>
          </w:p>
        </w:tc>
      </w:tr>
      <w:tr w:rsidR="00A30FC3" w:rsidRPr="00A30FC3" w14:paraId="2202349A" w14:textId="77777777" w:rsidTr="00A30FC3">
        <w:trPr>
          <w:trHeight w:val="287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3FE2" w14:textId="77777777" w:rsidR="00A30FC3" w:rsidRPr="00A30FC3" w:rsidRDefault="00A30FC3" w:rsidP="00A3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Total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EC979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6.561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3F0E9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-1852.034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DFF33" w14:textId="77777777" w:rsidR="00A30FC3" w:rsidRPr="00A30FC3" w:rsidRDefault="00A30FC3" w:rsidP="00A3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</w:pPr>
            <w:r w:rsidRPr="00A30F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  <w14:ligatures w14:val="none"/>
              </w:rPr>
              <w:t>0.169</w:t>
            </w:r>
          </w:p>
        </w:tc>
      </w:tr>
    </w:tbl>
    <w:p w14:paraId="4465BAA9" w14:textId="77777777" w:rsidR="00A30FC3" w:rsidRPr="0003466E" w:rsidRDefault="00A30FC3" w:rsidP="0003466E"/>
    <w:sectPr w:rsidR="00A30FC3" w:rsidRPr="0003466E" w:rsidSect="00BE3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E01"/>
    <w:multiLevelType w:val="hybridMultilevel"/>
    <w:tmpl w:val="E5D6D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7"/>
    <w:multiLevelType w:val="hybridMultilevel"/>
    <w:tmpl w:val="4562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7FED"/>
    <w:multiLevelType w:val="hybridMultilevel"/>
    <w:tmpl w:val="CE787B58"/>
    <w:lvl w:ilvl="0" w:tplc="4D2E3F4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48795">
    <w:abstractNumId w:val="0"/>
  </w:num>
  <w:num w:numId="2" w16cid:durableId="1285964753">
    <w:abstractNumId w:val="2"/>
  </w:num>
  <w:num w:numId="3" w16cid:durableId="56310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10"/>
    <w:rsid w:val="0003466E"/>
    <w:rsid w:val="00054D8F"/>
    <w:rsid w:val="00087863"/>
    <w:rsid w:val="0021209E"/>
    <w:rsid w:val="002838F9"/>
    <w:rsid w:val="002A1A10"/>
    <w:rsid w:val="0037587E"/>
    <w:rsid w:val="0053628D"/>
    <w:rsid w:val="008459DC"/>
    <w:rsid w:val="00945B01"/>
    <w:rsid w:val="00947119"/>
    <w:rsid w:val="0098565E"/>
    <w:rsid w:val="00A2379D"/>
    <w:rsid w:val="00A30FC3"/>
    <w:rsid w:val="00B013A1"/>
    <w:rsid w:val="00B8460A"/>
    <w:rsid w:val="00BE3FA8"/>
    <w:rsid w:val="00DA6071"/>
    <w:rsid w:val="00E34CFE"/>
    <w:rsid w:val="00F4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695C"/>
  <w15:chartTrackingRefBased/>
  <w15:docId w15:val="{E4183152-E9E7-41FF-BBBC-85FA2347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DC"/>
    <w:pPr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38F9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A1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A10"/>
    <w:pPr>
      <w:spacing w:after="0" w:line="240" w:lineRule="auto"/>
    </w:pPr>
    <w:rPr>
      <w:kern w:val="2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A10"/>
    <w:rPr>
      <w:kern w:val="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1A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1A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1A1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47119"/>
  </w:style>
  <w:style w:type="character" w:styleId="FollowedHyperlink">
    <w:name w:val="FollowedHyperlink"/>
    <w:basedOn w:val="DefaultParagraphFont"/>
    <w:uiPriority w:val="99"/>
    <w:semiHidden/>
    <w:unhideWhenUsed/>
    <w:rsid w:val="008459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59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38F9"/>
  </w:style>
  <w:style w:type="paragraph" w:styleId="Caption">
    <w:name w:val="caption"/>
    <w:basedOn w:val="Normal"/>
    <w:next w:val="Normal"/>
    <w:uiPriority w:val="35"/>
    <w:unhideWhenUsed/>
    <w:qFormat/>
    <w:rsid w:val="002838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we.go.ug/sites/default/files/library/Final%20-%20Uganda%20Forest%20Reference%20Emission%20Level%20Document%20-February%202018.pdf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data.humdata.org/dataset/cod-ab-uga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apps.fao.org/map/catalog/static/api/records/00956087-b187-4327-b05e-ce7539a150b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120632A0C94BA4D129BE374B615A" ma:contentTypeVersion="9" ma:contentTypeDescription="Create a new document." ma:contentTypeScope="" ma:versionID="7b164bbe478df5acba9150f3da596e5b">
  <xsd:schema xmlns:xsd="http://www.w3.org/2001/XMLSchema" xmlns:xs="http://www.w3.org/2001/XMLSchema" xmlns:p="http://schemas.microsoft.com/office/2006/metadata/properties" xmlns:ns2="4f89f53d-af7b-4ecb-a606-c65d19253a7c" xmlns:ns3="1ed94828-4fe6-4f9a-b9fc-38efa81736f3" targetNamespace="http://schemas.microsoft.com/office/2006/metadata/properties" ma:root="true" ma:fieldsID="643afca1174bf6b48b1cd3e12a6928d9" ns2:_="" ns3:_="">
    <xsd:import namespace="4f89f53d-af7b-4ecb-a606-c65d19253a7c"/>
    <xsd:import namespace="1ed94828-4fe6-4f9a-b9fc-38efa81736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9f53d-af7b-4ecb-a606-c65d19253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94828-4fe6-4f9a-b9fc-38efa8173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743156-073E-411B-B06D-70EEE302F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E798D-765B-490C-B78F-5499843F57D1}"/>
</file>

<file path=customXml/itemProps3.xml><?xml version="1.0" encoding="utf-8"?>
<ds:datastoreItem xmlns:ds="http://schemas.openxmlformats.org/officeDocument/2006/customXml" ds:itemID="{4B707566-581A-4A89-BEDD-9AEEFD6E3189}"/>
</file>

<file path=customXml/itemProps4.xml><?xml version="1.0" encoding="utf-8"?>
<ds:datastoreItem xmlns:ds="http://schemas.openxmlformats.org/officeDocument/2006/customXml" ds:itemID="{BF41D245-3ECE-40E4-BA13-22782419A3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Steward</dc:creator>
  <cp:keywords/>
  <dc:description/>
  <cp:lastModifiedBy>Pete Steward</cp:lastModifiedBy>
  <cp:revision>9</cp:revision>
  <dcterms:created xsi:type="dcterms:W3CDTF">2023-09-20T11:20:00Z</dcterms:created>
  <dcterms:modified xsi:type="dcterms:W3CDTF">2023-09-21T05:34:00Z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0x010100B38F120632A0C94BA4D129BE374B615A</vt:lpwstr>
  </property>
</Properties>
</file>