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13B6" w14:textId="77777777" w:rsidR="001237BB" w:rsidRPr="008F1EBB" w:rsidRDefault="001237BB" w:rsidP="00A76019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</w:p>
    <w:p w14:paraId="35BA5310" w14:textId="493CD36B" w:rsidR="00912E06" w:rsidRPr="008F1EBB" w:rsidRDefault="00A10911" w:rsidP="00912E06">
      <w:pPr>
        <w:jc w:val="both"/>
        <w:rPr>
          <w:rStyle w:val="eop"/>
          <w:rFonts w:ascii="Arial" w:hAnsi="Arial" w:cs="Arial"/>
          <w:sz w:val="20"/>
          <w:szCs w:val="20"/>
          <w:shd w:val="clear" w:color="auto" w:fill="FFFFFF"/>
        </w:rPr>
      </w:pPr>
      <w:r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According to the Ministry of Water and Environment (MWE) (2022), </w:t>
      </w:r>
      <w:r w:rsidR="00ED2123"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Uganda’s GHG emission, as indicated in the updated </w:t>
      </w:r>
      <w:hyperlink r:id="rId9" w:tgtFrame="_blank" w:history="1">
        <w:r w:rsidR="00240EF5" w:rsidRPr="008F1EBB">
          <w:rPr>
            <w:rStyle w:val="Hyperlink"/>
            <w:rFonts w:ascii="Arial" w:hAnsi="Arial" w:cs="Arial"/>
            <w:color w:val="000000"/>
            <w:sz w:val="20"/>
            <w:szCs w:val="20"/>
            <w:u w:val="none"/>
            <w:bdr w:val="none" w:sz="0" w:space="0" w:color="auto" w:frame="1"/>
          </w:rPr>
          <w:t>Nationally Determined Contribution</w:t>
        </w:r>
      </w:hyperlink>
      <w:r w:rsidR="00240EF5"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A3BB7" w:rsidRPr="008F1EBB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ED2123" w:rsidRPr="008F1EBB">
        <w:rPr>
          <w:rFonts w:ascii="Arial" w:hAnsi="Arial" w:cs="Arial"/>
          <w:sz w:val="20"/>
          <w:szCs w:val="20"/>
          <w:shd w:val="clear" w:color="auto" w:fill="FFFFFF"/>
        </w:rPr>
        <w:t>NDC</w:t>
      </w:r>
      <w:r w:rsidR="00DA3BB7" w:rsidRPr="008F1EBB">
        <w:rPr>
          <w:rFonts w:ascii="Arial" w:hAnsi="Arial" w:cs="Arial"/>
          <w:sz w:val="20"/>
          <w:szCs w:val="20"/>
          <w:shd w:val="clear" w:color="auto" w:fill="FFFFFF"/>
        </w:rPr>
        <w:t>)</w:t>
      </w:r>
      <w:r w:rsidR="001B2893"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 of Uganda</w:t>
      </w:r>
      <w:r w:rsidR="00ED2123"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 in 2022, ha</w:t>
      </w:r>
      <w:r w:rsidR="00DA3BB7" w:rsidRPr="008F1EBB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ED2123"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 shown </w:t>
      </w:r>
      <w:r w:rsidR="001B2893"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an </w:t>
      </w:r>
      <w:r w:rsidR="00ED2123"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increase from 53.4 </w:t>
      </w:r>
      <w:bookmarkStart w:id="0" w:name="_Hlk146137116"/>
      <w:r w:rsidR="00ED2123" w:rsidRPr="008F1EBB">
        <w:rPr>
          <w:rFonts w:ascii="Arial" w:hAnsi="Arial" w:cs="Arial"/>
          <w:sz w:val="20"/>
          <w:szCs w:val="20"/>
          <w:shd w:val="clear" w:color="auto" w:fill="FFFFFF"/>
        </w:rPr>
        <w:t>MtCO</w:t>
      </w:r>
      <w:r w:rsidR="00ED2123" w:rsidRPr="00751AE8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2</w:t>
      </w:r>
      <w:r w:rsidR="00ED2123"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e </w:t>
      </w:r>
      <w:bookmarkEnd w:id="0"/>
      <w:r w:rsidR="00ED2123"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in 2005 to 90.1 MtCO2e in 2015. The Land Use and Land </w:t>
      </w:r>
      <w:r w:rsidR="001B2893" w:rsidRPr="008F1EBB">
        <w:rPr>
          <w:rFonts w:ascii="Arial" w:hAnsi="Arial" w:cs="Arial"/>
          <w:sz w:val="20"/>
          <w:szCs w:val="20"/>
          <w:shd w:val="clear" w:color="auto" w:fill="FFFFFF"/>
        </w:rPr>
        <w:t>C</w:t>
      </w:r>
      <w:r w:rsidR="00ED2123"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over Change and Forestry </w:t>
      </w:r>
      <w:r w:rsidR="001B2893"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sector </w:t>
      </w:r>
      <w:r w:rsidR="00ED2123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contributed the highest </w:t>
      </w:r>
      <w:r w:rsidR="00ED2123"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59.5% (53.6 </w:t>
      </w:r>
      <w:r w:rsidR="00751AE8" w:rsidRPr="008F1EBB">
        <w:rPr>
          <w:rFonts w:ascii="Arial" w:hAnsi="Arial" w:cs="Arial"/>
          <w:sz w:val="20"/>
          <w:szCs w:val="20"/>
          <w:shd w:val="clear" w:color="auto" w:fill="FFFFFF"/>
        </w:rPr>
        <w:t>MtCO</w:t>
      </w:r>
      <w:r w:rsidR="00751AE8" w:rsidRPr="00751AE8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2</w:t>
      </w:r>
      <w:r w:rsidR="00751AE8" w:rsidRPr="008F1EBB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ED2123"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) to the total </w:t>
      </w:r>
      <w:r w:rsidR="00DA3BB7"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GHG </w:t>
      </w:r>
      <w:r w:rsidR="00ED2123"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emissions. The second and third largest sources of </w:t>
      </w:r>
      <w:r w:rsidR="00DA3BB7"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GHGs </w:t>
      </w:r>
      <w:r w:rsidR="00ED2123" w:rsidRPr="008F1EBB">
        <w:rPr>
          <w:rFonts w:ascii="Arial" w:hAnsi="Arial" w:cs="Arial"/>
          <w:sz w:val="20"/>
          <w:szCs w:val="20"/>
          <w:shd w:val="clear" w:color="auto" w:fill="FFFFFF"/>
        </w:rPr>
        <w:t>emission are agriculture and energy</w:t>
      </w:r>
      <w:r w:rsidR="009C3D2D"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 sectors with 26.9%, and 10.7% contribution, respectively, to the total GHG emission at the national level. Trends in GHG emissions of sectors is shown in Fig. </w:t>
      </w:r>
      <w:r w:rsidR="00912E06" w:rsidRPr="008F1EBB">
        <w:rPr>
          <w:rFonts w:ascii="Arial" w:hAnsi="Arial" w:cs="Arial"/>
          <w:sz w:val="20"/>
          <w:szCs w:val="20"/>
          <w:shd w:val="clear" w:color="auto" w:fill="FFFFFF"/>
        </w:rPr>
        <w:t>G</w:t>
      </w:r>
      <w:r w:rsidR="009C3D2D"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 below. </w:t>
      </w:r>
      <w:r w:rsidR="00912E0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The annual greenhouse gas emission of Uganda has been increasing quasi-linearly since 1980s. Consequently, its contribution to the annual global share of CO</w:t>
      </w:r>
      <w:r w:rsidR="00912E06" w:rsidRPr="008F1EBB">
        <w:rPr>
          <w:rStyle w:val="eop"/>
          <w:rFonts w:ascii="Arial" w:hAnsi="Arial" w:cs="Arial"/>
          <w:sz w:val="20"/>
          <w:szCs w:val="20"/>
          <w:shd w:val="clear" w:color="auto" w:fill="FFFFFF"/>
          <w:vertAlign w:val="subscript"/>
        </w:rPr>
        <w:t>2</w:t>
      </w:r>
      <w:r w:rsidR="00912E0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emission has been increasing, although the magnitude is very small when compared to global emissions. Uganda’s annual share of global CO</w:t>
      </w:r>
      <w:r w:rsidR="00912E06" w:rsidRPr="008F1EBB">
        <w:rPr>
          <w:rStyle w:val="eop"/>
          <w:rFonts w:ascii="Arial" w:hAnsi="Arial" w:cs="Arial"/>
          <w:sz w:val="20"/>
          <w:szCs w:val="20"/>
          <w:shd w:val="clear" w:color="auto" w:fill="FFFFFF"/>
          <w:vertAlign w:val="subscript"/>
        </w:rPr>
        <w:t>2</w:t>
      </w:r>
      <w:r w:rsidR="00912E0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emission is shown in Fig</w:t>
      </w:r>
      <w:r w:rsidR="00374C0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="00912E0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H below. </w:t>
      </w:r>
    </w:p>
    <w:p w14:paraId="584563AE" w14:textId="5F879BBC" w:rsidR="00ED2123" w:rsidRPr="008F1EBB" w:rsidRDefault="00ED2123" w:rsidP="009E4F1A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5D1C147D" w14:textId="01B4E254" w:rsidR="00ED2123" w:rsidRPr="008F1EBB" w:rsidRDefault="009C3D2D" w:rsidP="00ED2123">
      <w:pPr>
        <w:jc w:val="both"/>
        <w:rPr>
          <w:rStyle w:val="eop"/>
          <w:rFonts w:ascii="Arial" w:hAnsi="Arial" w:cs="Arial"/>
          <w:sz w:val="20"/>
          <w:szCs w:val="20"/>
          <w:shd w:val="clear" w:color="auto" w:fill="FFFFFF"/>
        </w:rPr>
      </w:pPr>
      <w:r w:rsidRPr="008F1EB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35B6591" wp14:editId="3454363C">
            <wp:extent cx="3924502" cy="2616334"/>
            <wp:effectExtent l="0" t="0" r="0" b="0"/>
            <wp:docPr id="1234723168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23168" name="Picture 1" descr="A graph of different colored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3594" w14:textId="64D1B505" w:rsidR="009C3D2D" w:rsidRPr="008F1EBB" w:rsidRDefault="009C3D2D" w:rsidP="009C3D2D">
      <w:pPr>
        <w:rPr>
          <w:rFonts w:ascii="Arial" w:hAnsi="Arial" w:cs="Arial"/>
          <w:sz w:val="20"/>
          <w:szCs w:val="20"/>
        </w:rPr>
      </w:pPr>
      <w:r w:rsidRPr="008F1EBB">
        <w:rPr>
          <w:rFonts w:ascii="Arial" w:hAnsi="Arial" w:cs="Arial"/>
          <w:sz w:val="20"/>
          <w:szCs w:val="20"/>
        </w:rPr>
        <w:t xml:space="preserve">Figure </w:t>
      </w:r>
      <w:r w:rsidR="00912E06" w:rsidRPr="008F1EBB">
        <w:rPr>
          <w:rFonts w:ascii="Arial" w:hAnsi="Arial" w:cs="Arial"/>
          <w:sz w:val="20"/>
          <w:szCs w:val="20"/>
        </w:rPr>
        <w:t>G</w:t>
      </w:r>
      <w:r w:rsidRPr="008F1EBB">
        <w:rPr>
          <w:rFonts w:ascii="Arial" w:hAnsi="Arial" w:cs="Arial"/>
          <w:sz w:val="20"/>
          <w:szCs w:val="20"/>
        </w:rPr>
        <w:t>: Sectoral trends in GHG emissions for Uganda</w:t>
      </w:r>
      <w:r w:rsidRPr="008F1EBB">
        <w:rPr>
          <w:rFonts w:ascii="Arial" w:hAnsi="Arial" w:cs="Arial"/>
          <w:sz w:val="20"/>
          <w:szCs w:val="20"/>
        </w:rPr>
        <w:cr/>
        <w:t xml:space="preserve">source: </w:t>
      </w:r>
      <w:r w:rsidR="00A10911" w:rsidRPr="008F1EBB">
        <w:rPr>
          <w:rFonts w:ascii="Arial" w:hAnsi="Arial" w:cs="Arial"/>
          <w:sz w:val="20"/>
          <w:szCs w:val="20"/>
        </w:rPr>
        <w:t xml:space="preserve">MWE </w:t>
      </w:r>
      <w:r w:rsidRPr="008F1EBB">
        <w:rPr>
          <w:rFonts w:ascii="Arial" w:hAnsi="Arial" w:cs="Arial"/>
          <w:sz w:val="20"/>
          <w:szCs w:val="20"/>
        </w:rPr>
        <w:t>(202</w:t>
      </w:r>
      <w:r w:rsidR="00A10911" w:rsidRPr="008F1EBB">
        <w:rPr>
          <w:rFonts w:ascii="Arial" w:hAnsi="Arial" w:cs="Arial"/>
          <w:sz w:val="20"/>
          <w:szCs w:val="20"/>
        </w:rPr>
        <w:t>2</w:t>
      </w:r>
      <w:r w:rsidRPr="008F1EBB">
        <w:rPr>
          <w:rFonts w:ascii="Arial" w:hAnsi="Arial" w:cs="Arial"/>
          <w:sz w:val="20"/>
          <w:szCs w:val="20"/>
        </w:rPr>
        <w:t>)</w:t>
      </w:r>
    </w:p>
    <w:p w14:paraId="19BBB0D9" w14:textId="77777777" w:rsidR="00093439" w:rsidRPr="008F1EBB" w:rsidRDefault="00093439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</w:p>
    <w:p w14:paraId="5D651F5E" w14:textId="0B71346A" w:rsidR="00882988" w:rsidRPr="008F1EBB" w:rsidRDefault="00882988" w:rsidP="00882988">
      <w:pPr>
        <w:tabs>
          <w:tab w:val="left" w:pos="7175"/>
        </w:tabs>
        <w:rPr>
          <w:rFonts w:ascii="Arial" w:hAnsi="Arial" w:cs="Arial"/>
          <w:sz w:val="20"/>
          <w:szCs w:val="20"/>
        </w:rPr>
      </w:pPr>
      <w:r w:rsidRPr="008F1EBB">
        <w:rPr>
          <w:rFonts w:ascii="Arial" w:hAnsi="Arial" w:cs="Arial"/>
          <w:sz w:val="20"/>
          <w:szCs w:val="20"/>
        </w:rPr>
        <w:tab/>
      </w:r>
    </w:p>
    <w:p w14:paraId="7BC02143" w14:textId="7FABEBCF" w:rsidR="00093439" w:rsidRPr="008F1EBB" w:rsidRDefault="00093439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  <w:r w:rsidRPr="008F1EBB">
        <w:rPr>
          <w:rFonts w:ascii="Arial" w:hAnsi="Arial" w:cs="Arial"/>
          <w:noProof/>
          <w:sz w:val="20"/>
          <w:szCs w:val="20"/>
          <w:shd w:val="clear" w:color="auto" w:fill="FFFFFF"/>
        </w:rPr>
        <w:lastRenderedPageBreak/>
        <w:drawing>
          <wp:inline distT="0" distB="0" distL="0" distR="0" wp14:anchorId="0182574B" wp14:editId="38B4B383">
            <wp:extent cx="5731510" cy="4497705"/>
            <wp:effectExtent l="0" t="0" r="2540" b="0"/>
            <wp:docPr id="776899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99846" name="Picture 7768998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32C1" w14:textId="71BAEE67" w:rsidR="00093439" w:rsidRPr="008F1EBB" w:rsidRDefault="009C3D2D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  <w:r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Figure </w:t>
      </w:r>
      <w:r w:rsidR="00912E0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H</w:t>
      </w:r>
      <w:r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: Uganda’s annual share of global CO</w:t>
      </w:r>
      <w:r w:rsidRPr="008F1EBB">
        <w:rPr>
          <w:rStyle w:val="eop"/>
          <w:rFonts w:ascii="Arial" w:hAnsi="Arial" w:cs="Arial"/>
          <w:sz w:val="20"/>
          <w:szCs w:val="20"/>
          <w:shd w:val="clear" w:color="auto" w:fill="FFFFFF"/>
          <w:vertAlign w:val="subscript"/>
        </w:rPr>
        <w:t>2</w:t>
      </w:r>
      <w:r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emission. </w:t>
      </w:r>
      <w:r w:rsidR="00093439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Source: Global carbon budget (2023)</w:t>
      </w:r>
    </w:p>
    <w:p w14:paraId="12DCB91F" w14:textId="36F1A462" w:rsidR="001E7BD3" w:rsidRPr="008F1EBB" w:rsidRDefault="001E7BD3" w:rsidP="001704EF">
      <w:pPr>
        <w:jc w:val="both"/>
        <w:rPr>
          <w:rStyle w:val="eop"/>
          <w:rFonts w:ascii="Arial" w:hAnsi="Arial" w:cs="Arial"/>
          <w:sz w:val="20"/>
          <w:szCs w:val="20"/>
          <w:shd w:val="clear" w:color="auto" w:fill="FFFFFF"/>
        </w:rPr>
      </w:pPr>
      <w:r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Furthermore, under the </w:t>
      </w:r>
      <w:r w:rsidR="001704EF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business-as-usual</w:t>
      </w:r>
      <w:r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scenario, the total GHG emission of </w:t>
      </w:r>
      <w:r w:rsidR="001704EF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Uganda will continue to increase up to 240 MtCO</w:t>
      </w:r>
      <w:r w:rsidR="001704EF" w:rsidRPr="008F1EBB">
        <w:rPr>
          <w:rStyle w:val="eop"/>
          <w:rFonts w:ascii="Arial" w:hAnsi="Arial" w:cs="Arial"/>
          <w:sz w:val="20"/>
          <w:szCs w:val="20"/>
          <w:shd w:val="clear" w:color="auto" w:fill="FFFFFF"/>
          <w:vertAlign w:val="subscript"/>
        </w:rPr>
        <w:t>2</w:t>
      </w:r>
      <w:r w:rsidR="001704EF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e by 2050 (Fig. I). Followed by agriculture, </w:t>
      </w:r>
      <w:r w:rsidR="001704EF" w:rsidRPr="008F1EBB">
        <w:rPr>
          <w:rFonts w:ascii="Arial" w:hAnsi="Arial" w:cs="Arial"/>
          <w:sz w:val="20"/>
          <w:szCs w:val="20"/>
          <w:shd w:val="clear" w:color="auto" w:fill="FFFFFF"/>
        </w:rPr>
        <w:t>Land Use and Land Cover Change and Forestry sector will contribute the largest share to the total emission, e</w:t>
      </w:r>
      <w:r w:rsidR="001704EF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ven under the business-as-usual scenario. </w:t>
      </w:r>
    </w:p>
    <w:p w14:paraId="4E629D97" w14:textId="08CD9DA4" w:rsidR="001E7BD3" w:rsidRPr="008F1EBB" w:rsidRDefault="001E7BD3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  <w:r w:rsidRPr="008F1EBB">
        <w:rPr>
          <w:rStyle w:val="eop"/>
          <w:rFonts w:ascii="Arial" w:hAnsi="Arial" w:cs="Arial"/>
          <w:noProof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96C94B2" wp14:editId="41F5ABD3">
            <wp:simplePos x="914400" y="6766560"/>
            <wp:positionH relativeFrom="column">
              <wp:align>left</wp:align>
            </wp:positionH>
            <wp:positionV relativeFrom="paragraph">
              <wp:align>top</wp:align>
            </wp:positionV>
            <wp:extent cx="3930852" cy="2559182"/>
            <wp:effectExtent l="0" t="0" r="0" b="0"/>
            <wp:wrapSquare wrapText="bothSides"/>
            <wp:docPr id="1587558093" name="Picture 1" descr="A graph of a graph showing the amount of energy in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58093" name="Picture 1" descr="A graph of a graph showing the amount of energy in different color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A6F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br w:type="textWrapping" w:clear="all"/>
      </w:r>
    </w:p>
    <w:p w14:paraId="66191A1F" w14:textId="77777777" w:rsidR="00CB0688" w:rsidRDefault="001704EF">
      <w:pPr>
        <w:rPr>
          <w:rFonts w:ascii="Arial" w:hAnsi="Arial" w:cs="Arial"/>
          <w:sz w:val="20"/>
          <w:szCs w:val="20"/>
        </w:rPr>
      </w:pPr>
      <w:r w:rsidRPr="008F1EBB">
        <w:rPr>
          <w:rFonts w:ascii="Arial" w:hAnsi="Arial" w:cs="Arial"/>
          <w:sz w:val="20"/>
          <w:szCs w:val="20"/>
        </w:rPr>
        <w:t xml:space="preserve">Fig. I: Uganda's GHG emissions projection under the business-as-usual scenario. </w:t>
      </w:r>
    </w:p>
    <w:p w14:paraId="13463706" w14:textId="1BDF71AF" w:rsidR="001704EF" w:rsidRPr="008F1EBB" w:rsidRDefault="00CB0688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S</w:t>
      </w:r>
      <w:r w:rsidR="001704EF" w:rsidRPr="008F1EBB">
        <w:rPr>
          <w:rFonts w:ascii="Arial" w:hAnsi="Arial" w:cs="Arial"/>
          <w:sz w:val="20"/>
          <w:szCs w:val="20"/>
        </w:rPr>
        <w:t xml:space="preserve">ource: </w:t>
      </w:r>
      <w:r w:rsidR="007103AE" w:rsidRPr="008F1EBB">
        <w:rPr>
          <w:rFonts w:ascii="Arial" w:hAnsi="Arial" w:cs="Arial"/>
          <w:sz w:val="20"/>
          <w:szCs w:val="20"/>
        </w:rPr>
        <w:t>MWE</w:t>
      </w:r>
      <w:r w:rsidR="001704EF" w:rsidRPr="008F1EBB">
        <w:rPr>
          <w:rFonts w:ascii="Arial" w:hAnsi="Arial" w:cs="Arial"/>
          <w:sz w:val="20"/>
          <w:szCs w:val="20"/>
        </w:rPr>
        <w:t xml:space="preserve"> (202</w:t>
      </w:r>
      <w:r w:rsidR="007103AE" w:rsidRPr="008F1EBB">
        <w:rPr>
          <w:rFonts w:ascii="Arial" w:hAnsi="Arial" w:cs="Arial"/>
          <w:sz w:val="20"/>
          <w:szCs w:val="20"/>
        </w:rPr>
        <w:t>2</w:t>
      </w:r>
      <w:r w:rsidR="001704EF" w:rsidRPr="008F1EBB">
        <w:rPr>
          <w:rFonts w:ascii="Arial" w:hAnsi="Arial" w:cs="Arial"/>
          <w:sz w:val="20"/>
          <w:szCs w:val="20"/>
        </w:rPr>
        <w:t>)</w:t>
      </w:r>
    </w:p>
    <w:p w14:paraId="7735641B" w14:textId="77777777" w:rsidR="001E7BD3" w:rsidRPr="008F1EBB" w:rsidRDefault="001E7BD3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</w:p>
    <w:p w14:paraId="4995EF05" w14:textId="77777777" w:rsidR="00093439" w:rsidRPr="008F1EBB" w:rsidRDefault="00093439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</w:p>
    <w:p w14:paraId="6DD6A0F3" w14:textId="093F7565" w:rsidR="00882988" w:rsidRDefault="00B12110" w:rsidP="00FA5D67">
      <w:pPr>
        <w:jc w:val="both"/>
        <w:rPr>
          <w:rStyle w:val="eop"/>
          <w:rFonts w:ascii="Arial" w:hAnsi="Arial" w:cs="Arial"/>
          <w:sz w:val="20"/>
          <w:szCs w:val="20"/>
          <w:shd w:val="clear" w:color="auto" w:fill="FFFFFF"/>
        </w:rPr>
      </w:pPr>
      <w:r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For the regions of interest in Northern Uganda, </w:t>
      </w:r>
      <w:r w:rsidR="0096698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greenhouse gas emission </w:t>
      </w:r>
      <w:r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is assessed using the dominant source of emission, the land use land cover change and forestry sector. The greenhouse gas emission </w:t>
      </w:r>
      <w:r w:rsidR="0096698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analysis focused on quantifying emissions that </w:t>
      </w:r>
      <w:bookmarkStart w:id="1" w:name="_Hlk144926122"/>
      <w:r w:rsidR="0096698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land use land cover</w:t>
      </w:r>
      <w:r w:rsidR="00C91510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9151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(LULC)</w:t>
      </w:r>
      <w:r w:rsidR="0096698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change </w:t>
      </w:r>
      <w:bookmarkEnd w:id="1"/>
      <w:r w:rsidR="0096698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contribute</w:t>
      </w:r>
      <w:r w:rsidR="001B2893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d</w:t>
      </w:r>
      <w:r w:rsidR="0096698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="001237BB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In assessing land use land cover changes in the historical period, </w:t>
      </w:r>
      <w:r w:rsidR="00621D6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l</w:t>
      </w:r>
      <w:r w:rsidR="001237BB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and cover maps of 2000</w:t>
      </w:r>
      <w:r w:rsidR="00B506DB">
        <w:rPr>
          <w:rStyle w:val="FootnoteReference"/>
          <w:rFonts w:ascii="Arial" w:hAnsi="Arial" w:cs="Arial"/>
          <w:sz w:val="20"/>
          <w:szCs w:val="20"/>
          <w:shd w:val="clear" w:color="auto" w:fill="FFFFFF"/>
        </w:rPr>
        <w:footnoteReference w:id="1"/>
      </w:r>
      <w:r w:rsidR="001237BB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,  and 2017</w:t>
      </w:r>
      <w:r w:rsidR="00B506DB">
        <w:rPr>
          <w:rStyle w:val="FootnoteReference"/>
          <w:rFonts w:ascii="Arial" w:hAnsi="Arial" w:cs="Arial"/>
          <w:sz w:val="20"/>
          <w:szCs w:val="20"/>
          <w:shd w:val="clear" w:color="auto" w:fill="FFFFFF"/>
        </w:rPr>
        <w:footnoteReference w:id="2"/>
      </w:r>
      <w:r w:rsidR="00621D6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years are used</w:t>
      </w:r>
      <w:r w:rsidR="001237BB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="00A06132" w:rsidRPr="00A06132">
        <w:rPr>
          <w:rStyle w:val="eop"/>
          <w:rFonts w:ascii="Arial" w:hAnsi="Arial" w:cs="Arial"/>
          <w:sz w:val="20"/>
          <w:szCs w:val="20"/>
          <w:shd w:val="clear" w:color="auto" w:fill="FFFFFF"/>
        </w:rPr>
        <w:t>These datasets are the main products of the National LULC mapping for each epoch done by National Forestry Authority. They represent Uganda's LULC classified into 13 main classes and sub-classes according to the National Biomass Study (NBS) classification system.</w:t>
      </w:r>
      <w:r w:rsidR="00A06132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91510">
        <w:rPr>
          <w:rStyle w:val="eop"/>
          <w:rFonts w:ascii="Arial" w:hAnsi="Arial" w:cs="Arial"/>
          <w:sz w:val="20"/>
          <w:szCs w:val="20"/>
          <w:shd w:val="clear" w:color="auto" w:fill="FFFFFF"/>
        </w:rPr>
        <w:t>Following the methods laid out in the Ugand</w:t>
      </w:r>
      <w:r w:rsidR="00D3741B">
        <w:rPr>
          <w:rStyle w:val="eop"/>
          <w:rFonts w:ascii="Arial" w:hAnsi="Arial" w:cs="Arial"/>
          <w:sz w:val="20"/>
          <w:szCs w:val="20"/>
          <w:shd w:val="clear" w:color="auto" w:fill="FFFFFF"/>
        </w:rPr>
        <w:t>a</w:t>
      </w:r>
      <w:r w:rsidR="00C91510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Forest Reference Emission Level</w:t>
      </w:r>
      <w:r w:rsidR="00D3741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(FREL)</w:t>
      </w:r>
      <w:r w:rsidR="00C91510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3741B">
        <w:rPr>
          <w:rStyle w:val="eop"/>
          <w:rFonts w:ascii="Arial" w:hAnsi="Arial" w:cs="Arial"/>
          <w:sz w:val="20"/>
          <w:szCs w:val="20"/>
          <w:shd w:val="clear" w:color="auto" w:fill="FFFFFF"/>
        </w:rPr>
        <w:t>document (MWE 2018)</w:t>
      </w:r>
      <w:r w:rsidR="00C9151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3741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our </w:t>
      </w:r>
      <w:r w:rsidR="0096698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analysis focused on </w:t>
      </w:r>
      <w:r w:rsidR="001237BB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analysing</w:t>
      </w:r>
      <w:r w:rsidR="0096698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237BB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conversions among non-forest land, woodland, plantatio</w:t>
      </w:r>
      <w:r w:rsidR="00D3741B">
        <w:rPr>
          <w:rStyle w:val="eop"/>
          <w:rFonts w:ascii="Arial" w:hAnsi="Arial" w:cs="Arial"/>
          <w:sz w:val="20"/>
          <w:szCs w:val="20"/>
          <w:shd w:val="clear" w:color="auto" w:fill="FFFFFF"/>
        </w:rPr>
        <w:t>n</w:t>
      </w:r>
      <w:r w:rsidR="001237BB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21D6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land cover </w:t>
      </w:r>
      <w:r w:rsidR="001237BB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classes. </w:t>
      </w:r>
      <w:r w:rsidR="00F707F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The LULC</w:t>
      </w:r>
      <w:r w:rsidR="00D3741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change</w:t>
      </w:r>
      <w:r w:rsidR="00F707F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analysis</w:t>
      </w:r>
      <w:r w:rsidR="00F17628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(</w:t>
      </w:r>
      <w:r w:rsidR="00124A8C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Fig</w:t>
      </w:r>
      <w:r w:rsidR="00636D21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="001704EF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J</w:t>
      </w:r>
      <w:r w:rsidR="00F17628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)</w:t>
      </w:r>
      <w:r w:rsidR="00F707F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shows that woodland has decreas</w:t>
      </w:r>
      <w:r w:rsidR="00621D6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ed</w:t>
      </w:r>
      <w:r w:rsidR="00F707F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in all regions of interest except </w:t>
      </w:r>
      <w:r w:rsidR="00621D6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a </w:t>
      </w:r>
      <w:r w:rsidR="00F707F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small increase in Maracha</w:t>
      </w:r>
      <w:r w:rsidR="00621D6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region</w:t>
      </w:r>
      <w:r w:rsidR="00F707F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. </w:t>
      </w:r>
      <w:proofErr w:type="spellStart"/>
      <w:r w:rsidR="00124A8C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Agago</w:t>
      </w:r>
      <w:proofErr w:type="spellEnd"/>
      <w:r w:rsidR="00F707F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and </w:t>
      </w:r>
      <w:proofErr w:type="spellStart"/>
      <w:r w:rsidR="00F707F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Abim</w:t>
      </w:r>
      <w:proofErr w:type="spellEnd"/>
      <w:r w:rsidR="00F707F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are regions where the highest and the lowest </w:t>
      </w:r>
      <w:r w:rsidR="0089719C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percentage of </w:t>
      </w:r>
      <w:r w:rsidR="00F707F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loss in woodland </w:t>
      </w:r>
      <w:r w:rsidR="001B2893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cover</w:t>
      </w:r>
      <w:r w:rsidR="00621D6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707F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occurred. The loss in </w:t>
      </w:r>
      <w:r w:rsidR="0089719C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the </w:t>
      </w:r>
      <w:r w:rsidR="00F707F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woodland</w:t>
      </w:r>
      <w:r w:rsidR="0089719C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cover</w:t>
      </w:r>
      <w:r w:rsidR="00F707F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in the </w:t>
      </w:r>
      <w:proofErr w:type="gramStart"/>
      <w:r w:rsidR="00F707F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aforementioned regions</w:t>
      </w:r>
      <w:proofErr w:type="gramEnd"/>
      <w:r w:rsidR="00F707F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reached about 9</w:t>
      </w:r>
      <w:r w:rsidR="00124A8C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1</w:t>
      </w:r>
      <w:r w:rsidR="00F707F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% and 32%</w:t>
      </w:r>
      <w:r w:rsidR="0089719C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,</w:t>
      </w:r>
      <w:r w:rsidR="00F707F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respectively. </w:t>
      </w:r>
      <w:r w:rsidR="001B673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The </w:t>
      </w:r>
      <w:r w:rsidR="00DA3BB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conversion of </w:t>
      </w:r>
      <w:r w:rsidR="001B673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woodland to non</w:t>
      </w:r>
      <w:r w:rsidR="00636D21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-</w:t>
      </w:r>
      <w:r w:rsidR="001B673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forest land </w:t>
      </w:r>
      <w:r w:rsidR="0089719C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between 2000 and 2017 </w:t>
      </w:r>
      <w:r w:rsidR="001B673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is shown in F</w:t>
      </w:r>
      <w:r w:rsidR="00636D21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ig</w:t>
      </w:r>
      <w:r w:rsidR="00374C0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.</w:t>
      </w:r>
      <w:r w:rsidR="00636D21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704EF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K</w:t>
      </w:r>
      <w:r w:rsidR="001B673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. </w:t>
      </w:r>
    </w:p>
    <w:p w14:paraId="0E8A7ED8" w14:textId="3C5A88CE" w:rsidR="00D142DD" w:rsidRDefault="00D142DD" w:rsidP="00FA5D67">
      <w:pPr>
        <w:jc w:val="both"/>
        <w:rPr>
          <w:rStyle w:val="eop"/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noProof/>
          <w:sz w:val="20"/>
          <w:szCs w:val="20"/>
          <w:shd w:val="clear" w:color="auto" w:fill="FFFFFF"/>
        </w:rPr>
        <w:drawing>
          <wp:inline distT="0" distB="0" distL="0" distR="0" wp14:anchorId="246E28B7" wp14:editId="2165E4CD">
            <wp:extent cx="5619570" cy="2906932"/>
            <wp:effectExtent l="0" t="0" r="635" b="8255"/>
            <wp:docPr id="4564423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60" cy="2912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9C983A" w14:textId="268D9E6C" w:rsidR="00D142DD" w:rsidRPr="008F1EBB" w:rsidRDefault="00D142DD" w:rsidP="00FA5D67">
      <w:pPr>
        <w:jc w:val="both"/>
        <w:rPr>
          <w:rStyle w:val="eop"/>
          <w:rFonts w:ascii="Arial" w:hAnsi="Arial" w:cs="Arial"/>
          <w:sz w:val="20"/>
          <w:szCs w:val="20"/>
          <w:shd w:val="clear" w:color="auto" w:fill="FFFFFF"/>
        </w:rPr>
      </w:pPr>
    </w:p>
    <w:p w14:paraId="1AE930C0" w14:textId="20D7E130" w:rsidR="00966986" w:rsidRPr="008F1EBB" w:rsidRDefault="00966986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</w:p>
    <w:p w14:paraId="68A4A737" w14:textId="77777777" w:rsidR="00B74B52" w:rsidRPr="008F1EBB" w:rsidRDefault="00B74B52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</w:p>
    <w:p w14:paraId="2988648C" w14:textId="530AFCE8" w:rsidR="00124A8C" w:rsidRPr="008F1EBB" w:rsidRDefault="00636D21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  <w:r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Fig. </w:t>
      </w:r>
      <w:r w:rsidR="001704EF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J</w:t>
      </w:r>
      <w:r w:rsidR="00374C0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:</w:t>
      </w:r>
      <w:r w:rsidR="001704EF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Land use land cover change of the regions of interest during the historical (2000-2017) period.</w:t>
      </w:r>
    </w:p>
    <w:p w14:paraId="5D468598" w14:textId="56E6EFD9" w:rsidR="00F804D2" w:rsidRPr="008F1EBB" w:rsidRDefault="001B6736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  <w:r w:rsidRPr="008F1EBB">
        <w:rPr>
          <w:rStyle w:val="eop"/>
          <w:rFonts w:ascii="Arial" w:hAnsi="Arial" w:cs="Arial"/>
          <w:noProof/>
          <w:sz w:val="20"/>
          <w:szCs w:val="20"/>
          <w:shd w:val="clear" w:color="auto" w:fill="FFFFFF"/>
        </w:rPr>
        <w:lastRenderedPageBreak/>
        <w:drawing>
          <wp:inline distT="0" distB="0" distL="0" distR="0" wp14:anchorId="748C303F" wp14:editId="03B4484F">
            <wp:extent cx="5677231" cy="3851221"/>
            <wp:effectExtent l="0" t="0" r="0" b="0"/>
            <wp:docPr id="261643174" name="Picture 8" descr="A map of different regions of the fo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43174" name="Picture 8" descr="A map of different regions of the fore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85" cy="3863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D57FFA" w14:textId="78E1622D" w:rsidR="001B6736" w:rsidRPr="008F1EBB" w:rsidRDefault="00636D21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  <w:r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Fig. </w:t>
      </w:r>
      <w:r w:rsidR="001704EF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K</w:t>
      </w:r>
      <w:r w:rsidR="00374C00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:</w:t>
      </w:r>
      <w:r w:rsidR="001704EF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land use land cover conversions between 2000 and 2017, showing the dominant land cover conversion is from woodland to non-forest land cover. </w:t>
      </w:r>
    </w:p>
    <w:p w14:paraId="58C27057" w14:textId="675FE0A2" w:rsidR="00FA5D67" w:rsidRPr="008F1EBB" w:rsidRDefault="00D3741B" w:rsidP="00FA5D67">
      <w:pPr>
        <w:jc w:val="both"/>
        <w:rPr>
          <w:rStyle w:val="eop"/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sz w:val="20"/>
          <w:szCs w:val="20"/>
          <w:shd w:val="clear" w:color="auto" w:fill="FFFFFF"/>
        </w:rPr>
        <w:t>The emission factor for LULC</w:t>
      </w:r>
      <w:r w:rsidR="00E12D82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changes</w:t>
      </w:r>
      <w:r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76019">
        <w:rPr>
          <w:rStyle w:val="eop"/>
          <w:rFonts w:ascii="Arial" w:hAnsi="Arial" w:cs="Arial"/>
          <w:sz w:val="20"/>
          <w:szCs w:val="20"/>
          <w:shd w:val="clear" w:color="auto" w:fill="FFFFFF"/>
        </w:rPr>
        <w:t>is</w:t>
      </w:r>
      <w:r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converted to GHG emissions </w:t>
      </w:r>
      <w:r w:rsidR="00E12D82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using </w:t>
      </w:r>
      <w:r>
        <w:rPr>
          <w:rStyle w:val="eop"/>
          <w:rFonts w:ascii="Arial" w:hAnsi="Arial" w:cs="Arial"/>
          <w:sz w:val="20"/>
          <w:szCs w:val="20"/>
          <w:shd w:val="clear" w:color="auto" w:fill="FFFFFF"/>
        </w:rPr>
        <w:t>emission factors the</w:t>
      </w:r>
      <w:r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12D82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from Forest Reference Emission Level (FREL) </w:t>
      </w:r>
      <w:r w:rsidR="00E12D82"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>of Uganda (</w:t>
      </w:r>
      <w:r w:rsidR="00A10911"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>MWE</w:t>
      </w:r>
      <w:r w:rsidR="00E12D82"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>, 2018)</w:t>
      </w:r>
      <w:r w:rsidR="00E12D82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. </w:t>
      </w:r>
      <w:r>
        <w:rPr>
          <w:rStyle w:val="eop"/>
          <w:rFonts w:ascii="Arial" w:hAnsi="Arial" w:cs="Arial"/>
          <w:sz w:val="20"/>
          <w:szCs w:val="20"/>
          <w:shd w:val="clear" w:color="auto" w:fill="FFFFFF"/>
        </w:rPr>
        <w:t>The emission factor for woodland is 91 t CO</w:t>
      </w:r>
      <w:r w:rsidRPr="00A76019">
        <w:rPr>
          <w:rStyle w:val="eop"/>
          <w:rFonts w:ascii="Arial" w:hAnsi="Arial" w:cs="Arial"/>
          <w:sz w:val="20"/>
          <w:szCs w:val="20"/>
          <w:shd w:val="clear" w:color="auto" w:fill="FFFFFF"/>
          <w:vertAlign w:val="subscript"/>
        </w:rPr>
        <w:t>2</w:t>
      </w:r>
      <w:r>
        <w:rPr>
          <w:rStyle w:val="eop"/>
          <w:rFonts w:ascii="Arial" w:hAnsi="Arial" w:cs="Arial"/>
          <w:sz w:val="20"/>
          <w:szCs w:val="20"/>
          <w:shd w:val="clear" w:color="auto" w:fill="FFFFFF"/>
        </w:rPr>
        <w:t>e</w:t>
      </w:r>
      <w:r w:rsidR="00622C54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ha</w:t>
      </w:r>
      <w:r w:rsidR="00622C54" w:rsidRPr="00A76019">
        <w:rPr>
          <w:rStyle w:val="eop"/>
          <w:rFonts w:ascii="Arial" w:hAnsi="Arial" w:cs="Arial"/>
          <w:sz w:val="20"/>
          <w:szCs w:val="20"/>
          <w:shd w:val="clear" w:color="auto" w:fill="FFFFFF"/>
          <w:vertAlign w:val="superscript"/>
        </w:rPr>
        <w:t>-1</w:t>
      </w:r>
      <w:r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and for plantations it is 260.3 t CO</w:t>
      </w:r>
      <w:r w:rsidRPr="000504F7">
        <w:rPr>
          <w:rStyle w:val="eop"/>
          <w:rFonts w:ascii="Arial" w:hAnsi="Arial" w:cs="Arial"/>
          <w:sz w:val="20"/>
          <w:szCs w:val="20"/>
          <w:shd w:val="clear" w:color="auto" w:fill="FFFFFF"/>
          <w:vertAlign w:val="subscript"/>
        </w:rPr>
        <w:t>2</w:t>
      </w:r>
      <w:r>
        <w:rPr>
          <w:rStyle w:val="eop"/>
          <w:rFonts w:ascii="Arial" w:hAnsi="Arial" w:cs="Arial"/>
          <w:sz w:val="20"/>
          <w:szCs w:val="20"/>
          <w:shd w:val="clear" w:color="auto" w:fill="FFFFFF"/>
        </w:rPr>
        <w:t>e</w:t>
      </w:r>
      <w:r w:rsidR="00622C54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ha</w:t>
      </w:r>
      <w:r w:rsidR="00622C54" w:rsidRPr="000504F7">
        <w:rPr>
          <w:rStyle w:val="eop"/>
          <w:rFonts w:ascii="Arial" w:hAnsi="Arial" w:cs="Arial"/>
          <w:sz w:val="20"/>
          <w:szCs w:val="20"/>
          <w:shd w:val="clear" w:color="auto" w:fill="FFFFFF"/>
          <w:vertAlign w:val="superscript"/>
        </w:rPr>
        <w:t>-1</w:t>
      </w:r>
      <w:r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="00526AE4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During the period of analysis used, the highest GHG emission</w:t>
      </w:r>
      <w:r w:rsidR="004F00C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s</w:t>
      </w:r>
      <w:r w:rsidR="00526AE4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from woodland conversion is about 19, 15 and 13</w:t>
      </w:r>
      <w:r w:rsidR="00A76019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MtCO</w:t>
      </w:r>
      <w:r w:rsidR="00A76019" w:rsidRPr="00A76019">
        <w:rPr>
          <w:rStyle w:val="eop"/>
          <w:rFonts w:ascii="Arial" w:hAnsi="Arial" w:cs="Arial"/>
          <w:sz w:val="20"/>
          <w:szCs w:val="20"/>
          <w:shd w:val="clear" w:color="auto" w:fill="FFFFFF"/>
          <w:vertAlign w:val="subscript"/>
        </w:rPr>
        <w:t>2</w:t>
      </w:r>
      <w:r w:rsidR="00A76019" w:rsidRPr="00A76019">
        <w:rPr>
          <w:rStyle w:val="eop"/>
          <w:rFonts w:ascii="Arial" w:hAnsi="Arial" w:cs="Arial"/>
          <w:sz w:val="20"/>
          <w:szCs w:val="20"/>
          <w:shd w:val="clear" w:color="auto" w:fill="FFFFFF"/>
        </w:rPr>
        <w:t>e</w:t>
      </w:r>
      <w:r w:rsidR="00A76019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in </w:t>
      </w:r>
      <w:proofErr w:type="spellStart"/>
      <w:r w:rsidR="00526AE4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Amuru</w:t>
      </w:r>
      <w:proofErr w:type="spellEnd"/>
      <w:r w:rsidR="00526AE4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="00526AE4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Nwoya</w:t>
      </w:r>
      <w:proofErr w:type="spellEnd"/>
      <w:r w:rsidR="00526AE4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and </w:t>
      </w:r>
      <w:proofErr w:type="spellStart"/>
      <w:r w:rsidR="00526AE4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Lamwo</w:t>
      </w:r>
      <w:proofErr w:type="spellEnd"/>
      <w:r w:rsidR="00526AE4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regions, respectively</w:t>
      </w:r>
      <w:r w:rsidR="00622C54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(</w:t>
      </w:r>
      <w:r w:rsidR="00622C54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Table 1</w:t>
      </w:r>
      <w:r w:rsidR="00622C54">
        <w:rPr>
          <w:rStyle w:val="eop"/>
          <w:rFonts w:ascii="Arial" w:hAnsi="Arial" w:cs="Arial"/>
          <w:sz w:val="20"/>
          <w:szCs w:val="20"/>
          <w:shd w:val="clear" w:color="auto" w:fill="FFFFFF"/>
        </w:rPr>
        <w:t>)</w:t>
      </w:r>
      <w:r w:rsidR="00526AE4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="00FA5D6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Following the losses in woodland cover in the regions of interest, the compound rate of change for woodland cover, with negative signs, shows decreas</w:t>
      </w:r>
      <w:r w:rsidR="00526AE4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e </w:t>
      </w:r>
      <w:r w:rsidR="00FA5D6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in all the regions, excluding Karenga and Maracha. The compound rate of change ranges from -0.34 in </w:t>
      </w:r>
      <w:proofErr w:type="spellStart"/>
      <w:r w:rsidR="00FA5D6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Agagao</w:t>
      </w:r>
      <w:proofErr w:type="spellEnd"/>
      <w:r w:rsidR="00FA5D6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to -0.022 in </w:t>
      </w:r>
      <w:proofErr w:type="spellStart"/>
      <w:r w:rsidR="00FA5D6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Abim</w:t>
      </w:r>
      <w:proofErr w:type="spellEnd"/>
      <w:r w:rsidR="00FA5D6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, with no change in Maracha and small positive compound rate (0.043) in Karenga</w:t>
      </w:r>
      <w:r w:rsidR="00622C54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(</w:t>
      </w:r>
      <w:r w:rsidR="00622C54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Table 1</w:t>
      </w:r>
      <w:r w:rsidR="00622C54">
        <w:rPr>
          <w:rStyle w:val="eop"/>
          <w:rFonts w:ascii="Arial" w:hAnsi="Arial" w:cs="Arial"/>
          <w:sz w:val="20"/>
          <w:szCs w:val="20"/>
          <w:shd w:val="clear" w:color="auto" w:fill="FFFFFF"/>
        </w:rPr>
        <w:t>)</w:t>
      </w:r>
      <w:r w:rsidR="00FA5D6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. Furthermore, using the compound rate of change from the historical period of analysis</w:t>
      </w:r>
      <w:r w:rsidR="004F00C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,</w:t>
      </w:r>
      <w:r w:rsidR="00FA5D6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GHG emission</w:t>
      </w:r>
      <w:r w:rsidR="004F00C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s</w:t>
      </w:r>
      <w:r w:rsidR="00FA5D6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from woodland conversion </w:t>
      </w:r>
      <w:r w:rsidR="00622C54">
        <w:rPr>
          <w:rStyle w:val="eop"/>
          <w:rFonts w:ascii="Arial" w:hAnsi="Arial" w:cs="Arial"/>
          <w:sz w:val="20"/>
          <w:szCs w:val="20"/>
          <w:shd w:val="clear" w:color="auto" w:fill="FFFFFF"/>
        </w:rPr>
        <w:t>are</w:t>
      </w:r>
      <w:r w:rsidR="00622C54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A5D6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forecasted </w:t>
      </w:r>
      <w:r w:rsidR="00622C54">
        <w:rPr>
          <w:rStyle w:val="eop"/>
          <w:rFonts w:ascii="Arial" w:hAnsi="Arial" w:cs="Arial"/>
          <w:sz w:val="20"/>
          <w:szCs w:val="20"/>
          <w:shd w:val="clear" w:color="auto" w:fill="FFFFFF"/>
        </w:rPr>
        <w:t>one year forward as an indicator of current forest loss rates and associated emissions.</w:t>
      </w:r>
      <w:r w:rsidR="00FA5D6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22C54">
        <w:rPr>
          <w:rStyle w:val="eop"/>
          <w:rFonts w:ascii="Arial" w:hAnsi="Arial" w:cs="Arial"/>
          <w:sz w:val="20"/>
          <w:szCs w:val="20"/>
          <w:shd w:val="clear" w:color="auto" w:fill="FFFFFF"/>
        </w:rPr>
        <w:t>GHG emissions</w:t>
      </w:r>
      <w:r w:rsidR="00526AE4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22C54">
        <w:rPr>
          <w:rStyle w:val="eop"/>
          <w:rFonts w:ascii="Arial" w:hAnsi="Arial" w:cs="Arial"/>
          <w:sz w:val="20"/>
          <w:szCs w:val="20"/>
          <w:shd w:val="clear" w:color="auto" w:fill="FFFFFF"/>
        </w:rPr>
        <w:t>from woodland loss</w:t>
      </w:r>
      <w:r w:rsidR="00526AE4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have increas</w:t>
      </w:r>
      <w:r w:rsidR="004F00C6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ed</w:t>
      </w:r>
      <w:r w:rsidR="00526AE4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in nearly all the regions of interest in Northern Uganda</w:t>
      </w:r>
      <w:r w:rsidR="00622C54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(</w:t>
      </w:r>
      <w:r w:rsidR="00FA5D6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Table 1</w:t>
      </w:r>
      <w:r w:rsidR="00622C54">
        <w:rPr>
          <w:rStyle w:val="eop"/>
          <w:rFonts w:ascii="Arial" w:hAnsi="Arial" w:cs="Arial"/>
          <w:sz w:val="20"/>
          <w:szCs w:val="20"/>
          <w:shd w:val="clear" w:color="auto" w:fill="FFFFFF"/>
        </w:rPr>
        <w:t>)</w:t>
      </w:r>
      <w:r w:rsidR="00FA5D6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. </w:t>
      </w:r>
    </w:p>
    <w:p w14:paraId="365C97DE" w14:textId="77777777" w:rsidR="00FA5D67" w:rsidRPr="008F1EBB" w:rsidRDefault="00FA5D67" w:rsidP="00FA5D67">
      <w:pPr>
        <w:jc w:val="both"/>
        <w:rPr>
          <w:rStyle w:val="eop"/>
          <w:rFonts w:ascii="Arial" w:hAnsi="Arial" w:cs="Arial"/>
          <w:sz w:val="20"/>
          <w:szCs w:val="20"/>
          <w:shd w:val="clear" w:color="auto" w:fill="FFFFFF"/>
        </w:rPr>
      </w:pPr>
    </w:p>
    <w:p w14:paraId="3A7529D0" w14:textId="2F3AAD9E" w:rsidR="00966986" w:rsidRPr="008F1EBB" w:rsidRDefault="00966986">
      <w:pPr>
        <w:rPr>
          <w:rStyle w:val="eop"/>
          <w:rFonts w:ascii="Arial" w:hAnsi="Arial" w:cs="Arial"/>
          <w:noProof/>
          <w:sz w:val="20"/>
          <w:szCs w:val="20"/>
          <w:shd w:val="clear" w:color="auto" w:fill="FFFFFF"/>
        </w:rPr>
      </w:pPr>
    </w:p>
    <w:p w14:paraId="5AE57037" w14:textId="77777777" w:rsidR="00B27A04" w:rsidRPr="008F1EBB" w:rsidRDefault="00B27A04">
      <w:pPr>
        <w:rPr>
          <w:rStyle w:val="eop"/>
          <w:rFonts w:ascii="Arial" w:hAnsi="Arial" w:cs="Arial"/>
          <w:noProof/>
          <w:sz w:val="20"/>
          <w:szCs w:val="20"/>
          <w:shd w:val="clear" w:color="auto" w:fill="FFFFFF"/>
        </w:rPr>
      </w:pPr>
    </w:p>
    <w:p w14:paraId="395A28F8" w14:textId="16922F11" w:rsidR="00B27A04" w:rsidRPr="008F1EBB" w:rsidRDefault="00B27A04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</w:p>
    <w:p w14:paraId="4014D553" w14:textId="77777777" w:rsidR="000F502D" w:rsidRDefault="000F502D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</w:p>
    <w:p w14:paraId="158EA625" w14:textId="77777777" w:rsidR="00FE05C3" w:rsidRDefault="00FE05C3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</w:p>
    <w:p w14:paraId="105FD354" w14:textId="77777777" w:rsidR="00FE05C3" w:rsidRDefault="00FE05C3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</w:p>
    <w:p w14:paraId="12B5BD6A" w14:textId="77777777" w:rsidR="00FE05C3" w:rsidRDefault="00FE05C3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</w:p>
    <w:p w14:paraId="3C4E87E9" w14:textId="77777777" w:rsidR="00FE05C3" w:rsidRDefault="00FE05C3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</w:p>
    <w:p w14:paraId="0242DFB8" w14:textId="77777777" w:rsidR="00FE05C3" w:rsidRDefault="00FE05C3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</w:p>
    <w:p w14:paraId="43D14159" w14:textId="77777777" w:rsidR="00FE05C3" w:rsidRDefault="00FE05C3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  <w:sectPr w:rsidR="00FE05C3" w:rsidSect="006E57A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EF111E" w14:textId="77777777" w:rsidR="00FE05C3" w:rsidRDefault="00FE05C3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</w:p>
    <w:p w14:paraId="5DE61E02" w14:textId="77777777" w:rsidR="00FE05C3" w:rsidRDefault="00FE05C3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</w:p>
    <w:p w14:paraId="4BAC7E29" w14:textId="77777777" w:rsidR="00FE05C3" w:rsidRPr="008F1EBB" w:rsidRDefault="00FE05C3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</w:p>
    <w:p w14:paraId="5494FAA9" w14:textId="26C2DFBC" w:rsidR="00124A8C" w:rsidRPr="008F1EBB" w:rsidRDefault="00124A8C">
      <w:pPr>
        <w:rPr>
          <w:rStyle w:val="eop"/>
          <w:rFonts w:ascii="Arial" w:hAnsi="Arial" w:cs="Arial"/>
          <w:sz w:val="20"/>
          <w:szCs w:val="20"/>
          <w:shd w:val="clear" w:color="auto" w:fill="FFFFFF"/>
        </w:rPr>
      </w:pPr>
      <w:r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Table </w:t>
      </w:r>
      <w:r w:rsidR="008D5DB2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1</w:t>
      </w:r>
      <w:r w:rsidR="00AF7A6F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: Summary of land use land cover conversion and rates of change for the regions of interest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88"/>
        <w:gridCol w:w="1273"/>
        <w:gridCol w:w="1167"/>
        <w:gridCol w:w="932"/>
        <w:gridCol w:w="874"/>
        <w:gridCol w:w="918"/>
        <w:gridCol w:w="875"/>
        <w:gridCol w:w="872"/>
        <w:gridCol w:w="933"/>
        <w:gridCol w:w="975"/>
        <w:gridCol w:w="836"/>
        <w:gridCol w:w="933"/>
        <w:gridCol w:w="872"/>
      </w:tblGrid>
      <w:tr w:rsidR="00997BDC" w:rsidRPr="000F0718" w14:paraId="59A7D90C" w14:textId="77777777" w:rsidTr="000F0718">
        <w:trPr>
          <w:trHeight w:val="290"/>
        </w:trPr>
        <w:tc>
          <w:tcPr>
            <w:tcW w:w="705" w:type="pct"/>
            <w:noWrap/>
            <w:hideMark/>
          </w:tcPr>
          <w:p w14:paraId="6DBD9412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 </w:t>
            </w:r>
          </w:p>
        </w:tc>
        <w:tc>
          <w:tcPr>
            <w:tcW w:w="472" w:type="pct"/>
            <w:noWrap/>
            <w:hideMark/>
          </w:tcPr>
          <w:p w14:paraId="1CE658D9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Abim</w:t>
            </w:r>
          </w:p>
        </w:tc>
        <w:tc>
          <w:tcPr>
            <w:tcW w:w="434" w:type="pct"/>
            <w:noWrap/>
            <w:hideMark/>
          </w:tcPr>
          <w:p w14:paraId="4BEB47D6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Agago</w:t>
            </w:r>
          </w:p>
        </w:tc>
        <w:tc>
          <w:tcPr>
            <w:tcW w:w="350" w:type="pct"/>
            <w:noWrap/>
            <w:hideMark/>
          </w:tcPr>
          <w:p w14:paraId="1C2FAFC4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Amuru</w:t>
            </w:r>
          </w:p>
        </w:tc>
        <w:tc>
          <w:tcPr>
            <w:tcW w:w="329" w:type="pct"/>
            <w:noWrap/>
            <w:hideMark/>
          </w:tcPr>
          <w:p w14:paraId="6C76AF91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Arua</w:t>
            </w:r>
          </w:p>
        </w:tc>
        <w:tc>
          <w:tcPr>
            <w:tcW w:w="345" w:type="pct"/>
            <w:noWrap/>
            <w:hideMark/>
          </w:tcPr>
          <w:p w14:paraId="203A44D0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Karenga</w:t>
            </w:r>
          </w:p>
        </w:tc>
        <w:tc>
          <w:tcPr>
            <w:tcW w:w="329" w:type="pct"/>
            <w:noWrap/>
            <w:hideMark/>
          </w:tcPr>
          <w:p w14:paraId="766EB235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Kitgum</w:t>
            </w:r>
          </w:p>
        </w:tc>
        <w:tc>
          <w:tcPr>
            <w:tcW w:w="328" w:type="pct"/>
            <w:noWrap/>
            <w:hideMark/>
          </w:tcPr>
          <w:p w14:paraId="0FB78282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Koboko</w:t>
            </w:r>
          </w:p>
        </w:tc>
        <w:tc>
          <w:tcPr>
            <w:tcW w:w="350" w:type="pct"/>
            <w:noWrap/>
            <w:hideMark/>
          </w:tcPr>
          <w:p w14:paraId="0E167465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Lamwo</w:t>
            </w:r>
          </w:p>
        </w:tc>
        <w:tc>
          <w:tcPr>
            <w:tcW w:w="365" w:type="pct"/>
            <w:noWrap/>
            <w:hideMark/>
          </w:tcPr>
          <w:p w14:paraId="0E7BFEE4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Maracha</w:t>
            </w:r>
          </w:p>
        </w:tc>
        <w:tc>
          <w:tcPr>
            <w:tcW w:w="315" w:type="pct"/>
            <w:noWrap/>
            <w:hideMark/>
          </w:tcPr>
          <w:p w14:paraId="45EE2D25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Moyo</w:t>
            </w:r>
          </w:p>
        </w:tc>
        <w:tc>
          <w:tcPr>
            <w:tcW w:w="350" w:type="pct"/>
            <w:noWrap/>
            <w:hideMark/>
          </w:tcPr>
          <w:p w14:paraId="5D46C6BF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Nwoya</w:t>
            </w:r>
          </w:p>
        </w:tc>
        <w:tc>
          <w:tcPr>
            <w:tcW w:w="329" w:type="pct"/>
            <w:noWrap/>
            <w:hideMark/>
          </w:tcPr>
          <w:p w14:paraId="7F437336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Pader</w:t>
            </w:r>
          </w:p>
        </w:tc>
      </w:tr>
      <w:tr w:rsidR="00997BDC" w:rsidRPr="000F0718" w14:paraId="553F9E6F" w14:textId="77777777" w:rsidTr="000F0718">
        <w:trPr>
          <w:trHeight w:val="290"/>
        </w:trPr>
        <w:tc>
          <w:tcPr>
            <w:tcW w:w="705" w:type="pct"/>
            <w:noWrap/>
            <w:hideMark/>
          </w:tcPr>
          <w:p w14:paraId="173E9A12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Non-forest</w:t>
            </w:r>
          </w:p>
        </w:tc>
        <w:tc>
          <w:tcPr>
            <w:tcW w:w="472" w:type="pct"/>
            <w:noWrap/>
            <w:hideMark/>
          </w:tcPr>
          <w:p w14:paraId="57A96FEA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207316</w:t>
            </w:r>
          </w:p>
        </w:tc>
        <w:tc>
          <w:tcPr>
            <w:tcW w:w="434" w:type="pct"/>
            <w:noWrap/>
            <w:hideMark/>
          </w:tcPr>
          <w:p w14:paraId="1A3759DF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237920</w:t>
            </w:r>
          </w:p>
        </w:tc>
        <w:tc>
          <w:tcPr>
            <w:tcW w:w="350" w:type="pct"/>
            <w:noWrap/>
            <w:hideMark/>
          </w:tcPr>
          <w:p w14:paraId="587F8F23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110248</w:t>
            </w:r>
          </w:p>
        </w:tc>
        <w:tc>
          <w:tcPr>
            <w:tcW w:w="329" w:type="pct"/>
            <w:noWrap/>
            <w:hideMark/>
          </w:tcPr>
          <w:p w14:paraId="30A3045D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192761</w:t>
            </w:r>
          </w:p>
        </w:tc>
        <w:tc>
          <w:tcPr>
            <w:tcW w:w="345" w:type="pct"/>
            <w:noWrap/>
            <w:hideMark/>
          </w:tcPr>
          <w:p w14:paraId="78EB24AB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205308</w:t>
            </w:r>
          </w:p>
        </w:tc>
        <w:tc>
          <w:tcPr>
            <w:tcW w:w="329" w:type="pct"/>
            <w:noWrap/>
            <w:hideMark/>
          </w:tcPr>
          <w:p w14:paraId="6FEABFDC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325613</w:t>
            </w:r>
          </w:p>
        </w:tc>
        <w:tc>
          <w:tcPr>
            <w:tcW w:w="328" w:type="pct"/>
            <w:noWrap/>
            <w:hideMark/>
          </w:tcPr>
          <w:p w14:paraId="1BCF51FC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44631</w:t>
            </w:r>
          </w:p>
        </w:tc>
        <w:tc>
          <w:tcPr>
            <w:tcW w:w="350" w:type="pct"/>
            <w:noWrap/>
            <w:hideMark/>
          </w:tcPr>
          <w:p w14:paraId="7B88FC25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364057</w:t>
            </w:r>
          </w:p>
        </w:tc>
        <w:tc>
          <w:tcPr>
            <w:tcW w:w="365" w:type="pct"/>
            <w:noWrap/>
            <w:hideMark/>
          </w:tcPr>
          <w:p w14:paraId="513E2235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42609</w:t>
            </w:r>
          </w:p>
        </w:tc>
        <w:tc>
          <w:tcPr>
            <w:tcW w:w="315" w:type="pct"/>
            <w:noWrap/>
            <w:hideMark/>
          </w:tcPr>
          <w:p w14:paraId="57B33461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46309</w:t>
            </w:r>
          </w:p>
        </w:tc>
        <w:tc>
          <w:tcPr>
            <w:tcW w:w="350" w:type="pct"/>
            <w:noWrap/>
            <w:hideMark/>
          </w:tcPr>
          <w:p w14:paraId="10ED4103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228772</w:t>
            </w:r>
          </w:p>
        </w:tc>
        <w:tc>
          <w:tcPr>
            <w:tcW w:w="329" w:type="pct"/>
            <w:noWrap/>
            <w:hideMark/>
          </w:tcPr>
          <w:p w14:paraId="78E3C669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289673</w:t>
            </w:r>
          </w:p>
        </w:tc>
      </w:tr>
      <w:tr w:rsidR="00997BDC" w:rsidRPr="000F0718" w14:paraId="5E3E5232" w14:textId="77777777" w:rsidTr="000F0718">
        <w:trPr>
          <w:trHeight w:val="290"/>
        </w:trPr>
        <w:tc>
          <w:tcPr>
            <w:tcW w:w="705" w:type="pct"/>
            <w:noWrap/>
            <w:hideMark/>
          </w:tcPr>
          <w:p w14:paraId="04ADDE92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Woodland-&gt;</w:t>
            </w:r>
            <w:proofErr w:type="gramStart"/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Non-forest</w:t>
            </w:r>
            <w:proofErr w:type="gramEnd"/>
          </w:p>
        </w:tc>
        <w:tc>
          <w:tcPr>
            <w:tcW w:w="472" w:type="pct"/>
            <w:noWrap/>
            <w:hideMark/>
          </w:tcPr>
          <w:p w14:paraId="1D403D24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35605</w:t>
            </w:r>
          </w:p>
        </w:tc>
        <w:tc>
          <w:tcPr>
            <w:tcW w:w="434" w:type="pct"/>
            <w:noWrap/>
            <w:hideMark/>
          </w:tcPr>
          <w:p w14:paraId="44764719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103734</w:t>
            </w:r>
          </w:p>
        </w:tc>
        <w:tc>
          <w:tcPr>
            <w:tcW w:w="350" w:type="pct"/>
            <w:noWrap/>
            <w:hideMark/>
          </w:tcPr>
          <w:p w14:paraId="08926CB1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220126</w:t>
            </w:r>
          </w:p>
        </w:tc>
        <w:tc>
          <w:tcPr>
            <w:tcW w:w="329" w:type="pct"/>
            <w:noWrap/>
            <w:hideMark/>
          </w:tcPr>
          <w:p w14:paraId="74607746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23719</w:t>
            </w:r>
          </w:p>
        </w:tc>
        <w:tc>
          <w:tcPr>
            <w:tcW w:w="345" w:type="pct"/>
            <w:noWrap/>
            <w:hideMark/>
          </w:tcPr>
          <w:p w14:paraId="33CCA261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9685</w:t>
            </w:r>
          </w:p>
        </w:tc>
        <w:tc>
          <w:tcPr>
            <w:tcW w:w="329" w:type="pct"/>
            <w:noWrap/>
            <w:hideMark/>
          </w:tcPr>
          <w:p w14:paraId="4C7E3715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57092</w:t>
            </w:r>
          </w:p>
        </w:tc>
        <w:tc>
          <w:tcPr>
            <w:tcW w:w="328" w:type="pct"/>
            <w:noWrap/>
            <w:hideMark/>
          </w:tcPr>
          <w:p w14:paraId="21140449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25131</w:t>
            </w:r>
          </w:p>
        </w:tc>
        <w:tc>
          <w:tcPr>
            <w:tcW w:w="350" w:type="pct"/>
            <w:noWrap/>
            <w:hideMark/>
          </w:tcPr>
          <w:p w14:paraId="17F52E54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159828</w:t>
            </w:r>
          </w:p>
        </w:tc>
        <w:tc>
          <w:tcPr>
            <w:tcW w:w="365" w:type="pct"/>
            <w:noWrap/>
            <w:hideMark/>
          </w:tcPr>
          <w:p w14:paraId="33FEFCC5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120</w:t>
            </w:r>
          </w:p>
        </w:tc>
        <w:tc>
          <w:tcPr>
            <w:tcW w:w="315" w:type="pct"/>
            <w:noWrap/>
            <w:hideMark/>
          </w:tcPr>
          <w:p w14:paraId="5833EA81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31750</w:t>
            </w:r>
          </w:p>
        </w:tc>
        <w:tc>
          <w:tcPr>
            <w:tcW w:w="350" w:type="pct"/>
            <w:noWrap/>
            <w:hideMark/>
          </w:tcPr>
          <w:p w14:paraId="5AB84801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182203</w:t>
            </w:r>
          </w:p>
        </w:tc>
        <w:tc>
          <w:tcPr>
            <w:tcW w:w="329" w:type="pct"/>
            <w:noWrap/>
            <w:hideMark/>
          </w:tcPr>
          <w:p w14:paraId="6AAF32D7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35110</w:t>
            </w:r>
          </w:p>
        </w:tc>
      </w:tr>
      <w:tr w:rsidR="00997BDC" w:rsidRPr="000F0718" w14:paraId="5A3DF9BD" w14:textId="77777777" w:rsidTr="000F0718">
        <w:trPr>
          <w:trHeight w:val="290"/>
        </w:trPr>
        <w:tc>
          <w:tcPr>
            <w:tcW w:w="705" w:type="pct"/>
            <w:noWrap/>
            <w:hideMark/>
          </w:tcPr>
          <w:p w14:paraId="17E43E2E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Non-forest-&gt;Woodland</w:t>
            </w:r>
          </w:p>
        </w:tc>
        <w:tc>
          <w:tcPr>
            <w:tcW w:w="472" w:type="pct"/>
            <w:noWrap/>
            <w:hideMark/>
          </w:tcPr>
          <w:p w14:paraId="2A322169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20615</w:t>
            </w:r>
          </w:p>
        </w:tc>
        <w:tc>
          <w:tcPr>
            <w:tcW w:w="434" w:type="pct"/>
            <w:noWrap/>
            <w:hideMark/>
          </w:tcPr>
          <w:p w14:paraId="6038838C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2629</w:t>
            </w:r>
          </w:p>
        </w:tc>
        <w:tc>
          <w:tcPr>
            <w:tcW w:w="350" w:type="pct"/>
            <w:noWrap/>
            <w:hideMark/>
          </w:tcPr>
          <w:p w14:paraId="731B79DB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2824</w:t>
            </w:r>
          </w:p>
        </w:tc>
        <w:tc>
          <w:tcPr>
            <w:tcW w:w="329" w:type="pct"/>
            <w:noWrap/>
            <w:hideMark/>
          </w:tcPr>
          <w:p w14:paraId="001ECB43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5954</w:t>
            </w:r>
          </w:p>
        </w:tc>
        <w:tc>
          <w:tcPr>
            <w:tcW w:w="345" w:type="pct"/>
            <w:noWrap/>
            <w:hideMark/>
          </w:tcPr>
          <w:p w14:paraId="386870D4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9468</w:t>
            </w:r>
          </w:p>
        </w:tc>
        <w:tc>
          <w:tcPr>
            <w:tcW w:w="329" w:type="pct"/>
            <w:noWrap/>
            <w:hideMark/>
          </w:tcPr>
          <w:p w14:paraId="19BD444B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13820</w:t>
            </w:r>
          </w:p>
        </w:tc>
        <w:tc>
          <w:tcPr>
            <w:tcW w:w="328" w:type="pct"/>
            <w:noWrap/>
            <w:hideMark/>
          </w:tcPr>
          <w:p w14:paraId="0CF1B9DB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2338</w:t>
            </w:r>
          </w:p>
        </w:tc>
        <w:tc>
          <w:tcPr>
            <w:tcW w:w="350" w:type="pct"/>
            <w:noWrap/>
            <w:hideMark/>
          </w:tcPr>
          <w:p w14:paraId="3073BA69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9008</w:t>
            </w:r>
          </w:p>
        </w:tc>
        <w:tc>
          <w:tcPr>
            <w:tcW w:w="365" w:type="pct"/>
            <w:noWrap/>
            <w:hideMark/>
          </w:tcPr>
          <w:p w14:paraId="62C31C4B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296</w:t>
            </w:r>
          </w:p>
        </w:tc>
        <w:tc>
          <w:tcPr>
            <w:tcW w:w="315" w:type="pct"/>
            <w:noWrap/>
            <w:hideMark/>
          </w:tcPr>
          <w:p w14:paraId="72215464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2944</w:t>
            </w:r>
          </w:p>
        </w:tc>
        <w:tc>
          <w:tcPr>
            <w:tcW w:w="350" w:type="pct"/>
            <w:noWrap/>
            <w:hideMark/>
          </w:tcPr>
          <w:p w14:paraId="03AF76CB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9413</w:t>
            </w:r>
          </w:p>
        </w:tc>
        <w:tc>
          <w:tcPr>
            <w:tcW w:w="329" w:type="pct"/>
            <w:noWrap/>
            <w:hideMark/>
          </w:tcPr>
          <w:p w14:paraId="7D6D03F6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4249</w:t>
            </w:r>
          </w:p>
        </w:tc>
      </w:tr>
      <w:tr w:rsidR="00997BDC" w:rsidRPr="000F0718" w14:paraId="30906781" w14:textId="77777777" w:rsidTr="000F0718">
        <w:trPr>
          <w:trHeight w:val="290"/>
        </w:trPr>
        <w:tc>
          <w:tcPr>
            <w:tcW w:w="705" w:type="pct"/>
            <w:noWrap/>
            <w:hideMark/>
          </w:tcPr>
          <w:p w14:paraId="16A2ADCA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Non-forest-&gt;Forest</w:t>
            </w:r>
          </w:p>
        </w:tc>
        <w:tc>
          <w:tcPr>
            <w:tcW w:w="472" w:type="pct"/>
            <w:noWrap/>
            <w:hideMark/>
          </w:tcPr>
          <w:p w14:paraId="79F1E7F6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434" w:type="pct"/>
            <w:noWrap/>
            <w:hideMark/>
          </w:tcPr>
          <w:p w14:paraId="505CB071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350" w:type="pct"/>
            <w:noWrap/>
            <w:hideMark/>
          </w:tcPr>
          <w:p w14:paraId="0EE9C46F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329" w:type="pct"/>
            <w:noWrap/>
            <w:hideMark/>
          </w:tcPr>
          <w:p w14:paraId="39218096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17</w:t>
            </w:r>
          </w:p>
        </w:tc>
        <w:tc>
          <w:tcPr>
            <w:tcW w:w="345" w:type="pct"/>
            <w:noWrap/>
            <w:hideMark/>
          </w:tcPr>
          <w:p w14:paraId="554EBF0D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329" w:type="pct"/>
            <w:noWrap/>
            <w:hideMark/>
          </w:tcPr>
          <w:p w14:paraId="49043747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328" w:type="pct"/>
            <w:noWrap/>
            <w:hideMark/>
          </w:tcPr>
          <w:p w14:paraId="41C98BAA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350" w:type="pct"/>
            <w:noWrap/>
            <w:hideMark/>
          </w:tcPr>
          <w:p w14:paraId="6BFFCFAC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365" w:type="pct"/>
            <w:noWrap/>
            <w:hideMark/>
          </w:tcPr>
          <w:p w14:paraId="4FCEEE4C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315" w:type="pct"/>
            <w:noWrap/>
            <w:hideMark/>
          </w:tcPr>
          <w:p w14:paraId="5098BA57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350" w:type="pct"/>
            <w:noWrap/>
            <w:hideMark/>
          </w:tcPr>
          <w:p w14:paraId="0E31888E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329" w:type="pct"/>
            <w:noWrap/>
            <w:hideMark/>
          </w:tcPr>
          <w:p w14:paraId="1D50671C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0</w:t>
            </w:r>
          </w:p>
        </w:tc>
      </w:tr>
      <w:tr w:rsidR="00997BDC" w:rsidRPr="000F0718" w14:paraId="7B752E3E" w14:textId="77777777" w:rsidTr="000F0718">
        <w:trPr>
          <w:trHeight w:val="290"/>
        </w:trPr>
        <w:tc>
          <w:tcPr>
            <w:tcW w:w="705" w:type="pct"/>
            <w:noWrap/>
            <w:hideMark/>
          </w:tcPr>
          <w:p w14:paraId="2EDF7A89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woodland_net</w:t>
            </w:r>
          </w:p>
        </w:tc>
        <w:tc>
          <w:tcPr>
            <w:tcW w:w="472" w:type="pct"/>
            <w:noWrap/>
            <w:hideMark/>
          </w:tcPr>
          <w:p w14:paraId="4E6C95DD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-14990</w:t>
            </w:r>
          </w:p>
        </w:tc>
        <w:tc>
          <w:tcPr>
            <w:tcW w:w="434" w:type="pct"/>
            <w:noWrap/>
            <w:hideMark/>
          </w:tcPr>
          <w:p w14:paraId="36BE0CB0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-101105</w:t>
            </w:r>
          </w:p>
        </w:tc>
        <w:tc>
          <w:tcPr>
            <w:tcW w:w="350" w:type="pct"/>
            <w:noWrap/>
            <w:hideMark/>
          </w:tcPr>
          <w:p w14:paraId="33F987C4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-217302</w:t>
            </w:r>
          </w:p>
        </w:tc>
        <w:tc>
          <w:tcPr>
            <w:tcW w:w="329" w:type="pct"/>
            <w:noWrap/>
            <w:hideMark/>
          </w:tcPr>
          <w:p w14:paraId="06DA3D27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-17765</w:t>
            </w:r>
          </w:p>
        </w:tc>
        <w:tc>
          <w:tcPr>
            <w:tcW w:w="345" w:type="pct"/>
            <w:noWrap/>
            <w:hideMark/>
          </w:tcPr>
          <w:p w14:paraId="7D68B790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-217</w:t>
            </w:r>
          </w:p>
        </w:tc>
        <w:tc>
          <w:tcPr>
            <w:tcW w:w="329" w:type="pct"/>
            <w:noWrap/>
            <w:hideMark/>
          </w:tcPr>
          <w:p w14:paraId="35570A92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-43272</w:t>
            </w:r>
          </w:p>
        </w:tc>
        <w:tc>
          <w:tcPr>
            <w:tcW w:w="328" w:type="pct"/>
            <w:noWrap/>
            <w:hideMark/>
          </w:tcPr>
          <w:p w14:paraId="673D553C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-22793</w:t>
            </w:r>
          </w:p>
        </w:tc>
        <w:tc>
          <w:tcPr>
            <w:tcW w:w="350" w:type="pct"/>
            <w:noWrap/>
            <w:hideMark/>
          </w:tcPr>
          <w:p w14:paraId="36FBC29A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-150820</w:t>
            </w:r>
          </w:p>
        </w:tc>
        <w:tc>
          <w:tcPr>
            <w:tcW w:w="365" w:type="pct"/>
            <w:noWrap/>
            <w:hideMark/>
          </w:tcPr>
          <w:p w14:paraId="736565AF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176</w:t>
            </w:r>
          </w:p>
        </w:tc>
        <w:tc>
          <w:tcPr>
            <w:tcW w:w="315" w:type="pct"/>
            <w:noWrap/>
            <w:hideMark/>
          </w:tcPr>
          <w:p w14:paraId="13FADF51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-28806</w:t>
            </w:r>
          </w:p>
        </w:tc>
        <w:tc>
          <w:tcPr>
            <w:tcW w:w="350" w:type="pct"/>
            <w:noWrap/>
            <w:hideMark/>
          </w:tcPr>
          <w:p w14:paraId="1A55D9E7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-172790</w:t>
            </w:r>
          </w:p>
        </w:tc>
        <w:tc>
          <w:tcPr>
            <w:tcW w:w="329" w:type="pct"/>
            <w:noWrap/>
            <w:hideMark/>
          </w:tcPr>
          <w:p w14:paraId="6A954496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-30861</w:t>
            </w:r>
          </w:p>
        </w:tc>
      </w:tr>
      <w:tr w:rsidR="00997BDC" w:rsidRPr="000F0718" w14:paraId="4E5D870F" w14:textId="77777777" w:rsidTr="000F0718">
        <w:trPr>
          <w:trHeight w:val="290"/>
        </w:trPr>
        <w:tc>
          <w:tcPr>
            <w:tcW w:w="705" w:type="pct"/>
            <w:noWrap/>
            <w:hideMark/>
          </w:tcPr>
          <w:p w14:paraId="597BF51C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woodland_00</w:t>
            </w:r>
          </w:p>
        </w:tc>
        <w:tc>
          <w:tcPr>
            <w:tcW w:w="472" w:type="pct"/>
            <w:noWrap/>
            <w:hideMark/>
          </w:tcPr>
          <w:p w14:paraId="0377254B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47186</w:t>
            </w:r>
          </w:p>
        </w:tc>
        <w:tc>
          <w:tcPr>
            <w:tcW w:w="434" w:type="pct"/>
            <w:noWrap/>
            <w:hideMark/>
          </w:tcPr>
          <w:p w14:paraId="0CDE53DD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110696</w:t>
            </w:r>
          </w:p>
        </w:tc>
        <w:tc>
          <w:tcPr>
            <w:tcW w:w="350" w:type="pct"/>
            <w:noWrap/>
            <w:hideMark/>
          </w:tcPr>
          <w:p w14:paraId="4843FFCE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243837</w:t>
            </w:r>
          </w:p>
        </w:tc>
        <w:tc>
          <w:tcPr>
            <w:tcW w:w="329" w:type="pct"/>
            <w:noWrap/>
            <w:hideMark/>
          </w:tcPr>
          <w:p w14:paraId="73B9565A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30926</w:t>
            </w:r>
          </w:p>
        </w:tc>
        <w:tc>
          <w:tcPr>
            <w:tcW w:w="345" w:type="pct"/>
            <w:noWrap/>
            <w:hideMark/>
          </w:tcPr>
          <w:p w14:paraId="2832B6B4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39469</w:t>
            </w:r>
          </w:p>
        </w:tc>
        <w:tc>
          <w:tcPr>
            <w:tcW w:w="329" w:type="pct"/>
            <w:noWrap/>
            <w:hideMark/>
          </w:tcPr>
          <w:p w14:paraId="3C97E28B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75544</w:t>
            </w:r>
          </w:p>
        </w:tc>
        <w:tc>
          <w:tcPr>
            <w:tcW w:w="328" w:type="pct"/>
            <w:noWrap/>
            <w:hideMark/>
          </w:tcPr>
          <w:p w14:paraId="29DACF74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28838</w:t>
            </w:r>
          </w:p>
        </w:tc>
        <w:tc>
          <w:tcPr>
            <w:tcW w:w="350" w:type="pct"/>
            <w:noWrap/>
            <w:hideMark/>
          </w:tcPr>
          <w:p w14:paraId="4A5570A1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170648</w:t>
            </w:r>
          </w:p>
        </w:tc>
        <w:tc>
          <w:tcPr>
            <w:tcW w:w="365" w:type="pct"/>
            <w:noWrap/>
            <w:hideMark/>
          </w:tcPr>
          <w:p w14:paraId="4ACEA203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170</w:t>
            </w:r>
          </w:p>
        </w:tc>
        <w:tc>
          <w:tcPr>
            <w:tcW w:w="315" w:type="pct"/>
            <w:noWrap/>
            <w:hideMark/>
          </w:tcPr>
          <w:p w14:paraId="742A188A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51351</w:t>
            </w:r>
          </w:p>
        </w:tc>
        <w:tc>
          <w:tcPr>
            <w:tcW w:w="350" w:type="pct"/>
            <w:noWrap/>
            <w:hideMark/>
          </w:tcPr>
          <w:p w14:paraId="0DFC62F7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224477</w:t>
            </w:r>
          </w:p>
        </w:tc>
        <w:tc>
          <w:tcPr>
            <w:tcW w:w="329" w:type="pct"/>
            <w:noWrap/>
            <w:hideMark/>
          </w:tcPr>
          <w:p w14:paraId="266D68E3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35564</w:t>
            </w:r>
          </w:p>
        </w:tc>
      </w:tr>
      <w:tr w:rsidR="00997BDC" w:rsidRPr="000F0718" w14:paraId="3A25D601" w14:textId="77777777" w:rsidTr="000F0718">
        <w:trPr>
          <w:trHeight w:val="290"/>
        </w:trPr>
        <w:tc>
          <w:tcPr>
            <w:tcW w:w="705" w:type="pct"/>
            <w:noWrap/>
            <w:hideMark/>
          </w:tcPr>
          <w:p w14:paraId="751325EF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woodland_17</w:t>
            </w:r>
          </w:p>
        </w:tc>
        <w:tc>
          <w:tcPr>
            <w:tcW w:w="472" w:type="pct"/>
            <w:noWrap/>
            <w:hideMark/>
          </w:tcPr>
          <w:p w14:paraId="7AA339B5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32196</w:t>
            </w:r>
          </w:p>
        </w:tc>
        <w:tc>
          <w:tcPr>
            <w:tcW w:w="434" w:type="pct"/>
            <w:noWrap/>
            <w:hideMark/>
          </w:tcPr>
          <w:p w14:paraId="62E9C691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9591</w:t>
            </w:r>
          </w:p>
        </w:tc>
        <w:tc>
          <w:tcPr>
            <w:tcW w:w="350" w:type="pct"/>
            <w:noWrap/>
            <w:hideMark/>
          </w:tcPr>
          <w:p w14:paraId="3D73A595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26535</w:t>
            </w:r>
          </w:p>
        </w:tc>
        <w:tc>
          <w:tcPr>
            <w:tcW w:w="329" w:type="pct"/>
            <w:noWrap/>
            <w:hideMark/>
          </w:tcPr>
          <w:p w14:paraId="18A4171A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13161</w:t>
            </w:r>
          </w:p>
        </w:tc>
        <w:tc>
          <w:tcPr>
            <w:tcW w:w="345" w:type="pct"/>
            <w:noWrap/>
            <w:hideMark/>
          </w:tcPr>
          <w:p w14:paraId="6A170F58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39252</w:t>
            </w:r>
          </w:p>
        </w:tc>
        <w:tc>
          <w:tcPr>
            <w:tcW w:w="329" w:type="pct"/>
            <w:noWrap/>
            <w:hideMark/>
          </w:tcPr>
          <w:p w14:paraId="11B48713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32272</w:t>
            </w:r>
          </w:p>
        </w:tc>
        <w:tc>
          <w:tcPr>
            <w:tcW w:w="328" w:type="pct"/>
            <w:noWrap/>
            <w:hideMark/>
          </w:tcPr>
          <w:p w14:paraId="55AEB127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6045</w:t>
            </w:r>
          </w:p>
        </w:tc>
        <w:tc>
          <w:tcPr>
            <w:tcW w:w="350" w:type="pct"/>
            <w:noWrap/>
            <w:hideMark/>
          </w:tcPr>
          <w:p w14:paraId="29CF096C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19828</w:t>
            </w:r>
          </w:p>
        </w:tc>
        <w:tc>
          <w:tcPr>
            <w:tcW w:w="365" w:type="pct"/>
            <w:noWrap/>
            <w:hideMark/>
          </w:tcPr>
          <w:p w14:paraId="06A94F6D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346</w:t>
            </w:r>
          </w:p>
        </w:tc>
        <w:tc>
          <w:tcPr>
            <w:tcW w:w="315" w:type="pct"/>
            <w:noWrap/>
            <w:hideMark/>
          </w:tcPr>
          <w:p w14:paraId="2858BE40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22545</w:t>
            </w:r>
          </w:p>
        </w:tc>
        <w:tc>
          <w:tcPr>
            <w:tcW w:w="350" w:type="pct"/>
            <w:noWrap/>
            <w:hideMark/>
          </w:tcPr>
          <w:p w14:paraId="6F8752D2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51687</w:t>
            </w:r>
          </w:p>
        </w:tc>
        <w:tc>
          <w:tcPr>
            <w:tcW w:w="329" w:type="pct"/>
            <w:noWrap/>
            <w:hideMark/>
          </w:tcPr>
          <w:p w14:paraId="35813D9F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4703</w:t>
            </w:r>
          </w:p>
        </w:tc>
      </w:tr>
      <w:tr w:rsidR="00997BDC" w:rsidRPr="000F0718" w14:paraId="165E8ABF" w14:textId="77777777" w:rsidTr="000F0718">
        <w:trPr>
          <w:trHeight w:val="290"/>
        </w:trPr>
        <w:tc>
          <w:tcPr>
            <w:tcW w:w="705" w:type="pct"/>
            <w:noWrap/>
            <w:hideMark/>
          </w:tcPr>
          <w:p w14:paraId="588FA4A7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woodland_change_perc</w:t>
            </w:r>
          </w:p>
        </w:tc>
        <w:tc>
          <w:tcPr>
            <w:tcW w:w="472" w:type="pct"/>
            <w:noWrap/>
            <w:hideMark/>
          </w:tcPr>
          <w:p w14:paraId="19AC6EAA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-31.8</w:t>
            </w:r>
          </w:p>
        </w:tc>
        <w:tc>
          <w:tcPr>
            <w:tcW w:w="434" w:type="pct"/>
            <w:noWrap/>
            <w:hideMark/>
          </w:tcPr>
          <w:p w14:paraId="071E3AFD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-91.3</w:t>
            </w:r>
          </w:p>
        </w:tc>
        <w:tc>
          <w:tcPr>
            <w:tcW w:w="350" w:type="pct"/>
            <w:noWrap/>
            <w:hideMark/>
          </w:tcPr>
          <w:p w14:paraId="2DC9BD79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-89.1</w:t>
            </w:r>
          </w:p>
        </w:tc>
        <w:tc>
          <w:tcPr>
            <w:tcW w:w="329" w:type="pct"/>
            <w:noWrap/>
            <w:hideMark/>
          </w:tcPr>
          <w:p w14:paraId="2F76A253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-57.4</w:t>
            </w:r>
          </w:p>
        </w:tc>
        <w:tc>
          <w:tcPr>
            <w:tcW w:w="345" w:type="pct"/>
            <w:noWrap/>
            <w:hideMark/>
          </w:tcPr>
          <w:p w14:paraId="753E1C0C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-0.5</w:t>
            </w:r>
          </w:p>
        </w:tc>
        <w:tc>
          <w:tcPr>
            <w:tcW w:w="329" w:type="pct"/>
            <w:noWrap/>
            <w:hideMark/>
          </w:tcPr>
          <w:p w14:paraId="6AC6E6A7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-57.3</w:t>
            </w:r>
          </w:p>
        </w:tc>
        <w:tc>
          <w:tcPr>
            <w:tcW w:w="328" w:type="pct"/>
            <w:noWrap/>
            <w:hideMark/>
          </w:tcPr>
          <w:p w14:paraId="6B8B7CE4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-79</w:t>
            </w:r>
          </w:p>
        </w:tc>
        <w:tc>
          <w:tcPr>
            <w:tcW w:w="350" w:type="pct"/>
            <w:noWrap/>
            <w:hideMark/>
          </w:tcPr>
          <w:p w14:paraId="61432A24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-88.4</w:t>
            </w:r>
          </w:p>
        </w:tc>
        <w:tc>
          <w:tcPr>
            <w:tcW w:w="365" w:type="pct"/>
            <w:noWrap/>
            <w:hideMark/>
          </w:tcPr>
          <w:p w14:paraId="68B495E5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103.5</w:t>
            </w:r>
          </w:p>
        </w:tc>
        <w:tc>
          <w:tcPr>
            <w:tcW w:w="315" w:type="pct"/>
            <w:noWrap/>
            <w:hideMark/>
          </w:tcPr>
          <w:p w14:paraId="72E764D4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-56.1</w:t>
            </w:r>
          </w:p>
        </w:tc>
        <w:tc>
          <w:tcPr>
            <w:tcW w:w="350" w:type="pct"/>
            <w:noWrap/>
            <w:hideMark/>
          </w:tcPr>
          <w:p w14:paraId="321415C6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-77</w:t>
            </w:r>
          </w:p>
        </w:tc>
        <w:tc>
          <w:tcPr>
            <w:tcW w:w="329" w:type="pct"/>
            <w:noWrap/>
            <w:hideMark/>
          </w:tcPr>
          <w:p w14:paraId="4794110A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-86.8</w:t>
            </w:r>
          </w:p>
        </w:tc>
      </w:tr>
      <w:tr w:rsidR="00997BDC" w:rsidRPr="000F0718" w14:paraId="358C1582" w14:textId="77777777" w:rsidTr="000F0718">
        <w:trPr>
          <w:trHeight w:val="290"/>
        </w:trPr>
        <w:tc>
          <w:tcPr>
            <w:tcW w:w="705" w:type="pct"/>
            <w:noWrap/>
            <w:hideMark/>
          </w:tcPr>
          <w:p w14:paraId="43FD7A42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compound_rate_perc</w:t>
            </w:r>
          </w:p>
        </w:tc>
        <w:tc>
          <w:tcPr>
            <w:tcW w:w="472" w:type="pct"/>
            <w:noWrap/>
            <w:hideMark/>
          </w:tcPr>
          <w:p w14:paraId="6E480AA5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-2.2</w:t>
            </w:r>
          </w:p>
        </w:tc>
        <w:tc>
          <w:tcPr>
            <w:tcW w:w="434" w:type="pct"/>
            <w:noWrap/>
            <w:hideMark/>
          </w:tcPr>
          <w:p w14:paraId="5CCD3F85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-13.4</w:t>
            </w:r>
          </w:p>
        </w:tc>
        <w:tc>
          <w:tcPr>
            <w:tcW w:w="350" w:type="pct"/>
            <w:noWrap/>
            <w:hideMark/>
          </w:tcPr>
          <w:p w14:paraId="490ABA97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-12.2</w:t>
            </w:r>
          </w:p>
        </w:tc>
        <w:tc>
          <w:tcPr>
            <w:tcW w:w="329" w:type="pct"/>
            <w:noWrap/>
            <w:hideMark/>
          </w:tcPr>
          <w:p w14:paraId="3BA51490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-4.9</w:t>
            </w:r>
          </w:p>
        </w:tc>
        <w:tc>
          <w:tcPr>
            <w:tcW w:w="345" w:type="pct"/>
            <w:noWrap/>
            <w:hideMark/>
          </w:tcPr>
          <w:p w14:paraId="4712ACC2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329" w:type="pct"/>
            <w:noWrap/>
            <w:hideMark/>
          </w:tcPr>
          <w:p w14:paraId="327A5D27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-4.9</w:t>
            </w:r>
          </w:p>
        </w:tc>
        <w:tc>
          <w:tcPr>
            <w:tcW w:w="328" w:type="pct"/>
            <w:noWrap/>
            <w:hideMark/>
          </w:tcPr>
          <w:p w14:paraId="1B54705F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-8.8</w:t>
            </w:r>
          </w:p>
        </w:tc>
        <w:tc>
          <w:tcPr>
            <w:tcW w:w="350" w:type="pct"/>
            <w:noWrap/>
            <w:hideMark/>
          </w:tcPr>
          <w:p w14:paraId="11679FC4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-11.9</w:t>
            </w:r>
          </w:p>
        </w:tc>
        <w:tc>
          <w:tcPr>
            <w:tcW w:w="365" w:type="pct"/>
            <w:noWrap/>
            <w:hideMark/>
          </w:tcPr>
          <w:p w14:paraId="4F68DEF8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4.3</w:t>
            </w:r>
          </w:p>
        </w:tc>
        <w:tc>
          <w:tcPr>
            <w:tcW w:w="315" w:type="pct"/>
            <w:noWrap/>
            <w:hideMark/>
          </w:tcPr>
          <w:p w14:paraId="053EB5DA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-4.7</w:t>
            </w:r>
          </w:p>
        </w:tc>
        <w:tc>
          <w:tcPr>
            <w:tcW w:w="350" w:type="pct"/>
            <w:noWrap/>
            <w:hideMark/>
          </w:tcPr>
          <w:p w14:paraId="51D312EF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-8.3</w:t>
            </w:r>
          </w:p>
        </w:tc>
        <w:tc>
          <w:tcPr>
            <w:tcW w:w="329" w:type="pct"/>
            <w:noWrap/>
            <w:hideMark/>
          </w:tcPr>
          <w:p w14:paraId="298A3125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-11.2</w:t>
            </w:r>
          </w:p>
        </w:tc>
      </w:tr>
      <w:tr w:rsidR="00997BDC" w:rsidRPr="000F0718" w14:paraId="086ADD61" w14:textId="77777777" w:rsidTr="000F0718">
        <w:trPr>
          <w:trHeight w:val="300"/>
        </w:trPr>
        <w:tc>
          <w:tcPr>
            <w:tcW w:w="705" w:type="pct"/>
            <w:noWrap/>
            <w:hideMark/>
          </w:tcPr>
          <w:p w14:paraId="5A21F77D" w14:textId="77777777" w:rsidR="00997BDC" w:rsidRPr="000F0718" w:rsidRDefault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woodland_emissions_tot_mt</w:t>
            </w:r>
          </w:p>
        </w:tc>
        <w:tc>
          <w:tcPr>
            <w:tcW w:w="472" w:type="pct"/>
            <w:noWrap/>
            <w:hideMark/>
          </w:tcPr>
          <w:p w14:paraId="64205963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1.364</w:t>
            </w:r>
          </w:p>
        </w:tc>
        <w:tc>
          <w:tcPr>
            <w:tcW w:w="434" w:type="pct"/>
            <w:noWrap/>
            <w:hideMark/>
          </w:tcPr>
          <w:p w14:paraId="48122925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9.201</w:t>
            </w:r>
          </w:p>
        </w:tc>
        <w:tc>
          <w:tcPr>
            <w:tcW w:w="350" w:type="pct"/>
            <w:noWrap/>
            <w:hideMark/>
          </w:tcPr>
          <w:p w14:paraId="7BC145C8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19.774</w:t>
            </w:r>
          </w:p>
        </w:tc>
        <w:tc>
          <w:tcPr>
            <w:tcW w:w="329" w:type="pct"/>
            <w:noWrap/>
            <w:hideMark/>
          </w:tcPr>
          <w:p w14:paraId="409F0597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1.617</w:t>
            </w:r>
          </w:p>
        </w:tc>
        <w:tc>
          <w:tcPr>
            <w:tcW w:w="345" w:type="pct"/>
            <w:noWrap/>
            <w:hideMark/>
          </w:tcPr>
          <w:p w14:paraId="2FA6361E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0.02</w:t>
            </w:r>
          </w:p>
        </w:tc>
        <w:tc>
          <w:tcPr>
            <w:tcW w:w="329" w:type="pct"/>
            <w:noWrap/>
            <w:hideMark/>
          </w:tcPr>
          <w:p w14:paraId="1676E296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3.938</w:t>
            </w:r>
          </w:p>
        </w:tc>
        <w:tc>
          <w:tcPr>
            <w:tcW w:w="328" w:type="pct"/>
            <w:noWrap/>
            <w:hideMark/>
          </w:tcPr>
          <w:p w14:paraId="69DF451E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2.074</w:t>
            </w:r>
          </w:p>
        </w:tc>
        <w:tc>
          <w:tcPr>
            <w:tcW w:w="350" w:type="pct"/>
            <w:noWrap/>
            <w:hideMark/>
          </w:tcPr>
          <w:p w14:paraId="356B8BAE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13.725</w:t>
            </w:r>
          </w:p>
        </w:tc>
        <w:tc>
          <w:tcPr>
            <w:tcW w:w="365" w:type="pct"/>
            <w:noWrap/>
            <w:hideMark/>
          </w:tcPr>
          <w:p w14:paraId="79DA6EBF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-0.016</w:t>
            </w:r>
          </w:p>
        </w:tc>
        <w:tc>
          <w:tcPr>
            <w:tcW w:w="315" w:type="pct"/>
            <w:noWrap/>
            <w:hideMark/>
          </w:tcPr>
          <w:p w14:paraId="4BD77BBD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2.621</w:t>
            </w:r>
          </w:p>
        </w:tc>
        <w:tc>
          <w:tcPr>
            <w:tcW w:w="350" w:type="pct"/>
            <w:noWrap/>
            <w:hideMark/>
          </w:tcPr>
          <w:p w14:paraId="24B2E04C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15.724</w:t>
            </w:r>
          </w:p>
        </w:tc>
        <w:tc>
          <w:tcPr>
            <w:tcW w:w="329" w:type="pct"/>
            <w:noWrap/>
            <w:hideMark/>
          </w:tcPr>
          <w:p w14:paraId="7D5386E4" w14:textId="77777777" w:rsidR="00997BDC" w:rsidRPr="000F0718" w:rsidRDefault="00997BDC" w:rsidP="00997BDC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0F0718">
              <w:rPr>
                <w:rFonts w:ascii="Arial" w:hAnsi="Arial" w:cs="Arial"/>
                <w:sz w:val="28"/>
                <w:szCs w:val="28"/>
                <w:vertAlign w:val="superscript"/>
              </w:rPr>
              <w:t>2.808</w:t>
            </w:r>
          </w:p>
        </w:tc>
      </w:tr>
    </w:tbl>
    <w:p w14:paraId="11C458B8" w14:textId="77777777" w:rsidR="00FE05C3" w:rsidRDefault="00FE05C3">
      <w:pPr>
        <w:rPr>
          <w:rStyle w:val="eop"/>
          <w:rFonts w:ascii="Arial" w:hAnsi="Arial" w:cs="Arial"/>
          <w:sz w:val="20"/>
          <w:szCs w:val="20"/>
        </w:rPr>
        <w:sectPr w:rsidR="00FE05C3" w:rsidSect="00FE05C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486FD9" w14:textId="77777777" w:rsidR="00FE05C3" w:rsidRPr="008F1EBB" w:rsidRDefault="00FE05C3">
      <w:pPr>
        <w:rPr>
          <w:rStyle w:val="eop"/>
          <w:rFonts w:ascii="Arial" w:hAnsi="Arial" w:cs="Arial"/>
          <w:sz w:val="20"/>
          <w:szCs w:val="20"/>
        </w:rPr>
      </w:pPr>
    </w:p>
    <w:p w14:paraId="70B1E35D" w14:textId="19C4690D" w:rsidR="002A7116" w:rsidRDefault="00997BDC" w:rsidP="00FA5D67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8F1EBB">
        <w:rPr>
          <w:rFonts w:ascii="Arial" w:hAnsi="Arial" w:cs="Arial"/>
          <w:color w:val="000000"/>
          <w:sz w:val="20"/>
          <w:szCs w:val="20"/>
        </w:rPr>
        <w:t>T</w:t>
      </w:r>
      <w:r w:rsidR="00FA5D67" w:rsidRPr="008F1EBB">
        <w:rPr>
          <w:rFonts w:ascii="Arial" w:hAnsi="Arial" w:cs="Arial"/>
          <w:color w:val="000000"/>
          <w:sz w:val="20"/>
          <w:szCs w:val="20"/>
        </w:rPr>
        <w:t xml:space="preserve">he government of Uganda has increased its ambition, in the </w:t>
      </w:r>
      <w:r w:rsidR="00240EF5" w:rsidRPr="008F1EBB">
        <w:rPr>
          <w:rFonts w:ascii="Arial" w:hAnsi="Arial" w:cs="Arial"/>
          <w:color w:val="000000"/>
          <w:sz w:val="20"/>
          <w:szCs w:val="20"/>
        </w:rPr>
        <w:t>revised NDC</w:t>
      </w:r>
      <w:r w:rsidR="00FA5D67" w:rsidRPr="008F1EBB">
        <w:rPr>
          <w:rFonts w:ascii="Arial" w:hAnsi="Arial" w:cs="Arial"/>
          <w:color w:val="000000"/>
          <w:sz w:val="20"/>
          <w:szCs w:val="20"/>
        </w:rPr>
        <w:t xml:space="preserve">, to reduce GHGs emissions by 24.7% below the </w:t>
      </w:r>
      <w:r w:rsidR="00304B30" w:rsidRPr="008F1EBB">
        <w:rPr>
          <w:rFonts w:ascii="Arial" w:hAnsi="Arial" w:cs="Arial"/>
          <w:color w:val="000000"/>
          <w:sz w:val="20"/>
          <w:szCs w:val="20"/>
        </w:rPr>
        <w:t>business-as-usual</w:t>
      </w:r>
      <w:r w:rsidR="00FA5D67" w:rsidRPr="008F1EBB">
        <w:rPr>
          <w:rFonts w:ascii="Arial" w:hAnsi="Arial" w:cs="Arial"/>
          <w:color w:val="000000"/>
          <w:sz w:val="20"/>
          <w:szCs w:val="20"/>
        </w:rPr>
        <w:t xml:space="preserve"> scenario in 2030. </w:t>
      </w:r>
      <w:r w:rsidR="00240EF5" w:rsidRPr="008F1EBB">
        <w:rPr>
          <w:rFonts w:ascii="Arial" w:hAnsi="Arial" w:cs="Arial"/>
          <w:color w:val="000000"/>
          <w:sz w:val="20"/>
          <w:szCs w:val="20"/>
        </w:rPr>
        <w:t>As shown above</w:t>
      </w:r>
      <w:r w:rsidR="000F0718">
        <w:rPr>
          <w:rFonts w:ascii="Arial" w:hAnsi="Arial" w:cs="Arial"/>
          <w:color w:val="000000"/>
          <w:sz w:val="20"/>
          <w:szCs w:val="20"/>
        </w:rPr>
        <w:t xml:space="preserve"> in Table 1</w:t>
      </w:r>
      <w:r w:rsidR="00240EF5" w:rsidRPr="008F1EBB">
        <w:rPr>
          <w:rFonts w:ascii="Arial" w:hAnsi="Arial" w:cs="Arial"/>
          <w:color w:val="000000"/>
          <w:sz w:val="20"/>
          <w:szCs w:val="20"/>
        </w:rPr>
        <w:t xml:space="preserve">, </w:t>
      </w:r>
      <w:r w:rsidR="00EA0946" w:rsidRPr="008F1EBB">
        <w:rPr>
          <w:rFonts w:ascii="Arial" w:hAnsi="Arial" w:cs="Arial"/>
          <w:color w:val="000000"/>
          <w:sz w:val="20"/>
          <w:szCs w:val="20"/>
        </w:rPr>
        <w:t>t</w:t>
      </w:r>
      <w:r w:rsidR="00240EF5" w:rsidRPr="008F1EBB">
        <w:rPr>
          <w:rFonts w:ascii="Arial" w:hAnsi="Arial" w:cs="Arial"/>
          <w:sz w:val="20"/>
          <w:szCs w:val="20"/>
          <w:shd w:val="clear" w:color="auto" w:fill="FFFFFF"/>
        </w:rPr>
        <w:t xml:space="preserve">he Land Use and Land cover Change and Forestry sector is the largest GHG emission contributor. In addition, the same sector substantial contribution is found for the </w:t>
      </w:r>
      <w:r w:rsidR="00240EF5" w:rsidRPr="008F1EBB">
        <w:rPr>
          <w:rFonts w:ascii="Arial" w:hAnsi="Arial" w:cs="Arial"/>
          <w:color w:val="000000"/>
          <w:sz w:val="20"/>
          <w:szCs w:val="20"/>
        </w:rPr>
        <w:t xml:space="preserve">regions of interest. </w:t>
      </w:r>
      <w:r w:rsidR="002E19EA" w:rsidRPr="008F1EBB">
        <w:rPr>
          <w:rFonts w:ascii="Arial" w:hAnsi="Arial" w:cs="Arial"/>
          <w:color w:val="000000"/>
          <w:sz w:val="20"/>
          <w:szCs w:val="20"/>
        </w:rPr>
        <w:t>The government of Uganda planned for 24.7% emission reduction relative to the business-as-usual emission scenario. E</w:t>
      </w:r>
      <w:r w:rsidR="00240EF5" w:rsidRPr="008F1EBB">
        <w:rPr>
          <w:rFonts w:ascii="Arial" w:hAnsi="Arial" w:cs="Arial"/>
          <w:color w:val="000000"/>
          <w:sz w:val="20"/>
          <w:szCs w:val="20"/>
        </w:rPr>
        <w:t xml:space="preserve">mphasizing on emission reduction </w:t>
      </w:r>
      <w:r w:rsidR="00D8032C" w:rsidRPr="008F1EBB">
        <w:rPr>
          <w:rFonts w:ascii="Arial" w:hAnsi="Arial" w:cs="Arial"/>
          <w:color w:val="000000"/>
          <w:sz w:val="20"/>
          <w:szCs w:val="20"/>
        </w:rPr>
        <w:t>interventions on</w:t>
      </w:r>
      <w:r w:rsidR="00240EF5" w:rsidRPr="008F1EBB">
        <w:rPr>
          <w:rFonts w:ascii="Arial" w:hAnsi="Arial" w:cs="Arial"/>
          <w:color w:val="000000"/>
          <w:sz w:val="20"/>
          <w:szCs w:val="20"/>
        </w:rPr>
        <w:t xml:space="preserve"> the land use land cover change and forestry sector</w:t>
      </w:r>
      <w:r w:rsidR="002E19EA" w:rsidRPr="008F1EBB">
        <w:rPr>
          <w:rFonts w:ascii="Arial" w:hAnsi="Arial" w:cs="Arial"/>
          <w:color w:val="000000"/>
          <w:sz w:val="20"/>
          <w:szCs w:val="20"/>
        </w:rPr>
        <w:t xml:space="preserve"> alone</w:t>
      </w:r>
      <w:r w:rsidR="00240EF5" w:rsidRPr="008F1EBB">
        <w:rPr>
          <w:rFonts w:ascii="Arial" w:hAnsi="Arial" w:cs="Arial"/>
          <w:color w:val="000000"/>
          <w:sz w:val="20"/>
          <w:szCs w:val="20"/>
        </w:rPr>
        <w:t xml:space="preserve"> enables to </w:t>
      </w:r>
      <w:r w:rsidR="002E19EA" w:rsidRPr="008F1EBB">
        <w:rPr>
          <w:rFonts w:ascii="Arial" w:hAnsi="Arial" w:cs="Arial"/>
          <w:color w:val="000000"/>
          <w:sz w:val="20"/>
          <w:szCs w:val="20"/>
        </w:rPr>
        <w:t>make substantial reduction (</w:t>
      </w:r>
      <w:r w:rsidR="002B4C41" w:rsidRPr="008F1EBB">
        <w:rPr>
          <w:rFonts w:ascii="Arial" w:hAnsi="Arial" w:cs="Arial"/>
          <w:color w:val="000000"/>
          <w:sz w:val="20"/>
          <w:szCs w:val="20"/>
        </w:rPr>
        <w:t>30.4 MtCO</w:t>
      </w:r>
      <w:r w:rsidR="002B4C41" w:rsidRPr="008F1EBB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="002B4C41" w:rsidRPr="008F1EBB">
        <w:rPr>
          <w:rFonts w:ascii="Arial" w:hAnsi="Arial" w:cs="Arial"/>
          <w:color w:val="000000"/>
          <w:sz w:val="20"/>
          <w:szCs w:val="20"/>
        </w:rPr>
        <w:t xml:space="preserve">e which is </w:t>
      </w:r>
      <w:r w:rsidR="002E19EA" w:rsidRPr="008F1EBB">
        <w:rPr>
          <w:rFonts w:ascii="Arial" w:hAnsi="Arial" w:cs="Arial"/>
          <w:color w:val="000000"/>
          <w:sz w:val="20"/>
          <w:szCs w:val="20"/>
        </w:rPr>
        <w:t>about 20.5%) in GHG emission from the planned 24.7% reduction of GHGs by 2030.</w:t>
      </w:r>
      <w:r w:rsidR="002B4C41" w:rsidRPr="008F1EB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1C42F81" w14:textId="32BEEEEC" w:rsidR="00FE05C3" w:rsidRDefault="00D1020B" w:rsidP="00A76019">
      <w:pPr>
        <w:jc w:val="both"/>
        <w:rPr>
          <w:rStyle w:val="eop"/>
          <w:rFonts w:ascii="Arial" w:hAnsi="Arial" w:cs="Arial"/>
          <w:i/>
          <w:iCs/>
          <w:sz w:val="20"/>
          <w:szCs w:val="20"/>
          <w:shd w:val="clear" w:color="auto" w:fill="FFFFFF"/>
        </w:rPr>
        <w:sectPr w:rsidR="00FE05C3" w:rsidSect="00FE05C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For potential mitigation interventions,</w:t>
      </w:r>
      <w:r w:rsidR="00FA5D6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 the 12 administrative regions are prioritized </w:t>
      </w:r>
      <w:r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using </w:t>
      </w:r>
      <w:r w:rsidR="00C13B7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total woodland emissions (in </w:t>
      </w:r>
      <w:proofErr w:type="spellStart"/>
      <w:r w:rsidR="00C13B7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mt</w:t>
      </w:r>
      <w:proofErr w:type="spellEnd"/>
      <w:r w:rsidR="00C13B7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) (Fig. M). The subregions of the 12 administrative regions are also prioritized using total woodland emissions (in </w:t>
      </w:r>
      <w:proofErr w:type="spellStart"/>
      <w:r w:rsidR="00C13B7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mt</w:t>
      </w:r>
      <w:proofErr w:type="spellEnd"/>
      <w:r w:rsidR="00C13B7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) and c</w:t>
      </w:r>
      <w:r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ompound rate (in %) </w:t>
      </w:r>
      <w:r w:rsidR="00C13B7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in </w:t>
      </w:r>
      <w:r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Fig. </w:t>
      </w:r>
      <w:r w:rsidR="00C13B7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>N</w:t>
      </w:r>
      <w:r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) </w:t>
      </w:r>
      <w:r w:rsidR="00FA5D6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and Fig. </w:t>
      </w:r>
      <w:r w:rsidR="00C13B77" w:rsidRPr="008F1EBB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O, respectively. </w:t>
      </w:r>
      <w:r w:rsidR="000F0718">
        <w:rPr>
          <w:rStyle w:val="eop"/>
          <w:rFonts w:ascii="Arial" w:hAnsi="Arial" w:cs="Arial"/>
          <w:sz w:val="20"/>
          <w:szCs w:val="20"/>
          <w:shd w:val="clear" w:color="auto" w:fill="FFFFFF"/>
        </w:rPr>
        <w:t>Interventions in all regions at the same time can be challenging given limited resources available.  Therefore, mitigation efforts that emphasize on regions of higher CO</w:t>
      </w:r>
      <w:r w:rsidR="000F0718" w:rsidRPr="00A76019">
        <w:rPr>
          <w:rStyle w:val="eop"/>
          <w:rFonts w:ascii="Arial" w:hAnsi="Arial" w:cs="Arial"/>
          <w:sz w:val="20"/>
          <w:szCs w:val="20"/>
          <w:shd w:val="clear" w:color="auto" w:fill="FFFFFF"/>
          <w:vertAlign w:val="subscript"/>
        </w:rPr>
        <w:t xml:space="preserve">2 </w:t>
      </w:r>
      <w:r w:rsidR="000F0718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emission </w:t>
      </w:r>
      <w:r w:rsidR="00A76019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enable </w:t>
      </w:r>
      <w:r w:rsidR="000F0718">
        <w:rPr>
          <w:rStyle w:val="eop"/>
          <w:rFonts w:ascii="Arial" w:hAnsi="Arial" w:cs="Arial"/>
          <w:sz w:val="20"/>
          <w:szCs w:val="20"/>
          <w:shd w:val="clear" w:color="auto" w:fill="FFFFFF"/>
        </w:rPr>
        <w:t xml:space="preserve">to bring accelerated result in achieving the ambitions of the government. </w:t>
      </w:r>
      <w:r w:rsidR="00A76019">
        <w:rPr>
          <w:rStyle w:val="eop"/>
          <w:rFonts w:ascii="Arial" w:hAnsi="Arial" w:cs="Arial"/>
          <w:sz w:val="20"/>
          <w:szCs w:val="20"/>
          <w:shd w:val="clear" w:color="auto" w:fill="FFFFFF"/>
        </w:rPr>
        <w:t>Figures N and O, due to higher spatial scale, can be used in implementing mitigation option, although they are alternative options to Figure M.</w:t>
      </w:r>
    </w:p>
    <w:p w14:paraId="472B3DCE" w14:textId="3F7C67AC" w:rsidR="002A7116" w:rsidRPr="00A76019" w:rsidRDefault="002A7116" w:rsidP="00FA5D67">
      <w:pPr>
        <w:jc w:val="both"/>
        <w:rPr>
          <w:rStyle w:val="eop"/>
          <w:rFonts w:ascii="Arial" w:hAnsi="Arial" w:cs="Arial"/>
          <w:sz w:val="20"/>
          <w:szCs w:val="20"/>
          <w:shd w:val="clear" w:color="auto" w:fill="FFFFFF"/>
        </w:rPr>
      </w:pPr>
    </w:p>
    <w:p w14:paraId="32D37B7A" w14:textId="0D872587" w:rsidR="00FA5D67" w:rsidRPr="008F1EBB" w:rsidRDefault="00C13B77" w:rsidP="00FA5D67">
      <w:pPr>
        <w:jc w:val="both"/>
        <w:rPr>
          <w:rStyle w:val="eop"/>
          <w:rFonts w:ascii="Arial" w:hAnsi="Arial" w:cs="Arial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7B36DE4" wp14:editId="74610FEF">
            <wp:extent cx="5010150" cy="3398698"/>
            <wp:effectExtent l="0" t="0" r="0" b="0"/>
            <wp:docPr id="1642588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725" cy="34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B7AD" w14:textId="279BA459" w:rsidR="00636D21" w:rsidRPr="008F1EBB" w:rsidRDefault="00C13B77" w:rsidP="00C13B77">
      <w:pPr>
        <w:tabs>
          <w:tab w:val="left" w:pos="2655"/>
        </w:tabs>
        <w:rPr>
          <w:rStyle w:val="eop"/>
          <w:rFonts w:ascii="Arial" w:hAnsi="Arial" w:cs="Arial"/>
          <w:sz w:val="20"/>
          <w:szCs w:val="20"/>
        </w:rPr>
      </w:pPr>
      <w:r w:rsidRPr="008F1EBB">
        <w:rPr>
          <w:rStyle w:val="eop"/>
          <w:rFonts w:ascii="Arial" w:hAnsi="Arial" w:cs="Arial"/>
          <w:sz w:val="20"/>
          <w:szCs w:val="20"/>
        </w:rPr>
        <w:t xml:space="preserve">Fig. M: Total woodland emission (in </w:t>
      </w:r>
      <w:r w:rsidR="001C36E1" w:rsidRPr="008F1EBB">
        <w:rPr>
          <w:rStyle w:val="eop"/>
          <w:rFonts w:ascii="Arial" w:hAnsi="Arial" w:cs="Arial"/>
          <w:sz w:val="20"/>
          <w:szCs w:val="20"/>
        </w:rPr>
        <w:t>Mt</w:t>
      </w:r>
      <w:r w:rsidR="001C36E1">
        <w:rPr>
          <w:rStyle w:val="eop"/>
          <w:rFonts w:ascii="Arial" w:hAnsi="Arial" w:cs="Arial"/>
          <w:sz w:val="20"/>
          <w:szCs w:val="20"/>
        </w:rPr>
        <w:t>CO</w:t>
      </w:r>
      <w:r w:rsidR="001C36E1" w:rsidRPr="001C36E1">
        <w:rPr>
          <w:rStyle w:val="eop"/>
          <w:rFonts w:ascii="Arial" w:hAnsi="Arial" w:cs="Arial"/>
          <w:sz w:val="20"/>
          <w:szCs w:val="20"/>
          <w:vertAlign w:val="subscript"/>
        </w:rPr>
        <w:t>2</w:t>
      </w:r>
      <w:r w:rsidR="001C36E1">
        <w:rPr>
          <w:rStyle w:val="eop"/>
          <w:rFonts w:ascii="Arial" w:hAnsi="Arial" w:cs="Arial"/>
          <w:sz w:val="20"/>
          <w:szCs w:val="20"/>
        </w:rPr>
        <w:t>e</w:t>
      </w:r>
      <w:r w:rsidRPr="008F1EBB">
        <w:rPr>
          <w:rStyle w:val="eop"/>
          <w:rFonts w:ascii="Arial" w:hAnsi="Arial" w:cs="Arial"/>
          <w:sz w:val="20"/>
          <w:szCs w:val="20"/>
        </w:rPr>
        <w:t>)</w:t>
      </w:r>
    </w:p>
    <w:p w14:paraId="1B8A8EF6" w14:textId="05C2E32C" w:rsidR="007B3650" w:rsidRPr="008F1EBB" w:rsidRDefault="00A76019">
      <w:pPr>
        <w:rPr>
          <w:rFonts w:ascii="Arial" w:hAnsi="Arial" w:cs="Arial"/>
          <w:sz w:val="20"/>
          <w:szCs w:val="20"/>
        </w:rPr>
      </w:pPr>
      <w:r w:rsidRPr="008F1EBB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42B9501" wp14:editId="5C67EB4F">
            <wp:simplePos x="0" y="0"/>
            <wp:positionH relativeFrom="margin">
              <wp:posOffset>0</wp:posOffset>
            </wp:positionH>
            <wp:positionV relativeFrom="paragraph">
              <wp:posOffset>15875</wp:posOffset>
            </wp:positionV>
            <wp:extent cx="5305425" cy="3597910"/>
            <wp:effectExtent l="0" t="0" r="9525" b="2540"/>
            <wp:wrapSquare wrapText="bothSides"/>
            <wp:docPr id="1854007973" name="Picture 6" descr="A map of different color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07973" name="Picture 6" descr="A map of different colored stat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9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C4CF1" w14:textId="77777777" w:rsidR="007B3650" w:rsidRPr="008F1EBB" w:rsidRDefault="007B3650" w:rsidP="007B3650">
      <w:pPr>
        <w:rPr>
          <w:rFonts w:ascii="Arial" w:hAnsi="Arial" w:cs="Arial"/>
          <w:sz w:val="20"/>
          <w:szCs w:val="20"/>
        </w:rPr>
      </w:pPr>
    </w:p>
    <w:p w14:paraId="4B3B68C9" w14:textId="77777777" w:rsidR="007B3650" w:rsidRPr="008F1EBB" w:rsidRDefault="007B3650" w:rsidP="007B3650">
      <w:pPr>
        <w:rPr>
          <w:rFonts w:ascii="Arial" w:hAnsi="Arial" w:cs="Arial"/>
          <w:sz w:val="20"/>
          <w:szCs w:val="20"/>
        </w:rPr>
      </w:pPr>
    </w:p>
    <w:p w14:paraId="62764D87" w14:textId="77777777" w:rsidR="007B3650" w:rsidRPr="008F1EBB" w:rsidRDefault="007B3650" w:rsidP="007B3650">
      <w:pPr>
        <w:rPr>
          <w:rFonts w:ascii="Arial" w:hAnsi="Arial" w:cs="Arial"/>
          <w:sz w:val="20"/>
          <w:szCs w:val="20"/>
        </w:rPr>
      </w:pPr>
    </w:p>
    <w:p w14:paraId="7BCBDBE5" w14:textId="77777777" w:rsidR="007B3650" w:rsidRPr="008F1EBB" w:rsidRDefault="007B3650" w:rsidP="007B3650">
      <w:pPr>
        <w:rPr>
          <w:rFonts w:ascii="Arial" w:hAnsi="Arial" w:cs="Arial"/>
          <w:sz w:val="20"/>
          <w:szCs w:val="20"/>
        </w:rPr>
      </w:pPr>
    </w:p>
    <w:p w14:paraId="186CA753" w14:textId="77777777" w:rsidR="007B3650" w:rsidRPr="008F1EBB" w:rsidRDefault="007B3650" w:rsidP="007B3650">
      <w:pPr>
        <w:rPr>
          <w:rFonts w:ascii="Arial" w:hAnsi="Arial" w:cs="Arial"/>
          <w:sz w:val="20"/>
          <w:szCs w:val="20"/>
        </w:rPr>
      </w:pPr>
    </w:p>
    <w:p w14:paraId="2B3B31DC" w14:textId="77777777" w:rsidR="007B3650" w:rsidRPr="008F1EBB" w:rsidRDefault="007B3650" w:rsidP="007B3650">
      <w:pPr>
        <w:rPr>
          <w:rFonts w:ascii="Arial" w:hAnsi="Arial" w:cs="Arial"/>
          <w:sz w:val="20"/>
          <w:szCs w:val="20"/>
        </w:rPr>
      </w:pPr>
    </w:p>
    <w:p w14:paraId="7BBD8D89" w14:textId="77777777" w:rsidR="007B3650" w:rsidRPr="008F1EBB" w:rsidRDefault="007B3650" w:rsidP="007B3650">
      <w:pPr>
        <w:rPr>
          <w:rFonts w:ascii="Arial" w:hAnsi="Arial" w:cs="Arial"/>
          <w:sz w:val="20"/>
          <w:szCs w:val="20"/>
        </w:rPr>
      </w:pPr>
    </w:p>
    <w:p w14:paraId="3990E213" w14:textId="77777777" w:rsidR="007B3650" w:rsidRPr="008F1EBB" w:rsidRDefault="007B3650" w:rsidP="007B3650">
      <w:pPr>
        <w:rPr>
          <w:rFonts w:ascii="Arial" w:hAnsi="Arial" w:cs="Arial"/>
          <w:sz w:val="20"/>
          <w:szCs w:val="20"/>
        </w:rPr>
      </w:pPr>
    </w:p>
    <w:p w14:paraId="09242662" w14:textId="77777777" w:rsidR="007B3650" w:rsidRDefault="007B3650">
      <w:pPr>
        <w:rPr>
          <w:rFonts w:ascii="Arial" w:hAnsi="Arial" w:cs="Arial"/>
          <w:sz w:val="20"/>
          <w:szCs w:val="20"/>
        </w:rPr>
      </w:pPr>
    </w:p>
    <w:p w14:paraId="0F51D1F9" w14:textId="77777777" w:rsidR="00A76019" w:rsidRPr="008F1EBB" w:rsidRDefault="00A76019">
      <w:pPr>
        <w:rPr>
          <w:rFonts w:ascii="Arial" w:hAnsi="Arial" w:cs="Arial"/>
          <w:sz w:val="20"/>
          <w:szCs w:val="20"/>
        </w:rPr>
      </w:pPr>
    </w:p>
    <w:p w14:paraId="532BE248" w14:textId="77777777" w:rsidR="007B3650" w:rsidRPr="008F1EBB" w:rsidRDefault="007B3650" w:rsidP="006A23A3">
      <w:pPr>
        <w:rPr>
          <w:rFonts w:ascii="Arial" w:hAnsi="Arial" w:cs="Arial"/>
          <w:sz w:val="20"/>
          <w:szCs w:val="20"/>
        </w:rPr>
      </w:pPr>
    </w:p>
    <w:p w14:paraId="49CA88F5" w14:textId="77777777" w:rsidR="007B3650" w:rsidRDefault="007B3650" w:rsidP="007B3650">
      <w:pPr>
        <w:jc w:val="center"/>
        <w:rPr>
          <w:rFonts w:ascii="Arial" w:hAnsi="Arial" w:cs="Arial"/>
          <w:sz w:val="20"/>
          <w:szCs w:val="20"/>
        </w:rPr>
      </w:pPr>
    </w:p>
    <w:p w14:paraId="73C5D8E9" w14:textId="77777777" w:rsidR="00A76019" w:rsidRPr="008F1EBB" w:rsidRDefault="00A76019" w:rsidP="007B3650">
      <w:pPr>
        <w:jc w:val="center"/>
        <w:rPr>
          <w:rFonts w:ascii="Arial" w:hAnsi="Arial" w:cs="Arial"/>
          <w:sz w:val="20"/>
          <w:szCs w:val="20"/>
        </w:rPr>
      </w:pPr>
    </w:p>
    <w:p w14:paraId="129B8003" w14:textId="0C03388E" w:rsidR="007B3650" w:rsidRPr="008F1EBB" w:rsidRDefault="007B3650" w:rsidP="007B3650">
      <w:pPr>
        <w:rPr>
          <w:rFonts w:ascii="Arial" w:hAnsi="Arial" w:cs="Arial"/>
          <w:sz w:val="20"/>
          <w:szCs w:val="20"/>
        </w:rPr>
      </w:pPr>
      <w:r w:rsidRPr="008F1EBB">
        <w:rPr>
          <w:rFonts w:ascii="Arial" w:hAnsi="Arial" w:cs="Arial"/>
          <w:sz w:val="20"/>
          <w:szCs w:val="20"/>
        </w:rPr>
        <w:t xml:space="preserve">Fig. N. Total woodland emissions (in </w:t>
      </w:r>
      <w:r w:rsidR="001C36E1" w:rsidRPr="008F1EBB">
        <w:rPr>
          <w:rStyle w:val="eop"/>
          <w:rFonts w:ascii="Arial" w:hAnsi="Arial" w:cs="Arial"/>
          <w:sz w:val="20"/>
          <w:szCs w:val="20"/>
        </w:rPr>
        <w:t>Mt</w:t>
      </w:r>
      <w:r w:rsidR="001C36E1">
        <w:rPr>
          <w:rStyle w:val="eop"/>
          <w:rFonts w:ascii="Arial" w:hAnsi="Arial" w:cs="Arial"/>
          <w:sz w:val="20"/>
          <w:szCs w:val="20"/>
        </w:rPr>
        <w:t>CO</w:t>
      </w:r>
      <w:r w:rsidR="001C36E1" w:rsidRPr="001C36E1">
        <w:rPr>
          <w:rStyle w:val="eop"/>
          <w:rFonts w:ascii="Arial" w:hAnsi="Arial" w:cs="Arial"/>
          <w:sz w:val="20"/>
          <w:szCs w:val="20"/>
          <w:vertAlign w:val="subscript"/>
        </w:rPr>
        <w:t>2</w:t>
      </w:r>
      <w:r w:rsidR="001C36E1">
        <w:rPr>
          <w:rStyle w:val="eop"/>
          <w:rFonts w:ascii="Arial" w:hAnsi="Arial" w:cs="Arial"/>
          <w:sz w:val="20"/>
          <w:szCs w:val="20"/>
        </w:rPr>
        <w:t>e</w:t>
      </w:r>
      <w:r w:rsidRPr="008F1EBB">
        <w:rPr>
          <w:rFonts w:ascii="Arial" w:hAnsi="Arial" w:cs="Arial"/>
          <w:sz w:val="20"/>
          <w:szCs w:val="20"/>
        </w:rPr>
        <w:t xml:space="preserve">) </w:t>
      </w:r>
    </w:p>
    <w:p w14:paraId="672BA356" w14:textId="56DB3E61" w:rsidR="00041F3A" w:rsidRPr="008F1EBB" w:rsidRDefault="00041F3A">
      <w:pPr>
        <w:rPr>
          <w:rFonts w:ascii="Arial" w:hAnsi="Arial" w:cs="Arial"/>
          <w:sz w:val="20"/>
          <w:szCs w:val="20"/>
        </w:rPr>
      </w:pPr>
      <w:r w:rsidRPr="008F1EBB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679775B" wp14:editId="63117C41">
            <wp:extent cx="5162550" cy="3502079"/>
            <wp:effectExtent l="0" t="0" r="0" b="3175"/>
            <wp:docPr id="876704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909" cy="351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C043F2" w14:textId="3E4D8338" w:rsidR="005011CB" w:rsidRPr="008F1EBB" w:rsidRDefault="005011CB" w:rsidP="005011CB">
      <w:pPr>
        <w:rPr>
          <w:rFonts w:ascii="Arial" w:hAnsi="Arial" w:cs="Arial"/>
          <w:sz w:val="20"/>
          <w:szCs w:val="20"/>
        </w:rPr>
      </w:pPr>
      <w:r w:rsidRPr="008F1EBB">
        <w:rPr>
          <w:rFonts w:ascii="Arial" w:hAnsi="Arial" w:cs="Arial"/>
          <w:sz w:val="20"/>
          <w:szCs w:val="20"/>
        </w:rPr>
        <w:t xml:space="preserve">Fig. </w:t>
      </w:r>
      <w:r w:rsidR="007B3650" w:rsidRPr="008F1EBB">
        <w:rPr>
          <w:rFonts w:ascii="Arial" w:hAnsi="Arial" w:cs="Arial"/>
          <w:sz w:val="20"/>
          <w:szCs w:val="20"/>
        </w:rPr>
        <w:t>O</w:t>
      </w:r>
      <w:r w:rsidRPr="008F1EBB">
        <w:rPr>
          <w:rFonts w:ascii="Arial" w:hAnsi="Arial" w:cs="Arial"/>
          <w:sz w:val="20"/>
          <w:szCs w:val="20"/>
        </w:rPr>
        <w:t>. Compound rate</w:t>
      </w:r>
      <w:r w:rsidR="009C3D2D" w:rsidRPr="008F1EBB">
        <w:rPr>
          <w:rFonts w:ascii="Arial" w:hAnsi="Arial" w:cs="Arial"/>
          <w:sz w:val="20"/>
          <w:szCs w:val="20"/>
        </w:rPr>
        <w:t xml:space="preserve"> </w:t>
      </w:r>
      <w:r w:rsidR="00C13B77" w:rsidRPr="008F1EBB">
        <w:rPr>
          <w:rFonts w:ascii="Arial" w:hAnsi="Arial" w:cs="Arial"/>
          <w:sz w:val="20"/>
          <w:szCs w:val="20"/>
        </w:rPr>
        <w:t xml:space="preserve">of change </w:t>
      </w:r>
      <w:r w:rsidR="009C3D2D" w:rsidRPr="008F1EBB">
        <w:rPr>
          <w:rFonts w:ascii="Arial" w:hAnsi="Arial" w:cs="Arial"/>
          <w:sz w:val="20"/>
          <w:szCs w:val="20"/>
        </w:rPr>
        <w:t>in percentage</w:t>
      </w:r>
    </w:p>
    <w:p w14:paraId="4CCD6C4A" w14:textId="77777777" w:rsidR="005011CB" w:rsidRPr="008F1EBB" w:rsidRDefault="005011CB">
      <w:pPr>
        <w:rPr>
          <w:rFonts w:ascii="Arial" w:hAnsi="Arial" w:cs="Arial"/>
          <w:sz w:val="20"/>
          <w:szCs w:val="20"/>
        </w:rPr>
      </w:pPr>
    </w:p>
    <w:p w14:paraId="568F6BC9" w14:textId="6617266D" w:rsidR="00041F3A" w:rsidRPr="008F1EBB" w:rsidRDefault="00041F3A">
      <w:pPr>
        <w:rPr>
          <w:rFonts w:ascii="Arial" w:hAnsi="Arial" w:cs="Arial"/>
          <w:sz w:val="20"/>
          <w:szCs w:val="20"/>
        </w:rPr>
      </w:pPr>
    </w:p>
    <w:p w14:paraId="1799C404" w14:textId="31A621FD" w:rsidR="00A76019" w:rsidRPr="00A76019" w:rsidRDefault="00A76019" w:rsidP="00550E79">
      <w:pPr>
        <w:ind w:left="720" w:hanging="720"/>
        <w:rPr>
          <w:rStyle w:val="normaltextrun"/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</w:pPr>
      <w:r w:rsidRPr="00A76019">
        <w:rPr>
          <w:rStyle w:val="normaltextrun"/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References</w:t>
      </w:r>
    </w:p>
    <w:p w14:paraId="229265BF" w14:textId="200915E5" w:rsidR="006A23A3" w:rsidRPr="008F1EBB" w:rsidRDefault="00C25632" w:rsidP="00550E79">
      <w:pPr>
        <w:ind w:left="720" w:hanging="720"/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Global </w:t>
      </w:r>
      <w:r w:rsidR="00550E79"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>C</w:t>
      </w:r>
      <w:r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arbon </w:t>
      </w:r>
      <w:r w:rsidR="00550E79"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>B</w:t>
      </w:r>
      <w:r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>udget</w:t>
      </w:r>
      <w:r w:rsidR="00550E79"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  <w:r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(2023)</w:t>
      </w:r>
      <w:r w:rsidR="006A23A3"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Uganda: CO2 Country Profile. Available at: </w:t>
      </w:r>
      <w:hyperlink r:id="rId18" w:history="1">
        <w:r w:rsidR="006A23A3" w:rsidRPr="008F1EBB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</w:rPr>
          <w:t>https://ourworldindata.org/co2/country/uganda</w:t>
        </w:r>
      </w:hyperlink>
      <w:r w:rsidR="006A23A3"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Access date: 06 </w:t>
      </w:r>
      <w:r w:rsidR="004208BE"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>September</w:t>
      </w:r>
      <w:r w:rsidR="006A23A3"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2023. </w:t>
      </w:r>
    </w:p>
    <w:p w14:paraId="6DE12E80" w14:textId="4AF9C309" w:rsidR="00C25632" w:rsidRPr="008F1EBB" w:rsidRDefault="006A23A3" w:rsidP="00550E79">
      <w:pPr>
        <w:ind w:left="720" w:hanging="720"/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8F1EBB">
        <w:rPr>
          <w:rFonts w:ascii="Arial" w:hAnsi="Arial" w:cs="Arial"/>
          <w:sz w:val="20"/>
          <w:szCs w:val="20"/>
        </w:rPr>
        <w:t>MWE</w:t>
      </w:r>
      <w:r w:rsidR="00550E79" w:rsidRPr="008F1EBB">
        <w:rPr>
          <w:rFonts w:ascii="Arial" w:hAnsi="Arial" w:cs="Arial"/>
          <w:sz w:val="20"/>
          <w:szCs w:val="20"/>
        </w:rPr>
        <w:t>.</w:t>
      </w:r>
      <w:r w:rsidRPr="008F1EBB">
        <w:rPr>
          <w:rFonts w:ascii="Arial" w:hAnsi="Arial" w:cs="Arial"/>
          <w:sz w:val="20"/>
          <w:szCs w:val="20"/>
        </w:rPr>
        <w:t xml:space="preserve"> (2022). Updated Nationally Determined Contribution (NDC)</w:t>
      </w:r>
      <w:r w:rsidR="004208BE" w:rsidRPr="008F1EBB">
        <w:rPr>
          <w:rFonts w:ascii="Arial" w:hAnsi="Arial" w:cs="Arial"/>
          <w:sz w:val="20"/>
          <w:szCs w:val="20"/>
        </w:rPr>
        <w:t xml:space="preserve">. Available at: </w:t>
      </w:r>
      <w:hyperlink r:id="rId19" w:history="1">
        <w:r w:rsidR="004208BE" w:rsidRPr="008F1EBB">
          <w:rPr>
            <w:rStyle w:val="Hyperlink"/>
            <w:rFonts w:ascii="Arial" w:hAnsi="Arial" w:cs="Arial"/>
            <w:sz w:val="20"/>
            <w:szCs w:val="20"/>
          </w:rPr>
          <w:t>https://faolex.fao.org/docs/pdf/uga216549.pdf</w:t>
        </w:r>
      </w:hyperlink>
      <w:r w:rsidR="004208BE" w:rsidRPr="008F1EBB">
        <w:rPr>
          <w:rFonts w:ascii="Arial" w:hAnsi="Arial" w:cs="Arial"/>
          <w:sz w:val="20"/>
          <w:szCs w:val="20"/>
        </w:rPr>
        <w:t xml:space="preserve"> . Access date: </w:t>
      </w:r>
      <w:r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="004208BE"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>06 September 2023</w:t>
      </w:r>
    </w:p>
    <w:p w14:paraId="0FFFE34D" w14:textId="51396C15" w:rsidR="00D747AC" w:rsidRDefault="00D747AC" w:rsidP="00550E79">
      <w:pPr>
        <w:ind w:left="720" w:hanging="720"/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>MWE</w:t>
      </w:r>
      <w:r w:rsidR="00550E79"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  <w:r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(2018). Proposed Forest Reference Level for Uganda. Available at </w:t>
      </w:r>
      <w:hyperlink r:id="rId20" w:history="1">
        <w:r w:rsidRPr="008F1EBB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</w:rPr>
          <w:t>https://www.mwe.go.ug/sites/default/files/library/Final%20-%20Uganda%20Forest%20Reference%20Emission%20Level%20Document%20-February%202018.pdf</w:t>
        </w:r>
      </w:hyperlink>
      <w:r w:rsidRPr="008F1EB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Access date: 06 September 2023  </w:t>
      </w:r>
    </w:p>
    <w:p w14:paraId="22F43028" w14:textId="27916A35" w:rsidR="00C91510" w:rsidRPr="008F1EBB" w:rsidRDefault="00C91510" w:rsidP="00550E79">
      <w:pPr>
        <w:ind w:left="720" w:hanging="720"/>
        <w:rPr>
          <w:rFonts w:ascii="Arial" w:hAnsi="Arial" w:cs="Arial"/>
          <w:sz w:val="20"/>
          <w:szCs w:val="20"/>
        </w:rPr>
      </w:pPr>
      <w:r w:rsidRPr="00C91510">
        <w:rPr>
          <w:rFonts w:ascii="Arial" w:hAnsi="Arial" w:cs="Arial"/>
          <w:sz w:val="20"/>
          <w:szCs w:val="20"/>
        </w:rPr>
        <w:t xml:space="preserve">Ministry of Water and Environment. (2018). Final - Uganda Forest Reference Emission Level Document - February 2018. Retrieved from </w:t>
      </w:r>
      <w:hyperlink r:id="rId21" w:history="1">
        <w:r w:rsidRPr="00303BFF">
          <w:rPr>
            <w:rStyle w:val="Hyperlink"/>
            <w:rFonts w:ascii="Arial" w:hAnsi="Arial" w:cs="Arial"/>
            <w:sz w:val="20"/>
            <w:szCs w:val="20"/>
          </w:rPr>
          <w:t>https://www.mwe.go.ug/sites/default/files/library/Final%20-%20Uganda%20Forest%20Reference%20Emission%20Level%20Document%20-February%202018.pdf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48230319" w14:textId="702EA76E" w:rsidR="00882988" w:rsidRPr="00C91510" w:rsidRDefault="00C915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Nakakaawa, C. A., Vedeld, P. O., &amp; Aune, J. B. (2011). Spatial and temporal land use and carbon stock changes in Uganda: implications for a future REDD strategy.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Mitigation and Adaptation Strategies for Global Change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25-62.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r w:rsidRPr="00C91510">
        <w:rPr>
          <w:rFonts w:ascii="Arial" w:hAnsi="Arial" w:cs="Arial"/>
          <w:color w:val="222222"/>
          <w:sz w:val="20"/>
          <w:szCs w:val="20"/>
          <w:shd w:val="clear" w:color="auto" w:fill="FFFFFF"/>
        </w:rPr>
        <w:t>10.1007/s11027-010-9251-0</w:t>
      </w:r>
    </w:p>
    <w:p w14:paraId="5831B3FA" w14:textId="0266CE0A" w:rsidR="00882988" w:rsidRPr="00A76019" w:rsidRDefault="00882988">
      <w:pPr>
        <w:rPr>
          <w:rFonts w:ascii="Segoe UI" w:hAnsi="Segoe UI" w:cs="Segoe UI"/>
          <w:color w:val="D1D5DB"/>
        </w:rPr>
      </w:pPr>
    </w:p>
    <w:sectPr w:rsidR="00882988" w:rsidRPr="00A76019" w:rsidSect="006E5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1E198" w14:textId="77777777" w:rsidR="00DD1558" w:rsidRDefault="00DD1558" w:rsidP="00B506DB">
      <w:pPr>
        <w:spacing w:after="0" w:line="240" w:lineRule="auto"/>
      </w:pPr>
      <w:r>
        <w:separator/>
      </w:r>
    </w:p>
  </w:endnote>
  <w:endnote w:type="continuationSeparator" w:id="0">
    <w:p w14:paraId="37FC63B9" w14:textId="77777777" w:rsidR="00DD1558" w:rsidRDefault="00DD1558" w:rsidP="00B50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C3E75" w14:textId="77777777" w:rsidR="00DD1558" w:rsidRDefault="00DD1558" w:rsidP="00B506DB">
      <w:pPr>
        <w:spacing w:after="0" w:line="240" w:lineRule="auto"/>
      </w:pPr>
      <w:r>
        <w:separator/>
      </w:r>
    </w:p>
  </w:footnote>
  <w:footnote w:type="continuationSeparator" w:id="0">
    <w:p w14:paraId="43A234D6" w14:textId="77777777" w:rsidR="00DD1558" w:rsidRDefault="00DD1558" w:rsidP="00B506DB">
      <w:pPr>
        <w:spacing w:after="0" w:line="240" w:lineRule="auto"/>
      </w:pPr>
      <w:r>
        <w:continuationSeparator/>
      </w:r>
    </w:p>
  </w:footnote>
  <w:footnote w:id="1">
    <w:p w14:paraId="367CA8DA" w14:textId="765FA314" w:rsidR="00B506DB" w:rsidRPr="00A06132" w:rsidRDefault="00B506DB">
      <w:pPr>
        <w:pStyle w:val="FootnoteText"/>
      </w:pPr>
      <w:r>
        <w:rPr>
          <w:rStyle w:val="FootnoteReference"/>
        </w:rPr>
        <w:footnoteRef/>
      </w:r>
      <w:r w:rsidR="00A06132">
        <w:t xml:space="preserve"> </w:t>
      </w:r>
      <w:r w:rsidR="00A06132" w:rsidRPr="00A06132">
        <w:t>Uganda LULC for the year 2000</w:t>
      </w:r>
      <w:r w:rsidR="00A06132">
        <w:t xml:space="preserve"> </w:t>
      </w:r>
      <w:hyperlink r:id="rId1" w:history="1">
        <w:r w:rsidR="00A06132" w:rsidRPr="00303BFF">
          <w:rPr>
            <w:rStyle w:val="Hyperlink"/>
          </w:rPr>
          <w:t>https://data.apps.fao.org/map/catalog/static/api/records/00956087-b187-4327-b05e-ce7539a150b2</w:t>
        </w:r>
      </w:hyperlink>
      <w:r w:rsidR="00A06132">
        <w:t xml:space="preserve"> </w:t>
      </w:r>
    </w:p>
  </w:footnote>
  <w:footnote w:id="2">
    <w:p w14:paraId="5DB9FFF2" w14:textId="6D0FFBDB" w:rsidR="00B506DB" w:rsidRPr="00A06132" w:rsidRDefault="00B506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06132">
        <w:t>U</w:t>
      </w:r>
      <w:r w:rsidR="00A06132" w:rsidRPr="00A06132">
        <w:t>ganda LULC for the year 20</w:t>
      </w:r>
      <w:r w:rsidR="00A06132">
        <w:t xml:space="preserve">17 </w:t>
      </w:r>
      <w:hyperlink r:id="rId2" w:history="1">
        <w:r w:rsidR="00A06132" w:rsidRPr="00303BFF">
          <w:rPr>
            <w:rStyle w:val="Hyperlink"/>
          </w:rPr>
          <w:t>https://data.apps.fao.org/map/catalog/static/api/records/1fb87d5b-225c-401a-b146-5ce37ae50146</w:t>
        </w:r>
      </w:hyperlink>
      <w:r w:rsidR="00A06132"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B4"/>
    <w:rsid w:val="00041F3A"/>
    <w:rsid w:val="00093439"/>
    <w:rsid w:val="000B3756"/>
    <w:rsid w:val="000E3ED3"/>
    <w:rsid w:val="000F0718"/>
    <w:rsid w:val="000F502D"/>
    <w:rsid w:val="001237BB"/>
    <w:rsid w:val="00124A8C"/>
    <w:rsid w:val="001408F8"/>
    <w:rsid w:val="001704EF"/>
    <w:rsid w:val="001B2893"/>
    <w:rsid w:val="001B6736"/>
    <w:rsid w:val="001C36E1"/>
    <w:rsid w:val="001E433F"/>
    <w:rsid w:val="001E7BD3"/>
    <w:rsid w:val="00240EF5"/>
    <w:rsid w:val="00243DA4"/>
    <w:rsid w:val="002A3E29"/>
    <w:rsid w:val="002A7116"/>
    <w:rsid w:val="002B4C41"/>
    <w:rsid w:val="002D54FC"/>
    <w:rsid w:val="002E19EA"/>
    <w:rsid w:val="0030259A"/>
    <w:rsid w:val="00304B30"/>
    <w:rsid w:val="00327F64"/>
    <w:rsid w:val="00331699"/>
    <w:rsid w:val="00374C00"/>
    <w:rsid w:val="00394C32"/>
    <w:rsid w:val="004208BE"/>
    <w:rsid w:val="004F00C6"/>
    <w:rsid w:val="004F246A"/>
    <w:rsid w:val="005011CB"/>
    <w:rsid w:val="00504F3B"/>
    <w:rsid w:val="00526AE4"/>
    <w:rsid w:val="00535366"/>
    <w:rsid w:val="00550E79"/>
    <w:rsid w:val="00554F45"/>
    <w:rsid w:val="00613F47"/>
    <w:rsid w:val="00621D60"/>
    <w:rsid w:val="00622C54"/>
    <w:rsid w:val="00636D21"/>
    <w:rsid w:val="00644B03"/>
    <w:rsid w:val="0065429F"/>
    <w:rsid w:val="00663533"/>
    <w:rsid w:val="006836D5"/>
    <w:rsid w:val="006A23A3"/>
    <w:rsid w:val="006E57AC"/>
    <w:rsid w:val="006F5D90"/>
    <w:rsid w:val="007103AE"/>
    <w:rsid w:val="00712663"/>
    <w:rsid w:val="0072562C"/>
    <w:rsid w:val="00731360"/>
    <w:rsid w:val="00751AE8"/>
    <w:rsid w:val="007B1AC4"/>
    <w:rsid w:val="007B3650"/>
    <w:rsid w:val="007C1EA7"/>
    <w:rsid w:val="007E50DA"/>
    <w:rsid w:val="00846B8E"/>
    <w:rsid w:val="0085034D"/>
    <w:rsid w:val="00882988"/>
    <w:rsid w:val="0089719C"/>
    <w:rsid w:val="008D5DB2"/>
    <w:rsid w:val="008E7DD6"/>
    <w:rsid w:val="008F04B4"/>
    <w:rsid w:val="008F1EBB"/>
    <w:rsid w:val="00912E06"/>
    <w:rsid w:val="00966986"/>
    <w:rsid w:val="009845A3"/>
    <w:rsid w:val="00997BDC"/>
    <w:rsid w:val="009C3D2D"/>
    <w:rsid w:val="009E4F1A"/>
    <w:rsid w:val="009F6B39"/>
    <w:rsid w:val="00A00A48"/>
    <w:rsid w:val="00A06132"/>
    <w:rsid w:val="00A10911"/>
    <w:rsid w:val="00A4426F"/>
    <w:rsid w:val="00A63F39"/>
    <w:rsid w:val="00A735AE"/>
    <w:rsid w:val="00A76019"/>
    <w:rsid w:val="00AB5630"/>
    <w:rsid w:val="00AF7A6F"/>
    <w:rsid w:val="00B12110"/>
    <w:rsid w:val="00B27A04"/>
    <w:rsid w:val="00B506DB"/>
    <w:rsid w:val="00B74B52"/>
    <w:rsid w:val="00BA3A23"/>
    <w:rsid w:val="00C00791"/>
    <w:rsid w:val="00C011E0"/>
    <w:rsid w:val="00C13B77"/>
    <w:rsid w:val="00C25632"/>
    <w:rsid w:val="00C71593"/>
    <w:rsid w:val="00C91510"/>
    <w:rsid w:val="00C976DE"/>
    <w:rsid w:val="00CB0688"/>
    <w:rsid w:val="00CC4D81"/>
    <w:rsid w:val="00CD0176"/>
    <w:rsid w:val="00CE7371"/>
    <w:rsid w:val="00CF217C"/>
    <w:rsid w:val="00D101D9"/>
    <w:rsid w:val="00D1020B"/>
    <w:rsid w:val="00D142DD"/>
    <w:rsid w:val="00D3741B"/>
    <w:rsid w:val="00D747AC"/>
    <w:rsid w:val="00D8032C"/>
    <w:rsid w:val="00DA3BB7"/>
    <w:rsid w:val="00DD1558"/>
    <w:rsid w:val="00E12D82"/>
    <w:rsid w:val="00E44F64"/>
    <w:rsid w:val="00E9057C"/>
    <w:rsid w:val="00EA0946"/>
    <w:rsid w:val="00ED2123"/>
    <w:rsid w:val="00ED5E0A"/>
    <w:rsid w:val="00EF2FB9"/>
    <w:rsid w:val="00F17628"/>
    <w:rsid w:val="00F707F0"/>
    <w:rsid w:val="00F804D2"/>
    <w:rsid w:val="00FA5D67"/>
    <w:rsid w:val="00FE05C3"/>
    <w:rsid w:val="23777221"/>
    <w:rsid w:val="2CD5E4D1"/>
    <w:rsid w:val="371BB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D319"/>
  <w15:chartTrackingRefBased/>
  <w15:docId w15:val="{429A6331-0432-4902-B95C-D81B292B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F04B4"/>
  </w:style>
  <w:style w:type="character" w:customStyle="1" w:styleId="eop">
    <w:name w:val="eop"/>
    <w:basedOn w:val="DefaultParagraphFont"/>
    <w:rsid w:val="008F04B4"/>
  </w:style>
  <w:style w:type="table" w:styleId="TableGrid">
    <w:name w:val="Table Grid"/>
    <w:basedOn w:val="TableNormal"/>
    <w:uiPriority w:val="39"/>
    <w:rsid w:val="001B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1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59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5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06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6DB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06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06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06DB"/>
    <w:rPr>
      <w:vertAlign w:val="superscript"/>
    </w:rPr>
  </w:style>
  <w:style w:type="paragraph" w:styleId="Revision">
    <w:name w:val="Revision"/>
    <w:hidden/>
    <w:uiPriority w:val="99"/>
    <w:semiHidden/>
    <w:rsid w:val="00A0613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06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3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22352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9041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8181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021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36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319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12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74907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6743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0385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195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393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0370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764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13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327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35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06172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6328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7397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507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443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49238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133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982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75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8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ourworldindata.org/co2/country/ugand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mwe.go.ug/sites/default/files/library/Final%20-%20Uganda%20Forest%20Reference%20Emission%20Level%20Document%20-February%202018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mwe.go.ug/sites/default/files/library/Final%20-%20Uganda%20Forest%20Reference%20Emission%20Level%20Document%20-February%202018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faolex.fao.org/docs/pdf/uga216549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undp.medium.com/what-are-the-ndcs-and-why-are-they-important-48f330b71612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ata.apps.fao.org/map/catalog/static/api/records/1fb87d5b-225c-401a-b146-5ce37ae50146" TargetMode="External"/><Relationship Id="rId1" Type="http://schemas.openxmlformats.org/officeDocument/2006/relationships/hyperlink" Target="https://data.apps.fao.org/map/catalog/static/api/records/00956087-b187-4327-b05e-ce7539a150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8F120632A0C94BA4D129BE374B615A" ma:contentTypeVersion="9" ma:contentTypeDescription="Create a new document." ma:contentTypeScope="" ma:versionID="7b164bbe478df5acba9150f3da596e5b">
  <xsd:schema xmlns:xsd="http://www.w3.org/2001/XMLSchema" xmlns:xs="http://www.w3.org/2001/XMLSchema" xmlns:p="http://schemas.microsoft.com/office/2006/metadata/properties" xmlns:ns2="4f89f53d-af7b-4ecb-a606-c65d19253a7c" xmlns:ns3="1ed94828-4fe6-4f9a-b9fc-38efa81736f3" targetNamespace="http://schemas.microsoft.com/office/2006/metadata/properties" ma:root="true" ma:fieldsID="643afca1174bf6b48b1cd3e12a6928d9" ns2:_="" ns3:_="">
    <xsd:import namespace="4f89f53d-af7b-4ecb-a606-c65d19253a7c"/>
    <xsd:import namespace="1ed94828-4fe6-4f9a-b9fc-38efa81736f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9f53d-af7b-4ecb-a606-c65d19253a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94828-4fe6-4f9a-b9fc-38efa8173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9975D2-0827-4E9C-9D52-BA7F3CCFA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9f53d-af7b-4ecb-a606-c65d19253a7c"/>
    <ds:schemaRef ds:uri="1ed94828-4fe6-4f9a-b9fc-38efa8173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78AA0B-27C1-4B6D-B11D-67F89D07FF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45965F-65E5-4365-BA61-E83FC62AB7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Engdaw, Mastawesha Misganaw (Alliance Bioversity-CIAT)</dc:creator>
  <cp:keywords/>
  <dc:description/>
  <cp:lastModifiedBy>Pete Steward</cp:lastModifiedBy>
  <cp:revision>2</cp:revision>
  <dcterms:created xsi:type="dcterms:W3CDTF">2023-12-05T09:16:00Z</dcterms:created>
  <dcterms:modified xsi:type="dcterms:W3CDTF">2023-12-05T09:16:00Z</dcterms:modified>
</cp:coreProperties>
</file>