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A618B3" w14:textId="77777777" w:rsidR="006E251F" w:rsidRDefault="00000000">
      <w:pPr>
        <w:pStyle w:val="Title"/>
      </w:pPr>
      <w:bookmarkStart w:id="0" w:name="_ko9454sme2j6"/>
      <w:bookmarkEnd w:id="0"/>
      <w:r>
        <w:t>Interhemispheric neural connectivity of the human visual motion complex (hMT+) distinguishes between global perceptual integration and segregation</w:t>
      </w:r>
    </w:p>
    <w:p w14:paraId="270E5B5A" w14:textId="77777777" w:rsidR="006E251F" w:rsidRDefault="00000000">
      <w:pPr>
        <w:rPr>
          <w:vertAlign w:val="superscript"/>
          <w:lang w:val="pt-PT"/>
        </w:rPr>
      </w:pPr>
      <w:r>
        <w:rPr>
          <w:lang w:val="pt-PT"/>
        </w:rPr>
        <w:t xml:space="preserve">Alexandre Sayal </w:t>
      </w:r>
      <w:r>
        <w:rPr>
          <w:vertAlign w:val="superscript"/>
          <w:lang w:val="pt-PT"/>
        </w:rPr>
        <w:t>1,2</w:t>
      </w:r>
      <w:r>
        <w:rPr>
          <w:lang w:val="pt-PT"/>
        </w:rPr>
        <w:t xml:space="preserve">, Bruno Direito </w:t>
      </w:r>
      <w:r>
        <w:rPr>
          <w:vertAlign w:val="superscript"/>
          <w:lang w:val="pt-PT"/>
        </w:rPr>
        <w:t>1,2,3</w:t>
      </w:r>
      <w:r>
        <w:rPr>
          <w:lang w:val="pt-PT"/>
        </w:rPr>
        <w:t xml:space="preserve">, Teresa Sousa </w:t>
      </w:r>
      <w:r>
        <w:rPr>
          <w:vertAlign w:val="superscript"/>
          <w:lang w:val="pt-PT"/>
        </w:rPr>
        <w:t>1,2,6</w:t>
      </w:r>
      <w:r>
        <w:rPr>
          <w:lang w:val="pt-PT"/>
        </w:rPr>
        <w:t xml:space="preserve">, João V. Duarte </w:t>
      </w:r>
      <w:r>
        <w:rPr>
          <w:vertAlign w:val="superscript"/>
          <w:lang w:val="pt-PT"/>
        </w:rPr>
        <w:t>1,4</w:t>
      </w:r>
      <w:r>
        <w:rPr>
          <w:lang w:val="pt-PT"/>
        </w:rPr>
        <w:t xml:space="preserve">, Sónia Afonso </w:t>
      </w:r>
      <w:r>
        <w:rPr>
          <w:vertAlign w:val="superscript"/>
          <w:lang w:val="pt-PT"/>
        </w:rPr>
        <w:t>1,5</w:t>
      </w:r>
      <w:r>
        <w:rPr>
          <w:lang w:val="pt-PT"/>
        </w:rPr>
        <w:t xml:space="preserve">, Miguel Castelo-Branco </w:t>
      </w:r>
      <w:r>
        <w:rPr>
          <w:vertAlign w:val="superscript"/>
          <w:lang w:val="pt-PT"/>
        </w:rPr>
        <w:t>1,2,5,6</w:t>
      </w:r>
    </w:p>
    <w:p w14:paraId="6CD35ABE" w14:textId="77777777" w:rsidR="006E251F" w:rsidRDefault="00000000">
      <w:r>
        <w:t>1 - Coimbra Institute for Biomedical Imaging and Translational Research (CIBIT), University of Coimbra, Portugal</w:t>
      </w:r>
    </w:p>
    <w:p w14:paraId="034D1D11" w14:textId="77777777" w:rsidR="006E251F" w:rsidRDefault="00000000">
      <w:r>
        <w:t>2 - Intelligent Systems Associate Laboratory (LASI), Portugal</w:t>
      </w:r>
    </w:p>
    <w:p w14:paraId="4060DA2F" w14:textId="77777777" w:rsidR="006E251F" w:rsidRDefault="00000000">
      <w:r>
        <w:t>3 - Centre for Informatics and Systems (CISUC), University of Coimbra, Portugal</w:t>
      </w:r>
    </w:p>
    <w:p w14:paraId="5E9F2214" w14:textId="77777777" w:rsidR="006E251F" w:rsidRDefault="00000000">
      <w:r>
        <w:t>4 - Champalimaud Foundation, Portugal</w:t>
      </w:r>
    </w:p>
    <w:p w14:paraId="19EB446A" w14:textId="77777777" w:rsidR="006E251F" w:rsidRDefault="00000000">
      <w:r>
        <w:t>5 - Institute of Nuclear Sciences Applied to Health (ICNAS), University of Coimbra, Portugal</w:t>
      </w:r>
    </w:p>
    <w:p w14:paraId="71AC669A" w14:textId="77777777" w:rsidR="006E251F" w:rsidRDefault="00000000">
      <w:r>
        <w:t>6 - Faculty of Medicine, University of Coimbra, Portugal</w:t>
      </w:r>
    </w:p>
    <w:p w14:paraId="7DE928D0" w14:textId="77777777" w:rsidR="006E251F" w:rsidRPr="0083090B" w:rsidRDefault="00000000">
      <w:pPr>
        <w:rPr>
          <w:b/>
          <w:bCs/>
          <w:lang w:val="pt-PT"/>
        </w:rPr>
      </w:pPr>
      <w:r w:rsidRPr="0083090B">
        <w:rPr>
          <w:b/>
          <w:bCs/>
          <w:lang w:val="pt-PT"/>
        </w:rPr>
        <w:t>Corresponding author:</w:t>
      </w:r>
    </w:p>
    <w:p w14:paraId="74CFB1F7" w14:textId="77777777" w:rsidR="006E251F" w:rsidRDefault="00000000">
      <w:pPr>
        <w:rPr>
          <w:lang w:val="pt-PT"/>
        </w:rPr>
      </w:pPr>
      <w:r>
        <w:rPr>
          <w:lang w:val="pt-PT"/>
        </w:rPr>
        <w:t>Miguel Castelo-Branco (</w:t>
      </w:r>
      <w:r w:rsidR="006E251F">
        <w:fldChar w:fldCharType="begin"/>
      </w:r>
      <w:r w:rsidR="006E251F" w:rsidRPr="0093326C">
        <w:rPr>
          <w:lang w:val="pt-PT"/>
        </w:rPr>
        <w:instrText>HYPERLINK \h</w:instrText>
      </w:r>
      <w:r w:rsidR="006E251F">
        <w:fldChar w:fldCharType="separate"/>
      </w:r>
      <w:r w:rsidR="006E251F">
        <w:rPr>
          <w:rStyle w:val="Hyperlink"/>
          <w:lang w:val="pt-PT"/>
        </w:rPr>
        <w:t>mcbranco@fmed.uc.pt</w:t>
      </w:r>
      <w:r w:rsidR="006E251F">
        <w:fldChar w:fldCharType="end"/>
      </w:r>
      <w:r>
        <w:rPr>
          <w:lang w:val="pt-PT"/>
        </w:rPr>
        <w:t>)</w:t>
      </w:r>
    </w:p>
    <w:p w14:paraId="5EEB3B0D" w14:textId="77777777" w:rsidR="006E251F" w:rsidRDefault="00000000">
      <w:pPr>
        <w:rPr>
          <w:lang w:val="pt-PT"/>
        </w:rPr>
      </w:pPr>
      <w:r>
        <w:rPr>
          <w:lang w:val="pt-PT"/>
        </w:rPr>
        <w:t>ICNAS - Universidade de Coimbra</w:t>
      </w:r>
    </w:p>
    <w:p w14:paraId="01455857" w14:textId="77777777" w:rsidR="006E251F" w:rsidRDefault="00000000">
      <w:pPr>
        <w:rPr>
          <w:lang w:val="pt-PT"/>
        </w:rPr>
      </w:pPr>
      <w:r>
        <w:rPr>
          <w:lang w:val="pt-PT"/>
        </w:rPr>
        <w:t>Azinhaga de Santa Comba</w:t>
      </w:r>
    </w:p>
    <w:p w14:paraId="5C5AA352" w14:textId="77777777" w:rsidR="006E251F" w:rsidRDefault="00000000">
      <w:r>
        <w:t>3000-548 Coimbra</w:t>
      </w:r>
    </w:p>
    <w:p w14:paraId="1C3876F4" w14:textId="77777777" w:rsidR="006E251F" w:rsidRDefault="00000000">
      <w:r>
        <w:t xml:space="preserve">Portugal </w:t>
      </w:r>
    </w:p>
    <w:p w14:paraId="3D383EBD" w14:textId="77777777" w:rsidR="006E251F" w:rsidRDefault="00000000">
      <w:r>
        <w:rPr>
          <w:b/>
        </w:rPr>
        <w:t xml:space="preserve">Keywords: </w:t>
      </w:r>
      <w:r>
        <w:t>Visual perception, bistable motion, interhemispheric connectivity, multiband, fMRI</w:t>
      </w:r>
    </w:p>
    <w:p w14:paraId="31CBB92B" w14:textId="77777777" w:rsidR="006E251F" w:rsidRDefault="00000000">
      <w:pPr>
        <w:pStyle w:val="AuthorList"/>
      </w:pPr>
      <w:r>
        <w:t>Abstract</w:t>
      </w:r>
    </w:p>
    <w:p w14:paraId="6F8B7EA9" w14:textId="77777777" w:rsidR="006E251F" w:rsidRDefault="00000000">
      <w:r>
        <w:t xml:space="preserve">Functional magnetic resonance imaging (fMRI) has transformed our understanding of brain function, yet the association between long-range functional connectivity and perceptual integration versus segregation remains controversial. We tested the hypothesis that interhemispheric connectivity reflects global perceptual integration. We used plaid stimuli that yield either coherent or incoherent percepts, reflecting integration or segregation, respectively, and predicted that these states would correspond to interhemispheric binding or its loss, indexed by the interhemispheric functional connectivity of the human visual motion complex (hMT+). We acquired data using multiband echo-planar imaging at four temporal resolutions (TR = 0.5, 0.75, 1.0, and 2.5 s) at 3 T and applied dynamic functional connectivity analysis. We found that interhemispheric connectivity between homologous hMT+ regions increased during transitions to the coherent (bound) percept and decreased during transitions to the incoherent (unbound) percept. This effect was consistent across all </w:t>
      </w:r>
      <w:r>
        <w:lastRenderedPageBreak/>
        <w:t xml:space="preserve">temporal resolutions. In sum, interhemispheric synchrony in hMT+, as measured by BOLD fMRI, indexes coherent versus incoherent perceptual states even for spatially overlapped stimuli, reflecting the dominance of global integration over segregation processes. </w:t>
      </w:r>
    </w:p>
    <w:p w14:paraId="558703A4" w14:textId="77777777" w:rsidR="006E251F" w:rsidRDefault="00000000">
      <w:pPr>
        <w:pStyle w:val="Heading1"/>
      </w:pPr>
      <w:r>
        <w:t>Introduction</w:t>
      </w:r>
    </w:p>
    <w:p w14:paraId="37A39A26" w14:textId="77777777" w:rsidR="006E251F" w:rsidRDefault="00000000">
      <w:r>
        <w:t xml:space="preserve">The human brain is constantly faced with the task of constructing a coherent and unified perception of the world from sensory information that is processed early on in a distributed manner across various processing pathways </w:t>
      </w:r>
      <w:r>
        <w:fldChar w:fldCharType="begin"/>
      </w:r>
      <w:r>
        <w:instrText>ADDIN ZOTERO_ITEM CSL_CITATION {"citationID":"Q28ugr3H","properties":{"formattedCitation":"(Burwick 2014)","plainCitation":"(Burwick 2014)","noteIndex":0},"citationItems":[{"id":1445,"uris":["http://zotero.org/users/9021334/items/CQ4WBZ2Y"],"itemData":{"id":1445,"type":"article-journal","abstract":"The brain processes information in a distributed manner so that features of the sensory input are detected at different sites and subsets of these features are integrated into objects. The notion of ‘binding’ refers to the corresponding integration process, leading to perception of these objects as entities, and ‘the binding problem’ either refers to the scientific challenge of identifying mechanisms that may achieve binding or to the difficulty that mind and brain may have with binding in certain situations. This review concentrates on binding of properties in visual perception, but other varieties of the binding problem are also mentioned. The binding problem is reviewed from psychological, neurobiological, and computational perspectives.\n            \n              This article is categorized under:\n              \n                \n                  Psychology &gt; Brain Function and Dysfunction\n                \n                \n                  Neuroscience &gt; Cognition\n                \n                \n                  Neuroscience &gt; Physiology","container-title":"WIREs Cognitive Science","DOI":"10.1002/wcs.1279","ISSN":"1939-5078, 1939-5086","issue":"3","journalAbbreviation":"WIRES Cognitive Science","language":"en","license":"http://onlinelibrary.wiley.com/termsAndConditions#vor","page":"305-315","source":"DOI.org (Crossref)","title":"The binding problem","volume":"5","author":[{"family":"Burwick","given":"Thomas"}],"issued":{"date-parts":[["2014",5]]},"citation-key":"burwickBindingProblem2014"}}],"schema":"https://github.com/citation-style-language/schema/raw/master/csl-citation.json"}</w:instrText>
      </w:r>
      <w:r>
        <w:fldChar w:fldCharType="separate"/>
      </w:r>
      <w:r>
        <w:t>(Burwick 2014)</w:t>
      </w:r>
      <w:r>
        <w:fldChar w:fldCharType="end"/>
      </w:r>
      <w:r>
        <w:t>. This challenge is known as the binding problem, which refers to the neural processes by which distinct features of sensory inputs, such as color, form, motion, and location, are integrated to form unified representations of objects.</w:t>
      </w:r>
    </w:p>
    <w:p w14:paraId="1A5D690B" w14:textId="77777777" w:rsidR="006E251F" w:rsidRDefault="00000000">
      <w:r>
        <w:t xml:space="preserve">Perceptual switches, which occur when viewing ambiguous stimuli that can be interpreted in multiple alternative ways, offer a unique and valuable window into the dynamic neural mechanisms underlying this binding process. These switches often involve the brain alternating between interpretations that require either the integration of separate visual elements into a unified percept or the segregation of a stimulus into distinct, unbound components </w:t>
      </w:r>
      <w:r>
        <w:fldChar w:fldCharType="begin"/>
      </w:r>
      <w:r>
        <w:instrText>ADDIN ZOTERO_ITEM CSL_CITATION {"citationID":"GfTIVya6","properties":{"formattedCitation":"(Sousa et al. 2021; Burwick 2014; Costa et al. 2024)","plainCitation":"(Sousa et al. 2021; Burwick 2014; Costa et al. 2024)","noteIndex":0},"citationItems":[{"id":1443,"uris":["http://zotero.org/users/9021334/items/YP3WB76H"],"itemData":{"id":1443,"type":"article-journal","abstract":"Neuroimaging studies have suggested that hMT+ encodes global motion interpretation, but this contradicts the notion that BOLD activity mainly reflects neuronal input. While measuring fMRI responses at 7 Tesla, we used an ambiguous moving stimulus, yielding the perception of two incoherently moving surfaces—component motion—or only one coherently moving surface—pattern motion, to induce perceptual fluctuations and identify perceptual organization size-matched domains in hMT +. Then, moving gratings, exactly matching either the direction of component or pattern motion percepts of the ambiguous stimulus, were shown to the participants to investigate whether response properties reflect the input or decision. If hMT+ responses reflect the input, component motion domains (selective to incoherent percept) should show grating direction stimulus-dependent changes, unlike pattern motion domains (selective to the coherent percept). This hypothesis is based on the known direction-selective nature of inputs in component motion perceptual domains versus non-selectivity in pattern motion perceptual domains. The response amplitude of pattern motion domains did not change with grating direction (consistently with their non-selective input), in contrast to what happened for the component motion domains (consistently with their selective input). However, when we analyzed relative ratio measures they mirrored perceptual interpretation. These findings are consistent with the notion that patterns of BOLD responses reflect both sensory input and perceptual read-out.","container-title":"Human Brain Mapping","DOI":"10.1002/hbm.25339","ISSN":"1065-9471, 1097-0193","issue":"6","journalAbbreviation":"Human Brain Mapping","language":"en","page":"1920-1929","source":"DOI.org (Crossref)","title":"The dual nature of the BOLD signal: Responses in visual area hMT+ reflect both input properties and perceptual decision","title-short":"The dual nature of the &lt;span style=\"font-variant","volume":"42","author":[{"family":"Sousa","given":"Teresa"},{"family":"Duarte","given":"João V."},{"family":"Costa","given":"Gabriel N."},{"family":"Kemper","given":"Valentin G."},{"family":"Martins","given":"Ricardo"},{"family":"Goebel","given":"Rainer"},{"family":"Castelo‐Branco","given":"Miguel"}],"issued":{"date-parts":[["2021",4,15]]},"citation-key":"sousaDualNatureBOLD2021"}},{"id":1445,"uris":["http://zotero.org/users/9021334/items/CQ4WBZ2Y"],"itemData":{"id":1445,"type":"article-journal","abstract":"The brain processes information in a distributed manner so that features of the sensory input are detected at different sites and subsets of these features are integrated into objects. The notion of ‘binding’ refers to the corresponding integration process, leading to perception of these objects as entities, and ‘the binding problem’ either refers to the scientific challenge of identifying mechanisms that may achieve binding or to the difficulty that mind and brain may have with binding in certain situations. This review concentrates on binding of properties in visual perception, but other varieties of the binding problem are also mentioned. The binding problem is reviewed from psychological, neurobiological, and computational perspectives.\n            \n              This article is categorized under:\n              \n                \n                  Psychology &gt; Brain Function and Dysfunction\n                \n                \n                  Neuroscience &gt; Cognition\n                \n                \n                  Neuroscience &gt; Physiology","container-title":"WIREs Cognitive Science","DOI":"10.1002/wcs.1279","ISSN":"1939-5078, 1939-5086","issue":"3","journalAbbreviation":"WIRES Cognitive Science","language":"en","license":"http://onlinelibrary.wiley.com/termsAndConditions#vor","page":"305-315","source":"DOI.org (Crossref)","title":"The binding problem","volume":"5","author":[{"family":"Burwick","given":"Thomas"}],"issued":{"date-parts":[["2014",5]]},"citation-key":"burwickBindingProblem2014"}},{"id":1444,"uris":["http://zotero.org/users/9021334/items/93P7DJDN"],"itemData":{"id":1444,"type":"article-journal","abstract":"Recently, there has been a resurgence in experimental and conceptual efforts to understand how brain rhythms can serve to organize visual information. Oscillations can provide temporal structure for neuronal processing and form a basis for integrating information across brain areas. Here, we use a bistable paradigm and a data-driven approach to test the hypothesis that oscillatory modulations associate with the integration or segregation of visual elements. Spectral signatures of perception of bound and unbound configurations of visual moving stimuli were studied using magnetoencephalography (MEG) in ambiguous and unambiguous conditions. Using a 2 2 design, we were able to isolate correlates from visual integration, either perceptual or stimulus-driven, from attentional and ambiguity-related activity. Two frequency bands were found to be modulated by visual integration: an alpha/beta frequency and a higher frequency gamma-band. Alpha/beta power was increased in several early visual cortical and dorsal visual areas during visual integration, while gammaband power was surprisingly increased in the extrastriate visual cortex during segregation. This points to an integrative role for alpha/beta activity, likely from top-down signals maintaining a single visual representation. On the other hand, when more representations have to be processed in parallel gamma-band activity is increased, which is at odds with the notion that gamma oscillations are related to perceptual coherence. These modulations were confirmed in intracranial EEG recordings and partially originate from distinct brain areas. Our MEG and stereo-EEG data confirms predictions of binding mechanisms depending on low-frequency activity for long-range integration and for organizing visual processing while refuting a straightforward correlation between gammaactivity and perceptual binding.","container-title":"Human Brain Mapping","DOI":"10.1002/hbm.26779","ISSN":"1065-9471, 1097-0193","issue":"12","journalAbbreviation":"Human Brain Mapping","language":"en","page":"e26779","source":"DOI.org (Crossref)","title":"Distinct oscillatory patterns differentiate between segregation and integration processes in perceptual grouping","volume":"45","author":[{"family":"Costa","given":"Gabriel Nascimento"},{"family":"Schaum","given":"Michael"},{"family":"Duarte","given":"João Valente"},{"family":"Martins","given":"Ricardo"},{"family":"Duarte","given":"Isabel Catarina"},{"family":"Castelhano","given":"João"},{"family":"Wibral","given":"Michael"},{"family":"Castelo‐Branco","given":"Miguel"}],"issued":{"date-parts":[["2024",8,15]]},"citation-key":"costaDistinctOscillatoryPatterns2024"}}],"schema":"https://github.com/citation-style-language/schema/raw/master/csl-citation.json"}</w:instrText>
      </w:r>
      <w:r>
        <w:fldChar w:fldCharType="separate"/>
      </w:r>
      <w:r>
        <w:t>(Sousa et al. 2021; Burwick 2014; Costa et al. 2024)</w:t>
      </w:r>
      <w:r>
        <w:fldChar w:fldCharType="end"/>
      </w:r>
      <w:r>
        <w:t xml:space="preserve">. A coherent interpretation implies a globally bound representation across space (integration), whereas an incoherent interpretation corresponds to a spatially unbound representation (segregation). A study of Costa et al. 2024, highlighted the relation to brain oscillatory dynamics, with higher Beta power during coherent states and higher Gamma power during incoherent (unbound) states (Costa et al. 2024). Recent evidence has shown that these switches may rely on the temporal coordination of neural activity across spatially distinct brain areas, with several studies indicating that interhemispheric transfer of information is correlated and may even predict perceptual experiences </w:t>
      </w:r>
      <w:r>
        <w:fldChar w:fldCharType="begin"/>
      </w:r>
      <w:r w:rsidRPr="0083090B">
        <w:instrText>ADDIN ZOTERO_ITEM CSL_CITATION {"citationID":"yGOQQJGR","properties":{"formattedCitation":"(Gen\\uc0\\u231{} et al. 2011; Sterzer et al. 2002; Shimono, Mano, and Niki 2012; Chaumillon, Blouin, and Guillaume 2018; Pan et al. 2013; Sch\\uc0\\u246{}lvinck et al. 2010; Duarte et al. 2017)","plainCitation":"(Genç et al. 2011; Sterzer et al. 2002; Shimono, Mano, and Niki 2012; Chaumillon, Blouin, and Guillaume 2018; Pan et al. 2013; Schölvinck et al. 2010; Duarte et al. 2017)","noteIndex":0},"citationItems":[{"id":824,"uris":["http://zotero.org/users/9021334/items/KILHUS3Y"],"itemData":{"id":824,"type":"article-journal","container-title":"Current Biology","DOI":"10.1016/j.cub.2011.08.003","ISSN":"09609822","issue":"17","journalAbbreviation":"Current Biology","language":"en","page":"1494-1499","source":"DOI.org (Crossref)","title":"Interhemispheric Connections Shape Subjective Experience of Bistable Motion","volume":"21","author":[{"family":"Genç","given":"Erhan"},{"family":"Bergmann","given":"Johanna"},{"family":"Singer","given":"Wolf"},{"family":"Kohler","given":"Axel"}],"issued":{"date-parts":[["2011",9]]},"citation-key":"gencInterhemisphericConnectionsShape2011"}},{"id":1473,"uris":["http://zotero.org/use</w:instrText>
      </w:r>
      <w:r>
        <w:rPr>
          <w:lang w:val="pt-PT"/>
        </w:rPr>
        <w:instrText>rs/9021334/items/A89UT3WL"],"itemData":{"id":1473,"type":"article-journal","container-title":"NeuroImage","DOI":"10.1006/nimg.2001.1030","ISSN":"10538119","issue":"4","journalAbbreviation":"NeuroImage","language":"en","license":"https://www.elsevier.com/tdm/userlicense/1.0/","page":"908-916","source":"DOI.org (Crossref)","title":"Neural Correlates of Spontaneous Direction Reversals in Ambiguous Apparent Visual Motion","volume":"15","author":[{"family":"Sterzer","given":"Philipp"},{"family":"Russ","given":"Michael O."},{"family":"Preibisch","given":"Christine"},{"family":"Kleinschmidt","given":"Andreas"}],"issued":{"date-parts":[["2002",4]]},"citation-key":"sterzerNeuralCorrelatesSpontaneous2002"}},{"id":1471,"uris":["http://zotero.org/users/9021334/items/22I9F388"],"itemData":{"id":1471,"type":"article-journal","abstract":"We investigated the key anatomical structures mediating interhemispheric integration during the perception of apparent motion across the retinal midline. Previous studies of commissurotomized patients suggest that subcortical structures mediate interhemispheric transmission but the speciﬁc regions involved remain unclear. Here, we exploit interindividual variations in the propensity of normal subjects to perceive horizontal motion, in relation to vertical motion. We characterize these differences psychophysically using a Dynamic Dot Quartet (an ambiguous stimulus that induces illusory motion). We then tested for correlations between a tendency to perceive horizontal motion and fractional anisotropy (FA) (from structural diffusion tensor imaging), over subjects. FA is an indirect measure of the orientation and integrity of white matter tracts. Subjects who found it easy to perceive horizontal motion showed signiﬁcantly higher FA values in the pulvinar. Furthermore, ﬁber tracking from an independently identiﬁed (subject-speciﬁc) visual motion area converged on the pulvinar nucleus. These results suggest that the pulvinar is an anatomical hub and may play a central role in interhemispheric integration.","container-title":"Cerebral Cortex","DOI":"10.1093/cercor/bhr108","ISSN":"1047-3211, 1460-2199","issue":"2","journalAbbreviation":"Cerebral Cortex","language":"en","page":"337-344","source":"DOI.org (Crossref)","title":"The Brain Structural Hub of Interhemispheric Information Integration for Visual Motion Perception","volume":"22","author":[{"family":"Shimono","given":"M."},{"family":"Mano","given":"H."},{"family":"Niki","given":"K."}],"issued":{"date-parts":[["2012",2,1]]},"citation-key":"shimonoBrainStructuralHub2012"}},{"id":1467,"uris":["http://zotero.org/users/9021334/items/MK8DQ2Y6"],"itemData":{"id":1467,"type":"article-journal","abstract":"The interhemispheric transfer of information is a fundamental process in the human brain. When a visual stimulus appears eccentrically in one visual-hemiﬁeld, it will ﬁrst activate the contralateral hemisphere but also the ipsilateral one with a slight delay due to the interhemispheric transfer. This interhemispheric transfer of visual information is believed to be faster from the right to the left hemisphere in right-handers. Such an asymmetry is considered as a relevant fact in the context of the lateralization of the human brain. We show here using current source density (CSD) analyses of visually evoked potential (VEP) that, in right-handers and, to a lesser extent in left-handers, this asymmetry is in fact dependent on the sighting eye dominance, the tendency we have to prefer one eye for monocular tasks. Indeed, in right-handers, a faster interhemispheric transfer of visual information from the right to left hemisphere was observed only in participants with a right dominant eye (DE). Right-handers with a left DE showed the opposite pattern, with a faster transfer from the left to the right hemisphere. In left-handers, albeit a smaller number of participants has been tested and hence conﬁrmation is required, only those with a right DE showed an asymmetrical interhemispheric transfer with a faster transfer from the right to the left hemisphere. As a whole these results demonstrate that eye dominance is a fundamental determinant of asymmetries in interhemispheric transfer of visual information and suggest that it is an important factor of brain lateralization.","container-title":"Frontiers in Neuroscience","DOI":"10.3389/fnins.2018.00072","ISSN":"1662-453X","journalAbbreviation":"Front. Neurosci.","language":"en","page":"72","source":"DOI.org (Crossref)","title":"Interhemispheric Transfer Time Asymmetry of Visual Information Depends on Eye Dominance: An Electrophysiological Study","title-short":"Interhemispheric Transfer Time Asymmetry of Visual Information Depends on Eye Dominance","volume":"12","author":[{"family":"Chaumillon","given":"Romain"},{"family":"Blouin","given":"Jean"},{"family":"Guillaume","given":"Alain"}],"issued":{"date-parts":[["2018",2,16]]},"citation-key":"chaumillonInterhemisphericTransferTime2018"}},{"id":1481,"uris":["http://zotero.org/users/9021334/items/GR6TL2C5"],"itemData":{"id":1481,"type":"article-journal","container-title":"NeuroImage","DOI":"10.1016/j.neuroimage.2013.02.035","ISSN":"10538119","journalAbbreviation":"NeuroImage","language":"en","license":"https://www.elsevier.com/tdm/userlicense/1.0/","page":"288-297","source":"DOI.org (Crossref)","title":"Infraslow LFP correlates to resting-state fMRI BOLD signals","volume":"74","author":[{"family":"Pan","given":"Wen-Ju"},{"family":"Thompson","given":"Garth John"},{"family":"Magnuson","given":"Matthew Evan"},{"family":"Jaeger","given":"Dieter"},{"family":"Keilholz","given":"Shella"}],"issued":{"date-parts":[["2013",7]]},"citation-key":"panInfraslowLFPCorrelates2013"}},{"id":1483,"uris":["http://zotero.org/users/9021334/items/REZP9UEK"],"itemData":{"id":1483,"type":"article-journal","abstract":"Functional MRI (fMRI) has uncovered widespread hemodynamic fluctuations in the brain during rest. Recent electroencephalographic work in humans and microelectrode recordings in anesthetized monkeys have shown this activity to be correlated with slow changes in neural activity. Here we report that the spontaneous fluctuations in the local field potential (LFP) measured from a single cortical site in monkeys at rest exhibit widespread, positive correlations with fMRI signals over nearly the entire cerebral cortex. This correlation was especially consistent in a band of upper gamma-range frequencies (40–80 Hz), for which the hemodynamic signal lagged the neural signal by 6–8 s. A strong, positive correlation was also observed in a band of lower frequencies (2–15 Hz), albeit with a lag closer to zero. The global pattern of correlation with spontaneous fMRI fluctuations was similar whether the LFP signal was measured in occipital, parietal, or frontal electrodes. This coupling was, however, dependent on the monkey's behavioral state, being stronger and anticipatory when the animals’ eyes were closed. These results indicate that the often discarded global component of fMRI fluctuations measured during the resting state is tightly coupled with underlying neural activity.","container-title":"Proceedings of the National Academy of Sciences","DOI":"10.1073/pnas.0913110107","ISSN":"0027-8424, 1091-6490","issue":"22","journalAbbreviation":"Proc. Natl. Acad. Sci. U.S.A.","language":"en","page":"10238-10243","source":"DOI.org (Crossref)","title":"Neural basis of global resting-state fMRI activity","volume":"107","author":[{"family":"Schölvinck","given":"Marieke L."},{"family":"Maier","given":"Alexander"},{"family":"Ye","given":"Frank Q."},{"family":"Duyn","given":"Jeff H."},{"family":"Leopold","given":"David A."}],"issued":{"date-parts":[["2010",6]]},"citation-key":"scholvinckNeuralBasisGlobal2010"}},{"id":1059,"uris":["http://zotero.org/users/9021334/items/68FK5BTS"],"itemData":{"id":1059,"type":"article-journal","abstract":"Abstract\n            \n              It remains an open question whether\n              long‐range\n              disambiguation of ambiguous surface motion can be achieved in early visual cortex or instead in higher level regions, which concerns object/surface segmentation/integration mechanisms. We used a bistable moving stimulus that can be perceived as a pattern comprehending both visual hemi‐fields moving coherently downward or as two widely segregated nonoverlapping component objects (in each visual hemi‐field) moving separately inward. This paradigm requires long‐range integration across the vertical meridian leading to interhemispheric binding. Our fMRI study (\n              n\n               = 30) revealed a close relation between activity in hMT+ and perceptual switches involving interhemispheric segregation/integration of motion signals, crucially under nonlocal conditions where components do not overlap and belong to distinct hemispheres. Higher signal changes were found in hMT+ in response to spatially segregated component (incoherent) percepts than to pattern (coherent) percepts. This did not occur in early visual cortex, unlike apparent motion, which does not entail surface segmentation. We also identified a role for top–down mechanisms in state transitions. Deconvolution analy</w:instrText>
      </w:r>
      <w:r w:rsidRPr="0083090B">
        <w:instrText>sis of switch‐related changes revealed prefrontal, insula, and cingulate areas, with the right superior parietal lobule (SPL) being particularly involved. We observed that directed influences could emerge either from left or right hMT+ during bistable motion integration/segregation. SPL also exhibited significant directed functional connectivity with hMT+, during perceptual state maintenance (Granger causality analysis). Our results suggest that long‐range interhemispheric binding of ambiguous motion representations mainly reflect bottom–up processes from hMT+ during perceptual state maintenance. In contrast, state transitions maybe influenced by high‐level regions such as the SPL.\n              Hum Brain Mapp 38:4882–4897, 2017\n              . ©\n              2017 Wiley Periodicals, Inc.","container-title":"Human Brain Mapping","DOI":"10.1002/hbm.23701","ISSN":"1065-9471, 1097-0193","issue":"10","journalAbbreviation":"Human Brain Mapping","language":"en","page":"4882-4897","source":"DOI.org (Crossref)","title":"Pivotal role of hMT+ in long‐range disambiguation of interhemispheric bistable surface motion","volume":"38","author":[{"family":"Duarte","given":"João Valente"},{"family":"Costa","given":"Gabriel Nascimento"},{"family":"Martins","given":"Ricardo"},{"family":"Castelo‐Branco","given":"Miguel"}],"issued":{"date-parts":[["2017",10]]},"citation-key":"duartePivotalRoleHMT2017"}}],"schema":"https://github.com/citation-style-language/schema/raw/master/csl-citation.json"}</w:instrText>
      </w:r>
      <w:r>
        <w:rPr>
          <w:lang w:val="pt-PT"/>
        </w:rPr>
        <w:fldChar w:fldCharType="separate"/>
      </w:r>
      <w:r>
        <w:t>(Genç et al. 2011; Sterzer et al. 2002; Shimono, Mano, and Niki 2012; Chaumillon, Blouin, and Guillaume 2018; Pan et al. 2013; Schölvinck et al. 2010; Duarte et al. 2017)</w:t>
      </w:r>
      <w:r>
        <w:rPr>
          <w:lang w:val="pt-PT"/>
        </w:rPr>
        <w:fldChar w:fldCharType="end"/>
      </w:r>
      <w:r>
        <w:t>.</w:t>
      </w:r>
    </w:p>
    <w:p w14:paraId="0C93782E" w14:textId="77777777" w:rsidR="006E251F" w:rsidRDefault="00000000">
      <w:r>
        <w:t xml:space="preserve">Here, we use fMRI to explore how interhemispheric communication between homologous visual areas, left and right hMT+, changes in relation to perceptual integration vs. segregation of visual surfaces. The human middle temporal area (hMT+) is known for its role in processing motion and is implicated in perceptual binding of moving elements - its activity and functional connectivity patterns with other brain regions fluctuate as perception shifts between bound and unbound states </w:t>
      </w:r>
      <w:r>
        <w:fldChar w:fldCharType="begin"/>
      </w:r>
      <w:r>
        <w:instrText>ADDIN ZOTERO_ITEM CSL_CITATION {"citationID":"qlcU8btK","properties":{"formattedCitation":"(Sousa et al. 2019; Duarte et al. 2017; Sousa et al. 2021)","plainCitation":"(Sousa et al. 2019; Duarte et al. 2017; Sousa et al. 2021)","noteIndex":0},"citationItems":[{"id":705,"uris":["http://zotero.org/users/9021334/items/EL7I2EMZ"],"itemData":{"id":705,"type":"article-journal","abstract":"Abstract\n            The role of long-range integration mechanisms underlying visual perceptual binding and their link to interhemispheric functional connectivity, as measured by fMRI, remains elusive. Only inferences on anatomical organization from resting state data paradigms not requiring coherent binding have been achieved. Here, we used a paradigm that allowed us to study such relation between perceptual interpretation and functional connectivity under bistable interhemispheric binding vs. non-binding of visual surfaces. Binding occurs by long-range perceptual integration of motion into a single object across hemifields and non-binding reflects opponent segregation of distinct moving surfaces into each hemifield. We hypothesized that perceptual integration vs. segregation of surface motion, which is achieved in visual area hMT+, is modulated by changes in interhemispheric connectivity in this region. Using 7T fMRI, we found that perceptual long-range integration of bistable motion can be tracked by changes in interhemispheric functional connectivity between left/right hMT+. Increased connectivity was tightly related with long-range perceptual integration. Our results indicate that hMT+ interhemispheric functional connectivity reflects perceptual decision, suggesting its pivotal role on long-range disambiguation of bistable physically constant surface motion. We reveal for the first time, at the scale of fMRI, a relation between interhemispheric functional connectivity and decision based perceptual binding.","container-title":"Scientific Reports","DOI":"10.1038/s41598-018-37822-x","ISSN":"2045-2322","issue":"1","journalAbbreviation":"Sci Rep","language":"en","page":"1242","source":"DOI.org (Crossref)","title":"Tracking perceptual decision mechanisms through changes in interhemispheric functional connectivity in human visual cortex","volume":"9","author":[{"family":"Sousa","given":"Teresa"},{"family":"Duarte","given":"João V."},{"family":"Costa","given":"Gabriel N."},{"family":"Kemper","given":"Valentin G."},{"family":"Martins","given":"Ricardo"},{"family":"Goebel","given":"Rainer"},{"family":"Castelo-Branco","given":"Miguel"}],"issued":{"date-parts":[["2019",2,4]]},"citation-key":"sousaTrackingPerceptualDecision2019"}},{"id":1059,"uris":["http://zotero.org/users/9021334/items/68FK5BTS"],"itemData":{"id":1059,"type":"article-journal","abstract":"Abstract\n            \n              It remains an open question whether\n              long‐range\n              disambiguation of ambiguous surface motion can be achieved in early visual cortex or instead in higher level regions, which concerns object/surface segmentation/integration mechanisms. We used a bistable moving stimulus that can be perceived as a pattern comprehending both visual hemi‐fields moving coherently downward or as two widely segregated nonoverlapping component objects (in each visual hemi‐field) moving separately inward. This paradigm requires long‐range integration across the vertical meridian leading to interhemispheric binding. Our fMRI study (\n              n\n               = 30) revealed a close relation between activity in hMT+ and perceptual switches involving interhemispheric segregation/integration of motion signals, crucially under nonlocal conditions where components do not overlap and belong to distinct hemispheres. Higher signal changes were found in hMT+ in response to spatially segregated component (incoherent) percepts than to pattern (coherent) percepts. This did not occur in early visual cortex, unlike apparent motion, which does not entail surface segmentation. We also identified a role for top–down mechanisms in state transitions. Deconvolution analysis of switch‐related changes revealed prefrontal, insula, and cingulate areas, with the right superior parietal lobule (SPL) being particularly involved. We observed that directed influences could emerge either from left or right hMT+ during bistable motion integration/segregation. SPL also exhibited significant directed functional connectivity with hMT+, during perceptual state maintenance (Granger causality analysis). Our results suggest that long‐range interhemispheric binding of ambiguous motion representations mainly reflect bottom–up processes from hMT+ during perceptual state maintenance. In contrast, state transitions maybe influenced by high‐level regions such as the SPL.\n              Hum Brain Mapp 38:4882–4897, 2017\n              . ©\n              2017 Wiley Periodicals, Inc.","container-title":"Human Brain Mapping","DOI":"10.1002/hbm.23701","ISSN":"1065-9471, 1097-0193","issue":"10","journalAbbreviation":"Human Brain Mapping","language":"en","page":"4882-4897","source":"DOI.org (Crossref)","title":"Pivotal role of hMT+ in long‐range disambiguation of interhemispheric bistable surface motion","volume":"38","author":[{"family":"Duarte","given":"João Valente"},{"family":"Costa","given":"Gabriel Nascimento"},{"family":"Martins","given":"Ricardo"},{"family":"Castelo‐Branco","given":"Miguel"}],"issued":{"date-parts":[["2017",10]]},"citation-key":"duartePivotalRoleHMT2017"}},{"id":1443,"uris":["http://zotero.org/users/9021334/items/YP3WB76H"],"itemData":{"id":1443,"type":"article-journal","abstract":"Neuroimaging studies have suggested that hMT+ encodes global motion interpretation, but this contradicts the notion that BOLD activity mainly reflects neuronal input. While measuring fMRI responses at 7 Tesla, we used an ambiguous moving stimulus, yielding the perception of two incoherently moving surfaces—component motion—or only one coherently moving surface—pattern motion, to induce perceptual fluctuations and identify perceptual organization size-matched domains in hMT +. Then, moving gratings, exactly matching either the direction of component or pattern motion percepts of the ambiguous stimulus, were shown to the participants to investigate whether response properties reflect the input or decision. If hMT+ responses reflect the input, component motion domains (selective to incoherent percept) should show grating direction stimulus-dependent changes, unlike pattern motion domains (selective to the coherent percept). This hypothesis is based on the known direction-selective nature of inputs in component motion perceptual domains versus non-selectivity in pattern motion perceptual domains. The response amplitude of pattern motion domains did not change with grating direction (consistently with their non-selective input), in contrast to what happened for the component motion domains (consistently with their selective input). However, when we analyzed relative ratio measures they mirrored perceptual interpretation. These findings are consistent with the notion that patterns of BOLD responses reflect both sensory input and perceptual read-out.","container-title":"Human Brain Mapping","DOI":"10.1002/hbm.25339","ISSN":"1065-9471, 1097-0193","issue":"6","journalAbbreviation":"Human Brain Mapping","language":"en","page":"1920-1929","source":"DOI.org (Crossref)","title":"The dual nature of the BOLD signal: Responses in visual area hMT+ reflect both input properties and perceptual decision","title-short":"The dual nature of the &lt;span style=\"font-variant","volume":"42","author":[{"family":"Sousa","given":"Teresa"},{"family":"Duarte","given":"João V."},{"family":"Costa","given":"Gabriel N."},{"family":"Kemper","given":"Valentin G."},{"family":"Martins","given":"Ricardo"},{"family":"Goebel","given":"Rainer"},{"family":"Castelo‐Branco","given":"Miguel"}],"issued":{"date-parts":[["2021",4,15]]},"citation-key":"sousaDualNatureBOLD2021"}}],"schema":"https://github.com/citation-style-language/schema/raw/master/csl-citation.json"}</w:instrText>
      </w:r>
      <w:r>
        <w:fldChar w:fldCharType="separate"/>
      </w:r>
      <w:r w:rsidRPr="0083090B">
        <w:t>(Sousa et al. 2019; Duarte et al. 2017; Sousa et al. 2021)</w:t>
      </w:r>
      <w:r>
        <w:fldChar w:fldCharType="end"/>
      </w:r>
      <w:r w:rsidRPr="0083090B">
        <w:t xml:space="preserve">. </w:t>
      </w:r>
      <w:r>
        <w:t>By mapping spatiotemporal dynamics during perceptual switches of ambiguous stimuli, we dive into the neural mechanisms that enable the brain to solve the binding problem, contributing to understanding visual awareness, perceptual organization, and the continuous resolution of ambiguity inherent to sensory processing.</w:t>
      </w:r>
    </w:p>
    <w:p w14:paraId="1076447F" w14:textId="77777777" w:rsidR="006E251F" w:rsidRDefault="00000000">
      <w:r>
        <w:t xml:space="preserve">We have previously shown that perceptual integration of spatially non-overlapping elements may be linked to interhemispheric functional connectivity in hMT+ </w:t>
      </w:r>
      <w:r>
        <w:fldChar w:fldCharType="begin"/>
      </w:r>
      <w:r>
        <w:instrText>ADDIN ZOTERO_ITEM CSL_CITATION {"citationID":"fyAI17ik","properties":{"formattedCitation":"(Sousa et al. 2019)","plainCitation":"(Sousa et al. 2019)","noteIndex":0},"citationItems":[{"id":705,"uris":["http://zotero.org/users/9021334/items/EL7I2EMZ"],"itemData":{"id":705,"type":"article-journal","abstract":"Abstract\n            The role of long-range integration mechanisms underlying visual perceptual binding and their link to interhemispheric functional connectivity, as measured by fMRI, remains elusive. Only inferences on anatomical organization from resting state data paradigms not requiring coherent binding have been achieved. Here, we used a paradigm that allowed us to study such relation between perceptual interpretation and functional connectivity under bistable interhemispheric binding vs. non-binding of visual surfaces. Binding occurs by long-range perceptual integration of motion into a single object across hemifields and non-binding reflects opponent segregation of distinct moving surfaces into each hemifield. We hypothesized that perceptual integration vs. segregation of surface motion, which is achieved in visual area hMT+, is modulated by changes in interhemispheric connectivity in this region. Using 7T fMRI, we found that perceptual long-range integration of bistable motion can be tracked by changes in interhemispheric functional connectivity between left/right hMT+. Increased connectivity was tightly related with long-range perceptual integration. Our results indicate that hMT+ interhemispheric functional connectivity reflects perceptual decision, suggesting its pivotal role on long-range disambiguation of bistable physically constant surface motion. We reveal for the first time, at the scale of fMRI, a relation between interhemispheric functional connectivity and decision based perceptual binding.","container-title":"Scientific Reports","DOI":"10.1038/s41598-018-37822-x","ISSN":"2045-2322","issue":"1","journalAbbreviation":"Sci Rep","language":"en","page":"1242","source":"DOI.org (Crossref)","title":"Tracking perceptual decision mechanisms through changes in interhemispheric functional connectivity in human visual cortex","volume":"9","author":[{"family":"Sousa","given":"Teresa"},{"family":"Duarte","given":"João V."},{"family":"Costa","given":"Gabriel N."},{"family":"Kemper","given":"Valentin G."},{"family":"Martins","given":"Ricardo"},{"family":"Goebel","given":"Rainer"},{"family":"Castelo-Branco","given":"Miguel"}],"issued":{"date-parts":[["2019",2,4]]},"citation-key":"sousaTrackingPerceptualDecision2019"}}],"schema":"https://github.com/citation-style-language/schema/raw/master/csl-citation.json"}</w:instrText>
      </w:r>
      <w:r>
        <w:fldChar w:fldCharType="separate"/>
      </w:r>
      <w:r>
        <w:t>(Sousa et al. 2019)</w:t>
      </w:r>
      <w:r>
        <w:fldChar w:fldCharType="end"/>
      </w:r>
      <w:r>
        <w:t xml:space="preserve">. This 7 T study remains the only one suggesting that interhemispheric functional connectivity, at the scale of fMRI temporal resolution, reflects visual perceptual binding. However, it remains unknown whether this relationship generalizes to integration versus segregation of spatially overlapped stimuli. Using a bistable perceptual coherence paradigm with spatially overlapped stimuli at 3 T, we aimed to test this hypothesis and to replicate it across different fMRI temporal resolutions using multiband echo-planar imaging (MB-EPI) sequences </w:t>
      </w:r>
      <w:r>
        <w:fldChar w:fldCharType="begin"/>
      </w:r>
      <w:r>
        <w:instrText>ADDIN ZOTERO_ITEM CSL_CITATION {"citationID":"LwUDoor4","properties":{"formattedCitation":"(Feinberg et al. 2010)","plainCitation":"(Feinberg et al. 2010)","noteIndex":0},"citationItems":[{"id":1314,"uris":["http://zotero.org/users/9021334/items/EWUWCQW4"],"itemData":{"id":1314,"type":"article-journal","abstract":"Echo planar imaging (EPI) is an MRI technique of particular value to neuroscience, with its use for virtually all functional MRI (fMRI) and diffusion imaging of fiber connections in the human brain. EPI generates a single 2D image in a fraction of a second; however, it requires 2–3 seconds to acquire multi-slice whole brain coverage for fMRI and even longer for diffusion imaging. Here we report on a large reduction in EPI whole brain scan time at 3 and 7 Tesla, without significantly sacrificing spatial resolution, and while gaining functional sensitivity. The multiplexed-EPI (M-EPI) pulse sequence combines two forms of multiplexing: temporal multiplexing (m) utilizing simultaneous echo refocused (SIR) EPI and spatial multiplexing (n) with multibanded RF pulses (MB) to achieve m×n images in an EPI echo train instead of the normal single image. This resulted in an unprecedented reduction in EPI scan time for whole brain fMRI performed at 3 Tesla, permitting TRs of 400 ms and 800 ms compared to a more conventional 2.5 sec TR, and 2–4 times reductions in scan time for HARDI imaging of neuronal fibertracks. The simultaneous SE refocusing of SIR imaging at 7 Tesla advantageously reduced SAR by using fewer RF refocusing pulses and by shifting fat signal out of the image plane so that fat suppression pulses were not required. In preliminary studies of resting state functional networks identified through independent component analysis, the 6-fold higher sampling rate increased the peak functional sensitivity by 60%. The novel M-EPI pulse sequence resulted in a significantly increased temporal resolution for whole brain fMRI, and as such, this new methodology can be used for studying non-stationarity in networks and generally for expanding and enriching the functional information.","container-title":"PLOS ONE","DOI":"10.1371/journal.pone.0015710","ISSN":"1932-6203","issue":"12","journalAbbreviation":"PLOS ONE","language":"en","note":"publisher: Public Library of Science","page":"e15710","source":"PLoS Journals","title":"Multiplexed Echo Planar Imaging for Sub-Second Whole Brain FMRI and Fast Diffusion Imaging","volume":"5","author":[{"family":"Feinberg","given":"David A."},{"family":"Moeller","given":"Steen"},{"family":"Smith","given":"Stephen M."},{"family":"Auerbach","given":"Edward"},{"family":"Ramanna","given":"Sudhir"},{"family":"Glasser","given":"Matt F."},{"family":"Miller","given":"Karla L."},{"family":"Ugurbil","given":"Kamil"},{"family":"Yacoub","given":"Essa"}],"issued":{"date-parts":[["2010",12,20]]},"citation-key":"feinbergMultiplexedEchoPlanar2010"}}],"schema":"https://github.com/citation-style-language/schema/raw/master/csl-citation.json"}</w:instrText>
      </w:r>
      <w:r>
        <w:fldChar w:fldCharType="separate"/>
      </w:r>
      <w:r>
        <w:t>(Feinberg et al. 2010)</w:t>
      </w:r>
      <w:r>
        <w:fldChar w:fldCharType="end"/>
      </w:r>
      <w:r>
        <w:t xml:space="preserve">.  These sequences show more detailed BOLD signals with superior temporal resolution and contrast-to-noise ratio, pivotal features for detecting nuanced responses of neuronal populations </w:t>
      </w:r>
      <w:r>
        <w:fldChar w:fldCharType="begin"/>
      </w:r>
      <w:r>
        <w:instrText>ADDIN ZOTERO_ITEM CSL_CITATION {"citationID":"pSMnbaa0","properties":{"formattedCitation":"(Zhang et al. 2024)","plainCitation":"(Zhang et al. 2024)","noteIndex":0},"citationItems":[{"id":761,"uris":["http://zotero.org/users/9021334/items/FHKL66ES"],"itemData":{"id":761,"type":"article-journal","container-title":"Academic Radiology","DOI":"10.1016/j.acra.2023.12.032","ISSN":"10766332","journalAbbreviation":"Academic Radiology","language":"en","page":"S1076633223007109","source":"DOI.org (Crossref)","title":"Clinical Applications and Recent Updates of Simultaneous Multi-slice Technique in Accelerated MRI","author":[{"family":"Zhang","given":"Yiteng"},{"family":"Ye","given":"Zheng"},{"family":"Xia","given":"Chunchao"},{"family":"Tan","given":"Yuqi"},{"family":"Zhang","given":"Meng"},{"family":"Lv","given":"Xinyang"},{"family":"Tang","given":"Jing"},{"family":"Li","given":"Zhenlin"}],"issued":{"date-parts":[["2024",1]]},"citation-key":"zhangClinicalApplicationsRecent2024"}}],"schema":"https://github.com/citation-style-language/schema/raw/master/csl-citation.json"}</w:instrText>
      </w:r>
      <w:r>
        <w:fldChar w:fldCharType="separate"/>
      </w:r>
      <w:r>
        <w:t xml:space="preserve">(Zhang et al. 2024, </w:t>
      </w:r>
      <w:r>
        <w:fldChar w:fldCharType="end"/>
      </w:r>
      <w:r>
        <w:fldChar w:fldCharType="begin"/>
      </w:r>
      <w:r>
        <w:instrText>ADDIN ZOTERO_ITEM CSL_CITATION {"citationID":"i0uRiOHn","properties":{"formattedCitation":"(Wall 2023)","plainCitation":"(Wall 2023)","noteIndex":0},"citationItems":[{"id":723,"uris":["http://zotero.org/users/9021334/items/9UVBCT5V"],"itemData":{"id":723,"type":"article-journal","abstract":"Multiband or simultaneous multi-slice acquisition sequences for fMRI have become popular over the last decade, partly because of the influence of the approach taken in large-scale studies such as the Human Connectome Project. However, applying this type of highly-accelerated, high-resolution sequence to smaller-scale projects may come with significant drawbacks in terms of signal to noise ratio, reliability, and experimental power. In particular, the use of smaller voxels, short repetition times, and high levels of multiband acceleration may have strong negative effects on signal to noise, image artefacts, and signal dropout in medial and ventral brain regions. Multiband sequences can be valuable tools, particularly for specialist applications, but should be applied in smaller-scale studies judiciously, with a focus on a particular project’s endpoints, and after appropriate testing and pilot work.","container-title":"Aperture Neuro","DOI":"10.52294/001c.91292","ISSN":"2957-3963","language":"en","source":"DOI.org (Crossref)","title":"Multiband acquisition sequences for fMRI: Proceed with caution","title-short":"Multiband acquisition sequences for fMRI","URL":"https://apertureneuro.org/article/91292-multiband-acquisition-sequences-for-fmri-proceed-with-caution","volume":"3","author":[{"family":"Wall","given":"Matthew B"}],"accessed":{"date-parts":[["2023",12,27]]},"issued":{"date-parts":[["2023",12,22]]},"citation-key":"wallMultibandAcquisitionSequences2023"}}],"schema":"https://github.com/citation-style-language/schema/raw/master/csl-citation.json"}</w:instrText>
      </w:r>
      <w:r>
        <w:fldChar w:fldCharType="separate"/>
      </w:r>
      <w:r>
        <w:t>Wall 2023)</w:t>
      </w:r>
      <w:r>
        <w:fldChar w:fldCharType="end"/>
      </w:r>
      <w:r>
        <w:t>.</w:t>
      </w:r>
    </w:p>
    <w:p w14:paraId="242E7010" w14:textId="77777777" w:rsidR="006E251F" w:rsidRDefault="00000000">
      <w:r>
        <w:lastRenderedPageBreak/>
        <w:t xml:space="preserve">We use a moving plaid, a bistable visual stimulus that can be perceived either as two gratings sliding over each other and moving in different directions (incoherent motion) or as a single surface in which the two gratings are perceptually integrated and move coherently in a direction intermediate to those of the individual gratings (coherent motion) </w:t>
      </w:r>
      <w:r>
        <w:fldChar w:fldCharType="begin"/>
      </w:r>
      <w:r>
        <w:instrText>ADDIN ZOTERO_ITEM CSL_CITATION {"citationID":"ltfJzgeq","properties":{"formattedCitation":"(Sayal et al. 2020; Sousa et al. 2024; 2018)","plainCitation":"(Sayal et al. 2020; Sousa et al. 2024; 2018)","noteIndex":0},"citationItems":[{"id":729,"uris":["http://zotero.org/users/9021334/items/5FD2NVLI"],"itemData":{"id":729,"type":"article-journal","abstract":"Hysteresis is a well-known phenomenon in physics that relates changes in a system with its prior history. It is also part of human visual experience (perceptual hysteresis), and two different neural mechanisms might explain it: persistence (a cause of positive hysteresis), which forces to keep a current percept for longer, and adaptation (a cause of negative hysteresis), which in turn favors the switch to a competing percept early on. In this study, we explore the neural correlates underlying these mechanisms and the hypothesis of their competitive balance, by combining behavioral assessment with fMRI. We used machine learning on the behavioral data to distinguish between positive and negative hysteresis, and discovered a neural correlate of persistence at a core region of the ventral attention network, the anterior insula. Our results add to the understanding of perceptual multistability and reveal a possible mechanistic explanation for the regulation of different forms of perceptual hysteresis.","container-title":"NeuroImage","DOI":"10.1016/j.neuroimage.2020.117153","ISSN":"10538119","journalAbbreviation":"NeuroImage","language":"en","page":"117153","source":"DOI.org (Crossref)","title":"Identification of competing neural mechanisms underlying positive and negative perceptual hysteresis in the human visual system","volume":"221","author":[{"family":"Sayal","given":"Alexandre"},{"family":"Sousa","given":"Teresa"},{"family":"Duarte","given":"João V."},{"family":"Costa","given":"Gabriel N."},{"family":"Martins","given":"Ricardo"},{"family":"Castelo-Branco","given":"Miguel"}],"issued":{"date-parts":[["2020",11]]},"citation-key":"sayalIdentificationCompetingNeural2020"}},{"id":731,"uris":["http://zotero.org/users/9021334/items/BGUBMR5A"],"itemData":{"id":731,"type":"article-journal","abstract":"A model based on inhibitory coupling has been proposed to explain perceptual oscillations. This ’adapting reciprocal inhibition’ model postulates that it is the strength of inhibitory coupling that determines the fate of competition between percepts. Here, we used an fMRI-based adaptation technique to reveal the influence of neighboring neuronal populations, such as reciprocal inhibition, in motion-selective hMT+/V5. If reciprocal inhibition exists in this region, the following predictions should hold: 1. stimulus-driven response would not simply decrease, as predicted by simple repetition-suppression of neuronal populations, but instead, increase due to the activity from adjacent populations; 2. perceptual decision involving competing representations, should reflect decreased reciprocal inhibition by adaptation; 3. neural activity for the competing percept should also later on increase upon adaptation. Our results confirm these three predictions, showing that a model of perceptual decision based on adapting reciprocal inhibition holds true. Finally, they also show that the net effect of the well-known repetition suppression phenomenon can be reversed by this mechanism.","container-title":"NeuroImage","DOI":"10.1016/j.neuroimage.2023.120488","ISSN":"10538119","journalAbbreviation":"NeuroImage","language":"en","page":"120488","source":"DOI.org (Crossref)","title":"A human cortical adaptive mutual inhibition circuit underlying competition for perceptual decision and repetition suppression reversal","volume":"285","author":[{"family":"Sousa","given":"Teresa"},{"family":"Sayal","given":"Alexandre"},{"family":"Duarte","given":"João V."},{"family":"Costa","given":"Gabriel N."},{"family":"Castelo-Branco","given":"Miguel"}],"issued":{"date-parts":[["2024",1]]},"citation-key":"sousaHumanCorticalAdaptive2024"}},{"id":728,"uris":["http://zotero.org/users/9021334/items/RJHG56D8"],"itemData":{"id":728,"type":"article-journal","abstract":"Visual adaptation describes the processes by which the visual system alters its operating properties in response to changes in the environment. It is one of the mechanisms controlling visual perceptual bistability – when two perceptual solutions are available – by controlling the duration of each percept. Moving plaids are an example of such ambiguity. They can be perceived as two surfaces sliding incoherently over each other or as a single coherent surface. Here, we investigated, using fMRI, whether activity in the human motion complex (hMTþ), a region tightly related to the perceptual integration of visual motion, is modulated by distinct forms of visual adaptation to coherent or incoherent perception of moving plaids. Our hypothesis is that exposure to global coherent or incoherent moving stimuli leads to different levels of measurable adaptation, reﬂected in hMTþ activity. We found that the strength of the measured visual adaptation effect depended on whether subjects integrated (coherent percept) or segregated (incoherent percept) surface motion signals.","container-title":"NeuroImage","DOI":"10.1016/j.neuroimage.2018.06.075","ISSN":"10538119","journalAbbreviation":"NeuroImage","language":"en","page":"540-547","source":"DOI.org (Crossref)","title":"Evidence for distinct levels of neural adaptation to both coherent and incoherently moving visual surfaces in visual area hMT+","volume":"179","author":[{"family":"Sousa","given":"Teresa"},{"family":"Sayal","given":"Alexandre"},{"family":"Duarte","given":"João V."},{"family":"Costa","given":"Gabriel N."},{"family":"Martins","given":"Ricardo"},{"family":"Castelo-Branco","given":"Miguel"}],"issued":{"date-parts":[["2018",10]]},"citation-key":"sousaEvidenceDistinctLevels2018"}}],"schema":"https://github.com/citation-style-language/schema/raw/master/csl-citation.json"}</w:instrText>
      </w:r>
      <w:r>
        <w:fldChar w:fldCharType="separate"/>
      </w:r>
      <w:r>
        <w:t>(Sayal et al. 2020; Sousa et al. 2024; 2018)</w:t>
      </w:r>
      <w:r>
        <w:fldChar w:fldCharType="end"/>
      </w:r>
      <w:r>
        <w:t>. When the visual system interprets the plaid stimulus as a unified object moving in a single direction, we hypothesize that interhemispheric coupling may support the binding of motion signals across visual fields. In contrast, during incoherent perception, where motion is interpreted as independent gratings, such integration may be reduced or unnecessary, leading to weaker coupling, according to our prediction.</w:t>
      </w:r>
    </w:p>
    <w:p w14:paraId="248DEAEF" w14:textId="77777777" w:rsidR="006E251F" w:rsidRDefault="00000000">
      <w:r>
        <w:t>In this study, we evaluated interhemispheric functional connectivity in hMT+ during a bistable visual motion task to test the hypothesis that it reflects perceptual integration versus segregation. Finally, we investigated key characteristics of the interhemispheric connectivity signal during perceptual transitions, using dynamic functional connectivity.</w:t>
      </w:r>
    </w:p>
    <w:p w14:paraId="737A937C" w14:textId="77777777" w:rsidR="006E251F" w:rsidRDefault="00000000">
      <w:pPr>
        <w:pStyle w:val="Heading1"/>
      </w:pPr>
      <w:bookmarkStart w:id="1" w:name="_omq1z8res9t9"/>
      <w:bookmarkEnd w:id="1"/>
      <w:r>
        <w:t>Methods</w:t>
      </w:r>
    </w:p>
    <w:p w14:paraId="4078F2E2" w14:textId="77777777" w:rsidR="006E251F" w:rsidRDefault="00000000">
      <w:pPr>
        <w:pStyle w:val="Heading2"/>
      </w:pPr>
      <w:bookmarkStart w:id="2" w:name="_tonpszpjac3"/>
      <w:bookmarkEnd w:id="2"/>
      <w:r>
        <w:t>Participants</w:t>
      </w:r>
    </w:p>
    <w:p w14:paraId="7B0AA516" w14:textId="77777777" w:rsidR="006E251F" w:rsidRDefault="00000000">
      <w:r>
        <w:t xml:space="preserve">Fifteen healthy participants were recruited for this experiment (mean age 29.7 ± 8.4 years, 6 females) with normal or corrected-to-normal vision and no history of neurological or psychiatric diseases. All participants were right-handed, as confirmed by a handedness questionnaire adapted from </w:t>
      </w:r>
      <w:r>
        <w:fldChar w:fldCharType="begin"/>
      </w:r>
      <w:r>
        <w:instrText>ADDIN ZOTERO_ITEM CSL_CITATION {"citationID":"8n16sjnk","properties":{"formattedCitation":"(Oldfield 1971)","plainCitation":"(Oldfield 1971)","noteIndex":0},"citationItems":[{"id":674,"uris":["http://zotero.org/users/9021334/items/67ANVM47"],"itemData":{"id":674,"type":"article-journal","container-title":"Neuropsychologia","DOI":"10.1016/0028-3932(71)90067-4","ISSN":"00283932","issue":"1","journalAbbreviation":"Neuropsychologia","language":"en","page":"97-113","source":"DOI.org (Crossref)","title":"The assessment and analysis of handedness: The Edinburgh inventory","title-short":"The assessment and analysis of handedness","volume":"9","author":[{"family":"Oldfield","given":"R.C."}],"issued":{"date-parts":[["1971",3]]},"citation-key":"oldfieldAssessmentAnalysisHandedness1971"}}],"schema":"https://github.com/citation-style-language/schema/raw/master/csl-citation.json"}</w:instrText>
      </w:r>
      <w:r>
        <w:fldChar w:fldCharType="separate"/>
      </w:r>
      <w:r>
        <w:t>(Oldfield 1971)</w:t>
      </w:r>
      <w:r>
        <w:fldChar w:fldCharType="end"/>
      </w:r>
      <w:r>
        <w:t>: mean laterality index of 85.0 ± 9.0. All gave informed written consent before participating in accordance with the Declaration of Helsinki, and the study followed the safety guidelines for magnetic resonance imaging research on humans. The work was approved by the Ethics Committee of the Faculty of Medicine of the University of Coimbra.</w:t>
      </w:r>
    </w:p>
    <w:p w14:paraId="626C26CA" w14:textId="77777777" w:rsidR="006E251F" w:rsidRDefault="00000000">
      <w:pPr>
        <w:pStyle w:val="Heading2"/>
      </w:pPr>
      <w:bookmarkStart w:id="3" w:name="_mqepnlmssage"/>
      <w:bookmarkEnd w:id="3"/>
      <w:r>
        <w:t>fMRI data acquisition</w:t>
      </w:r>
    </w:p>
    <w:p w14:paraId="6A18FF81" w14:textId="77777777" w:rsidR="006E251F" w:rsidRDefault="00000000">
      <w:r>
        <w:t>Scanning was performed on a 3T Siemens Magnetom Prisma fit, using a 64-channel head/neck coil, at the Institute of Nuclear Sciences Applied to Health (ICNAS), University of Coimbra, Portugal. The scanning session started with the acquisition of one 3D anatomical magnetization-prepared rapid acquisition gradient echo (MPRAGE) pulse sequence (TR = 2530 ms, echo time (TE) = 3.42 ms, flip angle (FA) = 7°, 176 slices, voxel size 1.0 × 1.0 × 1.0 mm</w:t>
      </w:r>
      <w:r>
        <w:rPr>
          <w:vertAlign w:val="superscript"/>
        </w:rPr>
        <w:t>3</w:t>
      </w:r>
      <w:r>
        <w:t>, field of view (FOV) = 256 × 256 mm</w:t>
      </w:r>
      <w:r>
        <w:rPr>
          <w:vertAlign w:val="superscript"/>
        </w:rPr>
        <w:t>2</w:t>
      </w:r>
      <w:r>
        <w:t>).</w:t>
      </w:r>
    </w:p>
    <w:p w14:paraId="402DD0F3" w14:textId="13E7568C" w:rsidR="006E251F" w:rsidRDefault="00000000">
      <w:r>
        <w:t>The functional runs were acquired using 2D multi-band (MB) gradient-echo (GE) echo-planar imaging (EPI) sequences from the Center for Magnetic Resonance Research, University of Minnesota (Release R016a). We tested four different temporal resolutions: TR = 0.5 s (MB factor = 6, FA = 53º, 42 slices), TR = 0.75 s (MB factor = 4, FA = 63º, 40 slices), TR = 1 s (MB factor = 3, FA = 68º, 42 slices), TR = 2.5 s (MB factor = 1, FA = 85º, 42 slices). These resolutions were selected to represent the typical range used in fMRI experiments while maintaining whole-brain coverage. The remaining parameters were matched: TE = 30.2 ms, interleaved slices with 0.5 mm gap, voxel size 2.5 × 2.5 × 2.5 mm</w:t>
      </w:r>
      <w:r>
        <w:rPr>
          <w:vertAlign w:val="superscript"/>
        </w:rPr>
        <w:t>3</w:t>
      </w:r>
      <w:r>
        <w:t>, FoV 192 × 192 mm</w:t>
      </w:r>
      <w:r>
        <w:rPr>
          <w:vertAlign w:val="superscript"/>
        </w:rPr>
        <w:t>2</w:t>
      </w:r>
      <w:r>
        <w:t xml:space="preserve"> (Table 1).</w:t>
      </w:r>
    </w:p>
    <w:p w14:paraId="38B5D730" w14:textId="37FFBA9D" w:rsidR="006E251F" w:rsidRDefault="0083090B" w:rsidP="0083090B">
      <w:pPr>
        <w:spacing w:before="0" w:after="200" w:line="276" w:lineRule="auto"/>
        <w:jc w:val="center"/>
      </w:pPr>
      <w:r>
        <w:br w:type="page"/>
      </w:r>
      <w:r>
        <w:lastRenderedPageBreak/>
        <w:t xml:space="preserve">Table 1 </w:t>
      </w:r>
      <w:proofErr w:type="gramStart"/>
      <w:r>
        <w:t>-  Main</w:t>
      </w:r>
      <w:proofErr w:type="gramEnd"/>
      <w:r>
        <w:t xml:space="preserve"> parameters of the four fMRI sequences.</w:t>
      </w:r>
    </w:p>
    <w:tbl>
      <w:tblPr>
        <w:tblW w:w="9000" w:type="dxa"/>
        <w:jc w:val="center"/>
        <w:tblLayout w:type="fixed"/>
        <w:tblCellMar>
          <w:top w:w="40" w:type="dxa"/>
          <w:left w:w="40" w:type="dxa"/>
          <w:bottom w:w="40" w:type="dxa"/>
          <w:right w:w="40" w:type="dxa"/>
        </w:tblCellMar>
        <w:tblLook w:val="0600" w:firstRow="0" w:lastRow="0" w:firstColumn="0" w:lastColumn="0" w:noHBand="1" w:noVBand="1"/>
      </w:tblPr>
      <w:tblGrid>
        <w:gridCol w:w="2999"/>
        <w:gridCol w:w="1501"/>
        <w:gridCol w:w="1500"/>
        <w:gridCol w:w="1499"/>
        <w:gridCol w:w="1501"/>
      </w:tblGrid>
      <w:tr w:rsidR="006E251F" w14:paraId="43D5E582"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330D2F45" w14:textId="77777777" w:rsidR="006E251F" w:rsidRDefault="00000000">
            <w:pPr>
              <w:widowControl w:val="0"/>
              <w:spacing w:before="0" w:after="0" w:line="276" w:lineRule="auto"/>
              <w:jc w:val="center"/>
            </w:pPr>
            <w:r>
              <w:rPr>
                <w:b/>
              </w:rPr>
              <w:t>Sequence</w:t>
            </w:r>
          </w:p>
        </w:tc>
        <w:tc>
          <w:tcPr>
            <w:tcW w:w="1501" w:type="dxa"/>
            <w:tcBorders>
              <w:top w:val="single" w:sz="6" w:space="0" w:color="000000"/>
              <w:left w:val="single" w:sz="6" w:space="0" w:color="000000"/>
              <w:bottom w:val="single" w:sz="6" w:space="0" w:color="000000"/>
              <w:right w:val="single" w:sz="6" w:space="0" w:color="000000"/>
            </w:tcBorders>
            <w:vAlign w:val="center"/>
          </w:tcPr>
          <w:p w14:paraId="1BDB33F3" w14:textId="77777777" w:rsidR="006E251F" w:rsidRDefault="00000000">
            <w:pPr>
              <w:widowControl w:val="0"/>
              <w:spacing w:before="0" w:after="0" w:line="276" w:lineRule="auto"/>
              <w:jc w:val="center"/>
            </w:pPr>
            <w:r>
              <w:rPr>
                <w:b/>
              </w:rPr>
              <w:t>1</w:t>
            </w:r>
          </w:p>
        </w:tc>
        <w:tc>
          <w:tcPr>
            <w:tcW w:w="1500" w:type="dxa"/>
            <w:tcBorders>
              <w:top w:val="single" w:sz="6" w:space="0" w:color="000000"/>
              <w:left w:val="single" w:sz="6" w:space="0" w:color="000000"/>
              <w:bottom w:val="single" w:sz="6" w:space="0" w:color="000000"/>
              <w:right w:val="single" w:sz="6" w:space="0" w:color="000000"/>
            </w:tcBorders>
            <w:vAlign w:val="center"/>
          </w:tcPr>
          <w:p w14:paraId="4364A880" w14:textId="77777777" w:rsidR="006E251F" w:rsidRDefault="00000000">
            <w:pPr>
              <w:widowControl w:val="0"/>
              <w:spacing w:before="0" w:after="0" w:line="276" w:lineRule="auto"/>
              <w:jc w:val="center"/>
            </w:pPr>
            <w:r>
              <w:rPr>
                <w:b/>
              </w:rPr>
              <w:t>2</w:t>
            </w:r>
          </w:p>
        </w:tc>
        <w:tc>
          <w:tcPr>
            <w:tcW w:w="1499" w:type="dxa"/>
            <w:tcBorders>
              <w:top w:val="single" w:sz="6" w:space="0" w:color="000000"/>
              <w:left w:val="single" w:sz="6" w:space="0" w:color="000000"/>
              <w:bottom w:val="single" w:sz="6" w:space="0" w:color="000000"/>
              <w:right w:val="single" w:sz="6" w:space="0" w:color="000000"/>
            </w:tcBorders>
            <w:vAlign w:val="center"/>
          </w:tcPr>
          <w:p w14:paraId="07A10B53" w14:textId="77777777" w:rsidR="006E251F" w:rsidRDefault="00000000">
            <w:pPr>
              <w:widowControl w:val="0"/>
              <w:spacing w:before="0" w:after="0" w:line="276" w:lineRule="auto"/>
              <w:jc w:val="center"/>
            </w:pPr>
            <w:r>
              <w:rPr>
                <w:b/>
              </w:rPr>
              <w:t>3</w:t>
            </w:r>
          </w:p>
        </w:tc>
        <w:tc>
          <w:tcPr>
            <w:tcW w:w="1501" w:type="dxa"/>
            <w:tcBorders>
              <w:top w:val="single" w:sz="6" w:space="0" w:color="000000"/>
              <w:left w:val="single" w:sz="6" w:space="0" w:color="000000"/>
              <w:bottom w:val="single" w:sz="6" w:space="0" w:color="000000"/>
              <w:right w:val="single" w:sz="6" w:space="0" w:color="000000"/>
            </w:tcBorders>
            <w:vAlign w:val="center"/>
          </w:tcPr>
          <w:p w14:paraId="483C13F1" w14:textId="77777777" w:rsidR="006E251F" w:rsidRDefault="00000000">
            <w:pPr>
              <w:widowControl w:val="0"/>
              <w:spacing w:before="0" w:after="0" w:line="276" w:lineRule="auto"/>
              <w:jc w:val="center"/>
              <w:rPr>
                <w:b/>
              </w:rPr>
            </w:pPr>
            <w:r>
              <w:rPr>
                <w:b/>
              </w:rPr>
              <w:t>4</w:t>
            </w:r>
          </w:p>
        </w:tc>
      </w:tr>
      <w:tr w:rsidR="006E251F" w14:paraId="770E4EAE"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7FD287B6" w14:textId="77777777" w:rsidR="006E251F" w:rsidRDefault="00000000">
            <w:pPr>
              <w:widowControl w:val="0"/>
              <w:spacing w:before="0" w:after="0" w:line="276" w:lineRule="auto"/>
              <w:jc w:val="center"/>
            </w:pPr>
            <w:r>
              <w:rPr>
                <w:b/>
              </w:rPr>
              <w:t>TR (s)</w:t>
            </w:r>
          </w:p>
        </w:tc>
        <w:tc>
          <w:tcPr>
            <w:tcW w:w="1501" w:type="dxa"/>
            <w:tcBorders>
              <w:top w:val="single" w:sz="6" w:space="0" w:color="000000"/>
              <w:left w:val="single" w:sz="6" w:space="0" w:color="000000"/>
              <w:bottom w:val="single" w:sz="6" w:space="0" w:color="000000"/>
              <w:right w:val="single" w:sz="6" w:space="0" w:color="000000"/>
            </w:tcBorders>
            <w:vAlign w:val="center"/>
          </w:tcPr>
          <w:p w14:paraId="4AAD4901" w14:textId="77777777" w:rsidR="006E251F" w:rsidRDefault="00000000">
            <w:pPr>
              <w:widowControl w:val="0"/>
              <w:spacing w:before="0" w:after="0" w:line="276" w:lineRule="auto"/>
              <w:jc w:val="center"/>
            </w:pPr>
            <w:r>
              <w:t>0.5</w:t>
            </w:r>
          </w:p>
        </w:tc>
        <w:tc>
          <w:tcPr>
            <w:tcW w:w="1500" w:type="dxa"/>
            <w:tcBorders>
              <w:top w:val="single" w:sz="6" w:space="0" w:color="000000"/>
              <w:left w:val="single" w:sz="6" w:space="0" w:color="000000"/>
              <w:bottom w:val="single" w:sz="6" w:space="0" w:color="000000"/>
              <w:right w:val="single" w:sz="6" w:space="0" w:color="000000"/>
            </w:tcBorders>
            <w:vAlign w:val="center"/>
          </w:tcPr>
          <w:p w14:paraId="74D676D0" w14:textId="77777777" w:rsidR="006E251F" w:rsidRDefault="00000000">
            <w:pPr>
              <w:widowControl w:val="0"/>
              <w:spacing w:before="0" w:after="0" w:line="276" w:lineRule="auto"/>
              <w:jc w:val="center"/>
            </w:pPr>
            <w:r>
              <w:t>0.75</w:t>
            </w:r>
          </w:p>
        </w:tc>
        <w:tc>
          <w:tcPr>
            <w:tcW w:w="1499" w:type="dxa"/>
            <w:tcBorders>
              <w:top w:val="single" w:sz="6" w:space="0" w:color="000000"/>
              <w:left w:val="single" w:sz="6" w:space="0" w:color="000000"/>
              <w:bottom w:val="single" w:sz="6" w:space="0" w:color="000000"/>
              <w:right w:val="single" w:sz="6" w:space="0" w:color="000000"/>
            </w:tcBorders>
            <w:vAlign w:val="center"/>
          </w:tcPr>
          <w:p w14:paraId="62990664" w14:textId="77777777" w:rsidR="006E251F" w:rsidRDefault="00000000">
            <w:pPr>
              <w:widowControl w:val="0"/>
              <w:spacing w:before="0" w:after="0" w:line="276" w:lineRule="auto"/>
              <w:jc w:val="center"/>
            </w:pPr>
            <w:r>
              <w:t>1</w:t>
            </w:r>
          </w:p>
        </w:tc>
        <w:tc>
          <w:tcPr>
            <w:tcW w:w="1501" w:type="dxa"/>
            <w:tcBorders>
              <w:top w:val="single" w:sz="6" w:space="0" w:color="000000"/>
              <w:left w:val="single" w:sz="6" w:space="0" w:color="000000"/>
              <w:bottom w:val="single" w:sz="6" w:space="0" w:color="000000"/>
              <w:right w:val="single" w:sz="6" w:space="0" w:color="000000"/>
            </w:tcBorders>
            <w:vAlign w:val="center"/>
          </w:tcPr>
          <w:p w14:paraId="23971BB2" w14:textId="77777777" w:rsidR="006E251F" w:rsidRDefault="00000000">
            <w:pPr>
              <w:widowControl w:val="0"/>
              <w:spacing w:before="0" w:after="0" w:line="276" w:lineRule="auto"/>
              <w:jc w:val="center"/>
            </w:pPr>
            <w:r>
              <w:t>2.5</w:t>
            </w:r>
          </w:p>
        </w:tc>
      </w:tr>
      <w:tr w:rsidR="006E251F" w14:paraId="35770C9D"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7AED734D" w14:textId="77777777" w:rsidR="006E251F" w:rsidRDefault="00000000">
            <w:pPr>
              <w:widowControl w:val="0"/>
              <w:spacing w:before="0" w:after="0" w:line="276" w:lineRule="auto"/>
              <w:jc w:val="center"/>
            </w:pPr>
            <w:r>
              <w:rPr>
                <w:b/>
              </w:rPr>
              <w:t>TE (ms)</w:t>
            </w:r>
          </w:p>
        </w:tc>
        <w:tc>
          <w:tcPr>
            <w:tcW w:w="6001" w:type="dxa"/>
            <w:gridSpan w:val="4"/>
            <w:tcBorders>
              <w:top w:val="single" w:sz="6" w:space="0" w:color="000000"/>
              <w:left w:val="single" w:sz="6" w:space="0" w:color="000000"/>
              <w:bottom w:val="single" w:sz="6" w:space="0" w:color="000000"/>
              <w:right w:val="single" w:sz="6" w:space="0" w:color="000000"/>
            </w:tcBorders>
            <w:vAlign w:val="center"/>
          </w:tcPr>
          <w:p w14:paraId="026D4830" w14:textId="77777777" w:rsidR="006E251F" w:rsidRDefault="00000000">
            <w:pPr>
              <w:widowControl w:val="0"/>
              <w:spacing w:before="0" w:after="0" w:line="276" w:lineRule="auto"/>
              <w:jc w:val="center"/>
            </w:pPr>
            <w:r>
              <w:t>30.2</w:t>
            </w:r>
          </w:p>
        </w:tc>
      </w:tr>
      <w:tr w:rsidR="006E251F" w14:paraId="5312B0C3"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332BBF33" w14:textId="77777777" w:rsidR="006E251F" w:rsidRDefault="00000000">
            <w:pPr>
              <w:widowControl w:val="0"/>
              <w:spacing w:before="0" w:after="0" w:line="276" w:lineRule="auto"/>
              <w:jc w:val="center"/>
            </w:pPr>
            <w:r>
              <w:rPr>
                <w:b/>
              </w:rPr>
              <w:t>MB factor</w:t>
            </w:r>
          </w:p>
        </w:tc>
        <w:tc>
          <w:tcPr>
            <w:tcW w:w="1501" w:type="dxa"/>
            <w:tcBorders>
              <w:top w:val="single" w:sz="6" w:space="0" w:color="000000"/>
              <w:left w:val="single" w:sz="6" w:space="0" w:color="000000"/>
              <w:bottom w:val="single" w:sz="6" w:space="0" w:color="000000"/>
              <w:right w:val="single" w:sz="6" w:space="0" w:color="000000"/>
            </w:tcBorders>
            <w:vAlign w:val="center"/>
          </w:tcPr>
          <w:p w14:paraId="3052E20B" w14:textId="77777777" w:rsidR="006E251F" w:rsidRDefault="00000000">
            <w:pPr>
              <w:widowControl w:val="0"/>
              <w:spacing w:before="0" w:after="0" w:line="276" w:lineRule="auto"/>
              <w:jc w:val="center"/>
            </w:pPr>
            <w:r>
              <w:t>6</w:t>
            </w:r>
          </w:p>
        </w:tc>
        <w:tc>
          <w:tcPr>
            <w:tcW w:w="1500" w:type="dxa"/>
            <w:tcBorders>
              <w:top w:val="single" w:sz="6" w:space="0" w:color="000000"/>
              <w:left w:val="single" w:sz="6" w:space="0" w:color="000000"/>
              <w:bottom w:val="single" w:sz="6" w:space="0" w:color="000000"/>
              <w:right w:val="single" w:sz="6" w:space="0" w:color="000000"/>
            </w:tcBorders>
            <w:vAlign w:val="center"/>
          </w:tcPr>
          <w:p w14:paraId="76B683A7" w14:textId="77777777" w:rsidR="006E251F" w:rsidRDefault="00000000">
            <w:pPr>
              <w:widowControl w:val="0"/>
              <w:spacing w:before="0" w:after="0" w:line="276" w:lineRule="auto"/>
              <w:jc w:val="center"/>
            </w:pPr>
            <w:r>
              <w:t>4</w:t>
            </w:r>
          </w:p>
        </w:tc>
        <w:tc>
          <w:tcPr>
            <w:tcW w:w="1499" w:type="dxa"/>
            <w:tcBorders>
              <w:top w:val="single" w:sz="6" w:space="0" w:color="000000"/>
              <w:left w:val="single" w:sz="6" w:space="0" w:color="000000"/>
              <w:bottom w:val="single" w:sz="6" w:space="0" w:color="000000"/>
              <w:right w:val="single" w:sz="6" w:space="0" w:color="000000"/>
            </w:tcBorders>
            <w:vAlign w:val="center"/>
          </w:tcPr>
          <w:p w14:paraId="52E59EB2" w14:textId="77777777" w:rsidR="006E251F" w:rsidRDefault="00000000">
            <w:pPr>
              <w:widowControl w:val="0"/>
              <w:spacing w:before="0" w:after="0" w:line="276" w:lineRule="auto"/>
              <w:jc w:val="center"/>
            </w:pPr>
            <w:r>
              <w:t>3</w:t>
            </w:r>
          </w:p>
        </w:tc>
        <w:tc>
          <w:tcPr>
            <w:tcW w:w="1501" w:type="dxa"/>
            <w:tcBorders>
              <w:top w:val="single" w:sz="6" w:space="0" w:color="000000"/>
              <w:left w:val="single" w:sz="6" w:space="0" w:color="000000"/>
              <w:bottom w:val="single" w:sz="6" w:space="0" w:color="000000"/>
              <w:right w:val="single" w:sz="6" w:space="0" w:color="000000"/>
            </w:tcBorders>
            <w:vAlign w:val="center"/>
          </w:tcPr>
          <w:p w14:paraId="4E05E443" w14:textId="77777777" w:rsidR="006E251F" w:rsidRDefault="00000000">
            <w:pPr>
              <w:widowControl w:val="0"/>
              <w:spacing w:before="0" w:after="0" w:line="276" w:lineRule="auto"/>
              <w:jc w:val="center"/>
            </w:pPr>
            <w:r>
              <w:t>1</w:t>
            </w:r>
          </w:p>
        </w:tc>
      </w:tr>
      <w:tr w:rsidR="006E251F" w14:paraId="44D5C06D"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0F13FB30" w14:textId="77777777" w:rsidR="006E251F" w:rsidRDefault="00000000">
            <w:pPr>
              <w:widowControl w:val="0"/>
              <w:spacing w:before="0" w:after="0" w:line="276" w:lineRule="auto"/>
              <w:jc w:val="center"/>
            </w:pPr>
            <w:r>
              <w:rPr>
                <w:b/>
              </w:rPr>
              <w:t>Voxel size (mm)</w:t>
            </w:r>
          </w:p>
        </w:tc>
        <w:tc>
          <w:tcPr>
            <w:tcW w:w="6001" w:type="dxa"/>
            <w:gridSpan w:val="4"/>
            <w:tcBorders>
              <w:top w:val="single" w:sz="6" w:space="0" w:color="000000"/>
              <w:left w:val="single" w:sz="6" w:space="0" w:color="000000"/>
              <w:bottom w:val="single" w:sz="6" w:space="0" w:color="000000"/>
              <w:right w:val="single" w:sz="6" w:space="0" w:color="000000"/>
            </w:tcBorders>
            <w:vAlign w:val="center"/>
          </w:tcPr>
          <w:p w14:paraId="0C982BD2" w14:textId="77777777" w:rsidR="006E251F" w:rsidRDefault="00000000">
            <w:pPr>
              <w:widowControl w:val="0"/>
              <w:spacing w:before="0" w:after="0" w:line="276" w:lineRule="auto"/>
              <w:jc w:val="center"/>
            </w:pPr>
            <w:r>
              <w:t>2.5</w:t>
            </w:r>
          </w:p>
        </w:tc>
      </w:tr>
      <w:tr w:rsidR="006E251F" w14:paraId="3D2C1572"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5743E4B9" w14:textId="77777777" w:rsidR="006E251F" w:rsidRDefault="00000000">
            <w:pPr>
              <w:widowControl w:val="0"/>
              <w:spacing w:before="0" w:after="0" w:line="276" w:lineRule="auto"/>
              <w:jc w:val="center"/>
            </w:pPr>
            <w:r>
              <w:rPr>
                <w:b/>
              </w:rPr>
              <w:t>Slice gap (mm)</w:t>
            </w:r>
          </w:p>
        </w:tc>
        <w:tc>
          <w:tcPr>
            <w:tcW w:w="6001" w:type="dxa"/>
            <w:gridSpan w:val="4"/>
            <w:tcBorders>
              <w:top w:val="single" w:sz="6" w:space="0" w:color="000000"/>
              <w:left w:val="single" w:sz="6" w:space="0" w:color="000000"/>
              <w:bottom w:val="single" w:sz="6" w:space="0" w:color="000000"/>
              <w:right w:val="single" w:sz="6" w:space="0" w:color="000000"/>
            </w:tcBorders>
            <w:vAlign w:val="center"/>
          </w:tcPr>
          <w:p w14:paraId="62AA5FDA" w14:textId="77777777" w:rsidR="006E251F" w:rsidRDefault="00000000">
            <w:pPr>
              <w:widowControl w:val="0"/>
              <w:spacing w:before="0" w:after="0" w:line="276" w:lineRule="auto"/>
              <w:jc w:val="center"/>
            </w:pPr>
            <w:r>
              <w:t>0.5</w:t>
            </w:r>
          </w:p>
        </w:tc>
      </w:tr>
      <w:tr w:rsidR="006E251F" w14:paraId="53D67CC5"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5F3F9BCA" w14:textId="77777777" w:rsidR="006E251F" w:rsidRDefault="00000000">
            <w:pPr>
              <w:widowControl w:val="0"/>
              <w:spacing w:before="0" w:after="0" w:line="276" w:lineRule="auto"/>
              <w:jc w:val="center"/>
            </w:pPr>
            <w:r>
              <w:rPr>
                <w:b/>
              </w:rPr>
              <w:t>Number of slices</w:t>
            </w:r>
          </w:p>
        </w:tc>
        <w:tc>
          <w:tcPr>
            <w:tcW w:w="1501" w:type="dxa"/>
            <w:tcBorders>
              <w:top w:val="single" w:sz="6" w:space="0" w:color="000000"/>
              <w:left w:val="single" w:sz="6" w:space="0" w:color="000000"/>
              <w:bottom w:val="single" w:sz="6" w:space="0" w:color="000000"/>
              <w:right w:val="single" w:sz="6" w:space="0" w:color="000000"/>
            </w:tcBorders>
            <w:vAlign w:val="center"/>
          </w:tcPr>
          <w:p w14:paraId="26488B5F" w14:textId="77777777" w:rsidR="006E251F" w:rsidRDefault="00000000">
            <w:pPr>
              <w:widowControl w:val="0"/>
              <w:spacing w:before="0" w:after="0" w:line="276" w:lineRule="auto"/>
              <w:jc w:val="center"/>
            </w:pPr>
            <w:r>
              <w:t>42</w:t>
            </w:r>
          </w:p>
        </w:tc>
        <w:tc>
          <w:tcPr>
            <w:tcW w:w="1500" w:type="dxa"/>
            <w:tcBorders>
              <w:top w:val="single" w:sz="6" w:space="0" w:color="000000"/>
              <w:left w:val="single" w:sz="6" w:space="0" w:color="000000"/>
              <w:bottom w:val="single" w:sz="6" w:space="0" w:color="000000"/>
              <w:right w:val="single" w:sz="6" w:space="0" w:color="000000"/>
            </w:tcBorders>
            <w:vAlign w:val="center"/>
          </w:tcPr>
          <w:p w14:paraId="48178012" w14:textId="77777777" w:rsidR="006E251F" w:rsidRDefault="00000000">
            <w:pPr>
              <w:widowControl w:val="0"/>
              <w:spacing w:before="0" w:after="0" w:line="276" w:lineRule="auto"/>
              <w:jc w:val="center"/>
            </w:pPr>
            <w:r>
              <w:t>40</w:t>
            </w:r>
          </w:p>
        </w:tc>
        <w:tc>
          <w:tcPr>
            <w:tcW w:w="1499" w:type="dxa"/>
            <w:tcBorders>
              <w:top w:val="single" w:sz="6" w:space="0" w:color="000000"/>
              <w:left w:val="single" w:sz="6" w:space="0" w:color="000000"/>
              <w:bottom w:val="single" w:sz="6" w:space="0" w:color="000000"/>
              <w:right w:val="single" w:sz="6" w:space="0" w:color="000000"/>
            </w:tcBorders>
            <w:vAlign w:val="center"/>
          </w:tcPr>
          <w:p w14:paraId="48991418" w14:textId="77777777" w:rsidR="006E251F" w:rsidRDefault="00000000">
            <w:pPr>
              <w:widowControl w:val="0"/>
              <w:spacing w:before="0" w:after="0" w:line="276" w:lineRule="auto"/>
              <w:jc w:val="center"/>
            </w:pPr>
            <w:r>
              <w:t>42</w:t>
            </w:r>
          </w:p>
        </w:tc>
        <w:tc>
          <w:tcPr>
            <w:tcW w:w="1501" w:type="dxa"/>
            <w:tcBorders>
              <w:top w:val="single" w:sz="6" w:space="0" w:color="000000"/>
              <w:left w:val="single" w:sz="6" w:space="0" w:color="000000"/>
              <w:bottom w:val="single" w:sz="6" w:space="0" w:color="000000"/>
              <w:right w:val="single" w:sz="6" w:space="0" w:color="000000"/>
            </w:tcBorders>
            <w:vAlign w:val="center"/>
          </w:tcPr>
          <w:p w14:paraId="33A4C997" w14:textId="77777777" w:rsidR="006E251F" w:rsidRDefault="00000000">
            <w:pPr>
              <w:spacing w:before="0" w:after="0"/>
              <w:jc w:val="center"/>
            </w:pPr>
            <w:r>
              <w:t>42</w:t>
            </w:r>
          </w:p>
        </w:tc>
      </w:tr>
      <w:tr w:rsidR="006E251F" w14:paraId="011D4480"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667D8661" w14:textId="77777777" w:rsidR="006E251F" w:rsidRDefault="00000000">
            <w:pPr>
              <w:widowControl w:val="0"/>
              <w:spacing w:before="0" w:after="0" w:line="276" w:lineRule="auto"/>
              <w:jc w:val="center"/>
            </w:pPr>
            <w:r>
              <w:rPr>
                <w:b/>
              </w:rPr>
              <w:t>Flip Angle (º)</w:t>
            </w:r>
          </w:p>
        </w:tc>
        <w:tc>
          <w:tcPr>
            <w:tcW w:w="1501" w:type="dxa"/>
            <w:tcBorders>
              <w:top w:val="single" w:sz="6" w:space="0" w:color="000000"/>
              <w:left w:val="single" w:sz="6" w:space="0" w:color="000000"/>
              <w:bottom w:val="single" w:sz="6" w:space="0" w:color="000000"/>
              <w:right w:val="single" w:sz="6" w:space="0" w:color="000000"/>
            </w:tcBorders>
            <w:vAlign w:val="center"/>
          </w:tcPr>
          <w:p w14:paraId="789917E5" w14:textId="77777777" w:rsidR="006E251F" w:rsidRDefault="00000000">
            <w:pPr>
              <w:widowControl w:val="0"/>
              <w:spacing w:before="0" w:after="0" w:line="276" w:lineRule="auto"/>
              <w:jc w:val="center"/>
            </w:pPr>
            <w:r>
              <w:t>53</w:t>
            </w:r>
          </w:p>
        </w:tc>
        <w:tc>
          <w:tcPr>
            <w:tcW w:w="1500" w:type="dxa"/>
            <w:tcBorders>
              <w:top w:val="single" w:sz="6" w:space="0" w:color="000000"/>
              <w:left w:val="single" w:sz="6" w:space="0" w:color="000000"/>
              <w:bottom w:val="single" w:sz="6" w:space="0" w:color="000000"/>
              <w:right w:val="single" w:sz="6" w:space="0" w:color="000000"/>
            </w:tcBorders>
            <w:vAlign w:val="center"/>
          </w:tcPr>
          <w:p w14:paraId="2436922C" w14:textId="77777777" w:rsidR="006E251F" w:rsidRDefault="00000000">
            <w:pPr>
              <w:widowControl w:val="0"/>
              <w:spacing w:before="0" w:after="0" w:line="276" w:lineRule="auto"/>
              <w:jc w:val="center"/>
            </w:pPr>
            <w:r>
              <w:t>63</w:t>
            </w:r>
          </w:p>
        </w:tc>
        <w:tc>
          <w:tcPr>
            <w:tcW w:w="1499" w:type="dxa"/>
            <w:tcBorders>
              <w:top w:val="single" w:sz="6" w:space="0" w:color="000000"/>
              <w:left w:val="single" w:sz="6" w:space="0" w:color="000000"/>
              <w:bottom w:val="single" w:sz="6" w:space="0" w:color="000000"/>
              <w:right w:val="single" w:sz="6" w:space="0" w:color="000000"/>
            </w:tcBorders>
            <w:vAlign w:val="center"/>
          </w:tcPr>
          <w:p w14:paraId="5C925DB3" w14:textId="77777777" w:rsidR="006E251F" w:rsidRDefault="00000000">
            <w:pPr>
              <w:widowControl w:val="0"/>
              <w:spacing w:before="0" w:after="0" w:line="276" w:lineRule="auto"/>
              <w:jc w:val="center"/>
            </w:pPr>
            <w:r>
              <w:t>68</w:t>
            </w:r>
          </w:p>
        </w:tc>
        <w:tc>
          <w:tcPr>
            <w:tcW w:w="1501" w:type="dxa"/>
            <w:tcBorders>
              <w:top w:val="single" w:sz="6" w:space="0" w:color="CCCCCC"/>
              <w:left w:val="single" w:sz="6" w:space="0" w:color="000000"/>
              <w:bottom w:val="single" w:sz="6" w:space="0" w:color="000000"/>
              <w:right w:val="single" w:sz="6" w:space="0" w:color="000000"/>
            </w:tcBorders>
            <w:vAlign w:val="center"/>
          </w:tcPr>
          <w:p w14:paraId="7621934F" w14:textId="77777777" w:rsidR="006E251F" w:rsidRDefault="00000000">
            <w:pPr>
              <w:spacing w:before="0" w:after="0"/>
              <w:jc w:val="center"/>
            </w:pPr>
            <w:r>
              <w:t>85</w:t>
            </w:r>
          </w:p>
        </w:tc>
      </w:tr>
      <w:tr w:rsidR="006E251F" w14:paraId="57210353"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5AD98D48" w14:textId="77777777" w:rsidR="006E251F" w:rsidRDefault="00000000">
            <w:pPr>
              <w:widowControl w:val="0"/>
              <w:spacing w:before="0" w:after="0" w:line="276" w:lineRule="auto"/>
              <w:jc w:val="center"/>
            </w:pPr>
            <w:r>
              <w:rPr>
                <w:b/>
              </w:rPr>
              <w:t>Bandwidth (Hz/px)</w:t>
            </w:r>
          </w:p>
        </w:tc>
        <w:tc>
          <w:tcPr>
            <w:tcW w:w="1501" w:type="dxa"/>
            <w:tcBorders>
              <w:top w:val="single" w:sz="6" w:space="0" w:color="000000"/>
              <w:left w:val="single" w:sz="6" w:space="0" w:color="000000"/>
              <w:bottom w:val="single" w:sz="6" w:space="0" w:color="000000"/>
              <w:right w:val="single" w:sz="6" w:space="0" w:color="000000"/>
            </w:tcBorders>
            <w:vAlign w:val="center"/>
          </w:tcPr>
          <w:p w14:paraId="670DF87E" w14:textId="77777777" w:rsidR="006E251F" w:rsidRDefault="00000000">
            <w:pPr>
              <w:widowControl w:val="0"/>
              <w:spacing w:before="0" w:after="0" w:line="276" w:lineRule="auto"/>
              <w:jc w:val="center"/>
            </w:pPr>
            <w:r>
              <w:t>2742</w:t>
            </w:r>
          </w:p>
        </w:tc>
        <w:tc>
          <w:tcPr>
            <w:tcW w:w="1500" w:type="dxa"/>
            <w:tcBorders>
              <w:top w:val="single" w:sz="6" w:space="0" w:color="000000"/>
              <w:left w:val="single" w:sz="6" w:space="0" w:color="000000"/>
              <w:bottom w:val="single" w:sz="6" w:space="0" w:color="000000"/>
              <w:right w:val="single" w:sz="6" w:space="0" w:color="000000"/>
            </w:tcBorders>
            <w:vAlign w:val="center"/>
          </w:tcPr>
          <w:p w14:paraId="1E02F050" w14:textId="77777777" w:rsidR="006E251F" w:rsidRDefault="00000000">
            <w:pPr>
              <w:widowControl w:val="0"/>
              <w:spacing w:before="0" w:after="0" w:line="276" w:lineRule="auto"/>
              <w:jc w:val="center"/>
            </w:pPr>
            <w:r>
              <w:t>2742</w:t>
            </w:r>
          </w:p>
        </w:tc>
        <w:tc>
          <w:tcPr>
            <w:tcW w:w="1499" w:type="dxa"/>
            <w:tcBorders>
              <w:top w:val="single" w:sz="6" w:space="0" w:color="000000"/>
              <w:left w:val="single" w:sz="6" w:space="0" w:color="000000"/>
              <w:bottom w:val="single" w:sz="6" w:space="0" w:color="000000"/>
              <w:right w:val="single" w:sz="6" w:space="0" w:color="000000"/>
            </w:tcBorders>
            <w:vAlign w:val="center"/>
          </w:tcPr>
          <w:p w14:paraId="71C9EE2C" w14:textId="77777777" w:rsidR="006E251F" w:rsidRDefault="00000000">
            <w:pPr>
              <w:widowControl w:val="0"/>
              <w:spacing w:before="0" w:after="0" w:line="276" w:lineRule="auto"/>
              <w:jc w:val="center"/>
            </w:pPr>
            <w:r>
              <w:t>2632</w:t>
            </w:r>
          </w:p>
        </w:tc>
        <w:tc>
          <w:tcPr>
            <w:tcW w:w="1501" w:type="dxa"/>
            <w:tcBorders>
              <w:top w:val="single" w:sz="6" w:space="0" w:color="CCCCCC"/>
              <w:left w:val="single" w:sz="6" w:space="0" w:color="000000"/>
              <w:bottom w:val="single" w:sz="6" w:space="0" w:color="000000"/>
              <w:right w:val="single" w:sz="6" w:space="0" w:color="000000"/>
            </w:tcBorders>
            <w:vAlign w:val="center"/>
          </w:tcPr>
          <w:p w14:paraId="6AC30844" w14:textId="77777777" w:rsidR="006E251F" w:rsidRDefault="00000000">
            <w:pPr>
              <w:spacing w:before="0" w:after="0"/>
              <w:jc w:val="center"/>
            </w:pPr>
            <w:r>
              <w:t>1994</w:t>
            </w:r>
          </w:p>
        </w:tc>
      </w:tr>
      <w:tr w:rsidR="006E251F" w14:paraId="6B7ACA6A"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28897333" w14:textId="77777777" w:rsidR="006E251F" w:rsidRDefault="00000000">
            <w:pPr>
              <w:widowControl w:val="0"/>
              <w:spacing w:before="0" w:after="0" w:line="276" w:lineRule="auto"/>
              <w:jc w:val="center"/>
            </w:pPr>
            <w:r>
              <w:rPr>
                <w:b/>
              </w:rPr>
              <w:t>Echo Spacing (ms)</w:t>
            </w:r>
          </w:p>
        </w:tc>
        <w:tc>
          <w:tcPr>
            <w:tcW w:w="1501" w:type="dxa"/>
            <w:tcBorders>
              <w:top w:val="single" w:sz="6" w:space="0" w:color="000000"/>
              <w:left w:val="single" w:sz="6" w:space="0" w:color="000000"/>
              <w:bottom w:val="single" w:sz="6" w:space="0" w:color="000000"/>
              <w:right w:val="single" w:sz="6" w:space="0" w:color="000000"/>
            </w:tcBorders>
            <w:vAlign w:val="center"/>
          </w:tcPr>
          <w:p w14:paraId="3C154285" w14:textId="77777777" w:rsidR="006E251F" w:rsidRDefault="00000000">
            <w:pPr>
              <w:widowControl w:val="0"/>
              <w:spacing w:before="0" w:after="0" w:line="276" w:lineRule="auto"/>
              <w:jc w:val="center"/>
            </w:pPr>
            <w:r>
              <w:t>0.51</w:t>
            </w:r>
          </w:p>
        </w:tc>
        <w:tc>
          <w:tcPr>
            <w:tcW w:w="1500" w:type="dxa"/>
            <w:tcBorders>
              <w:top w:val="single" w:sz="6" w:space="0" w:color="000000"/>
              <w:left w:val="single" w:sz="6" w:space="0" w:color="000000"/>
              <w:bottom w:val="single" w:sz="6" w:space="0" w:color="000000"/>
              <w:right w:val="single" w:sz="6" w:space="0" w:color="000000"/>
            </w:tcBorders>
            <w:vAlign w:val="center"/>
          </w:tcPr>
          <w:p w14:paraId="16A5BDBD" w14:textId="77777777" w:rsidR="006E251F" w:rsidRDefault="00000000">
            <w:pPr>
              <w:widowControl w:val="0"/>
              <w:spacing w:before="0" w:after="0" w:line="276" w:lineRule="auto"/>
              <w:jc w:val="center"/>
            </w:pPr>
            <w:r>
              <w:t>0.49</w:t>
            </w:r>
          </w:p>
        </w:tc>
        <w:tc>
          <w:tcPr>
            <w:tcW w:w="1499" w:type="dxa"/>
            <w:tcBorders>
              <w:top w:val="single" w:sz="6" w:space="0" w:color="000000"/>
              <w:left w:val="single" w:sz="6" w:space="0" w:color="000000"/>
              <w:bottom w:val="single" w:sz="6" w:space="0" w:color="000000"/>
              <w:right w:val="single" w:sz="6" w:space="0" w:color="000000"/>
            </w:tcBorders>
            <w:vAlign w:val="center"/>
          </w:tcPr>
          <w:p w14:paraId="6F6CB1D5" w14:textId="77777777" w:rsidR="006E251F" w:rsidRDefault="00000000">
            <w:pPr>
              <w:widowControl w:val="0"/>
              <w:spacing w:before="0" w:after="0" w:line="276" w:lineRule="auto"/>
              <w:jc w:val="center"/>
            </w:pPr>
            <w:r>
              <w:t>0.49</w:t>
            </w:r>
          </w:p>
        </w:tc>
        <w:tc>
          <w:tcPr>
            <w:tcW w:w="1501" w:type="dxa"/>
            <w:tcBorders>
              <w:top w:val="single" w:sz="6" w:space="0" w:color="CCCCCC"/>
              <w:left w:val="single" w:sz="6" w:space="0" w:color="000000"/>
              <w:bottom w:val="single" w:sz="6" w:space="0" w:color="000000"/>
              <w:right w:val="single" w:sz="6" w:space="0" w:color="000000"/>
            </w:tcBorders>
            <w:vAlign w:val="center"/>
          </w:tcPr>
          <w:p w14:paraId="37EF1EBB" w14:textId="77777777" w:rsidR="006E251F" w:rsidRDefault="00000000">
            <w:pPr>
              <w:spacing w:before="0" w:after="0"/>
              <w:jc w:val="center"/>
            </w:pPr>
            <w:r>
              <w:t>0.59</w:t>
            </w:r>
          </w:p>
        </w:tc>
      </w:tr>
      <w:tr w:rsidR="006E251F" w14:paraId="4268A207"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60B44695" w14:textId="77777777" w:rsidR="006E251F" w:rsidRDefault="00000000">
            <w:pPr>
              <w:widowControl w:val="0"/>
              <w:spacing w:before="0" w:after="0" w:line="276" w:lineRule="auto"/>
              <w:jc w:val="center"/>
            </w:pPr>
            <w:r>
              <w:rPr>
                <w:b/>
              </w:rPr>
              <w:t>Excite pulse duration (us)</w:t>
            </w:r>
          </w:p>
        </w:tc>
        <w:tc>
          <w:tcPr>
            <w:tcW w:w="1501" w:type="dxa"/>
            <w:tcBorders>
              <w:top w:val="single" w:sz="6" w:space="0" w:color="000000"/>
              <w:left w:val="single" w:sz="6" w:space="0" w:color="000000"/>
              <w:bottom w:val="single" w:sz="6" w:space="0" w:color="000000"/>
              <w:right w:val="single" w:sz="6" w:space="0" w:color="000000"/>
            </w:tcBorders>
            <w:vAlign w:val="center"/>
          </w:tcPr>
          <w:p w14:paraId="7F04A88D" w14:textId="77777777" w:rsidR="006E251F" w:rsidRDefault="00000000">
            <w:pPr>
              <w:widowControl w:val="0"/>
              <w:spacing w:before="0" w:after="0" w:line="276" w:lineRule="auto"/>
              <w:jc w:val="center"/>
            </w:pPr>
            <w:r>
              <w:t>2560</w:t>
            </w:r>
          </w:p>
        </w:tc>
        <w:tc>
          <w:tcPr>
            <w:tcW w:w="1500" w:type="dxa"/>
            <w:tcBorders>
              <w:top w:val="single" w:sz="6" w:space="0" w:color="000000"/>
              <w:left w:val="single" w:sz="6" w:space="0" w:color="000000"/>
              <w:bottom w:val="single" w:sz="6" w:space="0" w:color="000000"/>
              <w:right w:val="single" w:sz="6" w:space="0" w:color="000000"/>
            </w:tcBorders>
            <w:vAlign w:val="center"/>
          </w:tcPr>
          <w:p w14:paraId="70C33509" w14:textId="77777777" w:rsidR="006E251F" w:rsidRDefault="00000000">
            <w:pPr>
              <w:widowControl w:val="0"/>
              <w:spacing w:before="0" w:after="0" w:line="276" w:lineRule="auto"/>
              <w:jc w:val="center"/>
            </w:pPr>
            <w:r>
              <w:t>2560</w:t>
            </w:r>
          </w:p>
        </w:tc>
        <w:tc>
          <w:tcPr>
            <w:tcW w:w="1499" w:type="dxa"/>
            <w:tcBorders>
              <w:top w:val="single" w:sz="6" w:space="0" w:color="000000"/>
              <w:left w:val="single" w:sz="6" w:space="0" w:color="000000"/>
              <w:bottom w:val="single" w:sz="6" w:space="0" w:color="000000"/>
              <w:right w:val="single" w:sz="6" w:space="0" w:color="000000"/>
            </w:tcBorders>
            <w:vAlign w:val="center"/>
          </w:tcPr>
          <w:p w14:paraId="0BD6983A" w14:textId="77777777" w:rsidR="006E251F" w:rsidRDefault="00000000">
            <w:pPr>
              <w:widowControl w:val="0"/>
              <w:spacing w:before="0" w:after="0" w:line="276" w:lineRule="auto"/>
              <w:jc w:val="center"/>
            </w:pPr>
            <w:r>
              <w:t>2560</w:t>
            </w:r>
          </w:p>
        </w:tc>
        <w:tc>
          <w:tcPr>
            <w:tcW w:w="1501" w:type="dxa"/>
            <w:tcBorders>
              <w:top w:val="single" w:sz="6" w:space="0" w:color="CCCCCC"/>
              <w:left w:val="single" w:sz="6" w:space="0" w:color="000000"/>
              <w:bottom w:val="single" w:sz="6" w:space="0" w:color="000000"/>
              <w:right w:val="single" w:sz="6" w:space="0" w:color="000000"/>
            </w:tcBorders>
            <w:vAlign w:val="center"/>
          </w:tcPr>
          <w:p w14:paraId="429AA995" w14:textId="77777777" w:rsidR="006E251F" w:rsidRDefault="00000000">
            <w:pPr>
              <w:spacing w:before="0" w:after="0"/>
              <w:jc w:val="center"/>
            </w:pPr>
            <w:r>
              <w:t>4840</w:t>
            </w:r>
          </w:p>
        </w:tc>
      </w:tr>
      <w:tr w:rsidR="006E251F" w14:paraId="2E5CD334"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431CCBC5" w14:textId="77777777" w:rsidR="006E251F" w:rsidRDefault="00000000">
            <w:pPr>
              <w:widowControl w:val="0"/>
              <w:spacing w:before="0" w:after="0" w:line="276" w:lineRule="auto"/>
              <w:jc w:val="center"/>
            </w:pPr>
            <w:r>
              <w:rPr>
                <w:b/>
              </w:rPr>
              <w:t>EPI factor</w:t>
            </w:r>
          </w:p>
        </w:tc>
        <w:tc>
          <w:tcPr>
            <w:tcW w:w="6001" w:type="dxa"/>
            <w:gridSpan w:val="4"/>
            <w:tcBorders>
              <w:top w:val="single" w:sz="6" w:space="0" w:color="000000"/>
              <w:left w:val="single" w:sz="6" w:space="0" w:color="000000"/>
              <w:bottom w:val="single" w:sz="6" w:space="0" w:color="000000"/>
              <w:right w:val="single" w:sz="6" w:space="0" w:color="000000"/>
            </w:tcBorders>
            <w:vAlign w:val="center"/>
          </w:tcPr>
          <w:p w14:paraId="42C22D9E" w14:textId="77777777" w:rsidR="006E251F" w:rsidRDefault="00000000">
            <w:pPr>
              <w:widowControl w:val="0"/>
              <w:spacing w:before="0" w:after="0" w:line="276" w:lineRule="auto"/>
              <w:jc w:val="center"/>
            </w:pPr>
            <w:r>
              <w:t>76</w:t>
            </w:r>
          </w:p>
        </w:tc>
      </w:tr>
      <w:tr w:rsidR="006E251F" w14:paraId="1CACE354"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3A1F2C56" w14:textId="77777777" w:rsidR="006E251F" w:rsidRDefault="00000000">
            <w:pPr>
              <w:widowControl w:val="0"/>
              <w:spacing w:before="0" w:after="0" w:line="276" w:lineRule="auto"/>
              <w:jc w:val="center"/>
            </w:pPr>
            <w:r>
              <w:rPr>
                <w:b/>
              </w:rPr>
              <w:t>GRAPPA</w:t>
            </w:r>
          </w:p>
        </w:tc>
        <w:tc>
          <w:tcPr>
            <w:tcW w:w="1501" w:type="dxa"/>
            <w:tcBorders>
              <w:top w:val="single" w:sz="6" w:space="0" w:color="000000"/>
              <w:left w:val="single" w:sz="6" w:space="0" w:color="000000"/>
              <w:bottom w:val="single" w:sz="6" w:space="0" w:color="000000"/>
              <w:right w:val="single" w:sz="6" w:space="0" w:color="000000"/>
            </w:tcBorders>
            <w:vAlign w:val="center"/>
          </w:tcPr>
          <w:p w14:paraId="58F4ACCB" w14:textId="77777777" w:rsidR="006E251F" w:rsidRDefault="00000000">
            <w:pPr>
              <w:widowControl w:val="0"/>
              <w:spacing w:before="0" w:after="0" w:line="276" w:lineRule="auto"/>
              <w:jc w:val="center"/>
            </w:pPr>
            <w:r>
              <w:t>Off</w:t>
            </w:r>
          </w:p>
        </w:tc>
        <w:tc>
          <w:tcPr>
            <w:tcW w:w="1500" w:type="dxa"/>
            <w:tcBorders>
              <w:top w:val="single" w:sz="6" w:space="0" w:color="000000"/>
              <w:left w:val="single" w:sz="6" w:space="0" w:color="000000"/>
              <w:bottom w:val="single" w:sz="6" w:space="0" w:color="000000"/>
              <w:right w:val="single" w:sz="6" w:space="0" w:color="000000"/>
            </w:tcBorders>
            <w:vAlign w:val="center"/>
          </w:tcPr>
          <w:p w14:paraId="3D95C183" w14:textId="77777777" w:rsidR="006E251F" w:rsidRDefault="00000000">
            <w:pPr>
              <w:widowControl w:val="0"/>
              <w:spacing w:before="0" w:after="0" w:line="276" w:lineRule="auto"/>
              <w:jc w:val="center"/>
            </w:pPr>
            <w:r>
              <w:t>Off</w:t>
            </w:r>
          </w:p>
        </w:tc>
        <w:tc>
          <w:tcPr>
            <w:tcW w:w="1499" w:type="dxa"/>
            <w:tcBorders>
              <w:top w:val="single" w:sz="6" w:space="0" w:color="000000"/>
              <w:left w:val="single" w:sz="6" w:space="0" w:color="000000"/>
              <w:bottom w:val="single" w:sz="6" w:space="0" w:color="000000"/>
              <w:right w:val="single" w:sz="6" w:space="0" w:color="000000"/>
            </w:tcBorders>
            <w:vAlign w:val="center"/>
          </w:tcPr>
          <w:p w14:paraId="352D894B" w14:textId="77777777" w:rsidR="006E251F" w:rsidRDefault="00000000">
            <w:pPr>
              <w:widowControl w:val="0"/>
              <w:spacing w:before="0" w:after="0" w:line="276" w:lineRule="auto"/>
              <w:jc w:val="center"/>
            </w:pPr>
            <w:r>
              <w:t>Off</w:t>
            </w:r>
          </w:p>
        </w:tc>
        <w:tc>
          <w:tcPr>
            <w:tcW w:w="1501" w:type="dxa"/>
            <w:tcBorders>
              <w:top w:val="single" w:sz="6" w:space="0" w:color="000000"/>
              <w:left w:val="single" w:sz="6" w:space="0" w:color="000000"/>
              <w:bottom w:val="single" w:sz="6" w:space="0" w:color="000000"/>
              <w:right w:val="single" w:sz="6" w:space="0" w:color="000000"/>
            </w:tcBorders>
            <w:vAlign w:val="center"/>
          </w:tcPr>
          <w:p w14:paraId="2EF8DFC2" w14:textId="77777777" w:rsidR="006E251F" w:rsidRDefault="00000000">
            <w:pPr>
              <w:widowControl w:val="0"/>
              <w:spacing w:before="0" w:after="0" w:line="276" w:lineRule="auto"/>
              <w:jc w:val="center"/>
            </w:pPr>
            <w:r>
              <w:t>2</w:t>
            </w:r>
          </w:p>
        </w:tc>
      </w:tr>
      <w:tr w:rsidR="006E251F" w14:paraId="6F47FE50" w14:textId="77777777">
        <w:trPr>
          <w:trHeight w:val="450"/>
          <w:jc w:val="center"/>
        </w:trPr>
        <w:tc>
          <w:tcPr>
            <w:tcW w:w="2999" w:type="dxa"/>
            <w:tcBorders>
              <w:top w:val="single" w:sz="6" w:space="0" w:color="000000"/>
              <w:left w:val="single" w:sz="6" w:space="0" w:color="000000"/>
              <w:bottom w:val="single" w:sz="6" w:space="0" w:color="000000"/>
              <w:right w:val="single" w:sz="6" w:space="0" w:color="000000"/>
            </w:tcBorders>
            <w:vAlign w:val="center"/>
          </w:tcPr>
          <w:p w14:paraId="2F99DCCB" w14:textId="77777777" w:rsidR="006E251F" w:rsidRDefault="00000000">
            <w:pPr>
              <w:widowControl w:val="0"/>
              <w:spacing w:before="0" w:after="0" w:line="276" w:lineRule="auto"/>
              <w:jc w:val="center"/>
            </w:pPr>
            <w:r>
              <w:rPr>
                <w:b/>
              </w:rPr>
              <w:t>LeakBlock</w:t>
            </w:r>
          </w:p>
        </w:tc>
        <w:tc>
          <w:tcPr>
            <w:tcW w:w="1501" w:type="dxa"/>
            <w:tcBorders>
              <w:top w:val="single" w:sz="6" w:space="0" w:color="000000"/>
              <w:left w:val="single" w:sz="6" w:space="0" w:color="000000"/>
              <w:bottom w:val="single" w:sz="6" w:space="0" w:color="000000"/>
              <w:right w:val="single" w:sz="6" w:space="0" w:color="000000"/>
            </w:tcBorders>
            <w:vAlign w:val="center"/>
          </w:tcPr>
          <w:p w14:paraId="3CB811F7" w14:textId="77777777" w:rsidR="006E251F" w:rsidRDefault="00000000">
            <w:pPr>
              <w:widowControl w:val="0"/>
              <w:spacing w:before="0" w:after="0" w:line="276" w:lineRule="auto"/>
              <w:jc w:val="center"/>
            </w:pPr>
            <w:r>
              <w:t>On</w:t>
            </w:r>
          </w:p>
        </w:tc>
        <w:tc>
          <w:tcPr>
            <w:tcW w:w="1500" w:type="dxa"/>
            <w:tcBorders>
              <w:top w:val="single" w:sz="6" w:space="0" w:color="000000"/>
              <w:left w:val="single" w:sz="6" w:space="0" w:color="000000"/>
              <w:bottom w:val="single" w:sz="6" w:space="0" w:color="000000"/>
              <w:right w:val="single" w:sz="6" w:space="0" w:color="000000"/>
            </w:tcBorders>
            <w:vAlign w:val="center"/>
          </w:tcPr>
          <w:p w14:paraId="7C960FBC" w14:textId="77777777" w:rsidR="006E251F" w:rsidRDefault="00000000">
            <w:pPr>
              <w:widowControl w:val="0"/>
              <w:spacing w:before="0" w:after="0" w:line="276" w:lineRule="auto"/>
              <w:jc w:val="center"/>
            </w:pPr>
            <w:r>
              <w:t>On</w:t>
            </w:r>
          </w:p>
        </w:tc>
        <w:tc>
          <w:tcPr>
            <w:tcW w:w="1499" w:type="dxa"/>
            <w:tcBorders>
              <w:top w:val="single" w:sz="6" w:space="0" w:color="000000"/>
              <w:left w:val="single" w:sz="6" w:space="0" w:color="000000"/>
              <w:bottom w:val="single" w:sz="6" w:space="0" w:color="000000"/>
              <w:right w:val="single" w:sz="6" w:space="0" w:color="000000"/>
            </w:tcBorders>
            <w:vAlign w:val="center"/>
          </w:tcPr>
          <w:p w14:paraId="23E6ABCA" w14:textId="77777777" w:rsidR="006E251F" w:rsidRDefault="00000000">
            <w:pPr>
              <w:widowControl w:val="0"/>
              <w:spacing w:before="0" w:after="0" w:line="276" w:lineRule="auto"/>
              <w:jc w:val="center"/>
            </w:pPr>
            <w:r>
              <w:t>On</w:t>
            </w:r>
          </w:p>
        </w:tc>
        <w:tc>
          <w:tcPr>
            <w:tcW w:w="1501" w:type="dxa"/>
            <w:tcBorders>
              <w:top w:val="single" w:sz="6" w:space="0" w:color="000000"/>
              <w:left w:val="single" w:sz="6" w:space="0" w:color="000000"/>
              <w:bottom w:val="single" w:sz="6" w:space="0" w:color="000000"/>
              <w:right w:val="single" w:sz="6" w:space="0" w:color="000000"/>
            </w:tcBorders>
            <w:vAlign w:val="center"/>
          </w:tcPr>
          <w:p w14:paraId="63592E09" w14:textId="77777777" w:rsidR="006E251F" w:rsidRDefault="00000000">
            <w:pPr>
              <w:widowControl w:val="0"/>
              <w:spacing w:before="0" w:after="0" w:line="276" w:lineRule="auto"/>
              <w:jc w:val="center"/>
            </w:pPr>
            <w:r>
              <w:t>Off</w:t>
            </w:r>
          </w:p>
        </w:tc>
      </w:tr>
    </w:tbl>
    <w:p w14:paraId="37F4243F" w14:textId="77777777" w:rsidR="006E251F" w:rsidRDefault="00000000">
      <w:r>
        <w:t>For mapping and correction of image distortions related to magnetic field inhomogeneities, we acquired a pair of spin-echo images with anterior-posterior (AP) and posterior-anterior (PA) phase encoding polarity with matching geometry and echo-spacing to each of the functional scans. These were acquired before the functional runs.</w:t>
      </w:r>
    </w:p>
    <w:p w14:paraId="2C1F4EFE" w14:textId="77777777" w:rsidR="006E251F" w:rsidRDefault="00000000">
      <w:r>
        <w:t>The stimulus was presented on an LCD screen (70 × 39.5 cm, 1920 × 1080 pixel resolution, 60 Hz refresh rate), which the participants viewed through a mirror mounted above their eyes at an effective distance of 156 cm. Participants’ reports were recorded using a fiber-optical MR-compatible response box (Cedrus Lumina LSC-400B). To confirm whether participants maintained central fixation during the acquisition session, individually calibrated eyetracking data (sample frequency of 500 Hz) were recorded inside the scanner using Eyelink 1000 software (SR Research, Ottawa, Canada). Participants’ ocular activity revealed an average central fixation duration, within a centered circular area of 4 degrees in visual angle, of 73 ± 22 %.</w:t>
      </w:r>
    </w:p>
    <w:p w14:paraId="48263267" w14:textId="77777777" w:rsidR="006E251F" w:rsidRDefault="00000000">
      <w:pPr>
        <w:pStyle w:val="Heading2"/>
      </w:pPr>
      <w:bookmarkStart w:id="4" w:name="_et40zweizb19"/>
      <w:bookmarkEnd w:id="4"/>
      <w:r>
        <w:t>Stimuli and functional paradigms</w:t>
      </w:r>
    </w:p>
    <w:p w14:paraId="7C6861DF" w14:textId="77777777" w:rsidR="006E251F" w:rsidRDefault="00000000">
      <w:r>
        <w:t xml:space="preserve">We implemented three functional tasks – a localizer, an ambiguous task, and an unambiguous task - based on a moving plaid stimulus. The plaid is created by superimposing two moving gratings (Figure 1). This superimposition creates an intrinsically ambiguous and bistable stimulus that can be </w:t>
      </w:r>
      <w:r>
        <w:lastRenderedPageBreak/>
        <w:t xml:space="preserve">perceived as a single coherently moving surface or two incoherent surfaces (Sousa et al. 2018). The tendency/probability of perceiving coherence has been previously manipulated in several ways </w:t>
      </w:r>
      <w:r>
        <w:fldChar w:fldCharType="begin"/>
      </w:r>
      <w:r>
        <w:instrText>ADDIN ZOTERO_ITEM CSL_CITATION {"citationID":"k0CCcqCs","properties":{"formattedCitation":"(Adelson and Movshon 1982; Sayal et al. 2020; Sousa et al. 2019; Kozak and Castelo-Branco 2009; Duarte et al. 2017)","plainCitation":"(Adelson and Movshon 1982; Sayal et al. 2020; Sousa et al. 2019; Kozak and Castelo-Branco 2009; Duarte et al. 2017)","noteIndex":0},"citationItems":[{"id":1591,"uris":["http://zotero.org/users/9021334/items/I5EYQBVH"],"itemData":{"id":1591,"type":"article-journal","container-title":"Nature","DOI":"10.1038/300523a0","ISSN":"0028-0836, 1476-4687","issue":"5892","journalAbbreviation":"Nature","language":"en","license":"http://www.springer.com/tdm","page":"523-525","source":"DOI.org (Crossref)","title":"Phenomenal coherence of moving visual patterns","volume":"300","author":[{"family":"Adelson","given":"Edward H."},{"family":"Movshon","given":"J. Anthony"}],"issued":{"date-parts":[["1982",12]]},"citation-key":"adelsonPhenomenalCoherenceMoving1982"}},{"id":729,"uris":["http://zotero.org/users/9021334/items/5FD2NVLI"],"itemData":{"id":729,"type":"article-journal","abstract":"Hysteresis is a well-known phenomenon in physics that relates changes in a system with its prior history. It is also part of human visual experience (perceptual hysteresis), and two different neural mechanisms might explain it: persistence (a cause of positive hysteresis), which forces to keep a current percept for longer, and adaptation (a cause of negative hysteresis), which in turn favors the switch to a competing percept early on. In this study, we explore the neural correlates underlying these mechanisms and the hypothesis of their competitive balance, by combining behavioral assessment with fMRI. We used machine learning on the behavioral data to distinguish between positive and negative hysteresis, and discovered a neural correlate of persistence at a core region of the ventral attention network, the anterior insula. Our results add to the understanding of perceptual multistability and reveal a possible mechanistic explanation for the regulation of different forms of perceptual hysteresis.","container-title":"NeuroImage","DOI":"10.1016/j.neuroimage.2020.117153","ISSN":"10538119","journalAbbreviation":"NeuroImage","language":"en","page":"117153","source":"DOI.org (Crossref)","title":"Identification of competing neural mechanisms underlying positive and negative perceptual hysteresis in the human visual system","volume":"221","author":[{"family":"Sayal","given":"Alexandre"},{"family":"Sousa","given":"Teresa"},{"family":"Duarte","given":"João V."},{"family":"Costa","given":"Gabriel N."},{"family":"Martins","given":"Ricardo"},{"family":"Castelo-Branco","given":"Miguel"}],"issued":{"date-parts":[["2020",11]]},"citation-key":"sayalIdentificationCompetingNeural2020"}},{"id":705,"uris":["http://zotero.org/users/9021334/items/EL7I2EMZ"],"itemData":{"id":705,"type":"article-journal","abstract":"Abstract\n            The role of long-range integration mechanisms underlying visual perceptual binding and their link to interhemispheric functional connectivity, as measured by fMRI, remains elusive. Only inferences on anatomical organization from resting state data paradigms not requiring coherent binding have been achieved. Here, we used a paradigm that allowed us to study such relation between perceptual interpretation and functional connectivity under bistable interhemispheric binding vs. non-binding of visual surfaces. Binding occurs by long-range perceptual integration of motion into a single object across hemifields and non-binding reflects opponent segregation of distinct moving surfaces into each hemifield. We hypothesized that perceptual integration vs. segregation of surface motion, which is achieved in visual area hMT+, is modulated by changes in interhemispheric connectivity in this region. Using 7T fMRI, we found that perceptual long-range integration of bistable motion can be tracked by changes in interhemispheric functional connectivity between left/right hMT+. Increased connectivity was tightly related with long-range perceptual integration. Our results indicate that hMT+ interhemispheric functional connectivity reflects perceptual decision, suggesting its pivotal role on long-range disambiguation of bistable physically constant surface motion. We reveal for the first time, at the scale of fMRI, a relation between interhemispheric functional connectivity and decision based perceptual binding.","container-title":"Scientific Reports","DOI":"10.1038/s41598-018-37822-x","ISSN":"2045-2322","issue":"1","journalAbbreviation":"Sci Rep","language":"en","page":"1242","source":"DOI.org (Crossref)","title":"Tracking perceptual decision mechanisms through changes in interhemispheric functional connectivity in human visual cortex","volume":"9","author":[{"family":"Sousa","given":"Teresa"},{"family":"Duarte","given":"João V."},{"family":"Costa","given":"Gabriel N."},{"family":"Kemper","given":"Valentin G."},{"family":"Martins","given":"Ricardo"},{"family":"Goebel","given":"Rainer"},{"family":"Castelo-Branco","given":"Miguel"}],"issued":{"date-parts":[["2019",2,4]]},"citation-key":"sousaTrackingPerceptualDecision2019"}},{"id":1599,"uris":["http://zotero.org/users/9021334/items/42HKKFFP"],"itemData":{"id":1599,"type":"article-journal","abstract":"PURPOSE. To study how central visual motion integration and segmentation processes are inﬂuenced by the congruence or incongruence of peripheral contextual moving surrounds and to determine their clinical relevance.\nMETHODS. Nine subjects participated in experiments 1 and 2 (12-second blocks containing 2-second static ﬁxation and 10second surface plaid movement) and 15 in experiment 3 (72second blocks, with 12-second ﬁxation, and 60-second motion). Observers reported whether they perceived nontransparent (corresponding to visual integration of motion cues into one surface) or transparent (segmentation of two surfaces from motion cues) plaid motion within a 5° central circular region. Surround stimuli were 20° transparent or nontransparent moving plaids.\nRESULTS. Contextual effects required the presence of both local and global ambiguity. If central local motion became unambiguous, then surrounds became ineffective. Under local and global ambiguity, transparent surrounds invariably induced central congruence while also strongly suppressing incongruent percepts. Nontransparent surrounds produced similar but less consistent congruent bias, especially for longer viewing times. In the latter case, however, suppression of incongruent central interpretations became barely detectable compared to the observed signiﬁcant facilitation of congruent percepts.\nCONCLUSIONS. Local ambiguity is critical in contextual modulation, and the peripheral enhancement or suppression of central motion integration depends both on transparency bias and center-surround congruence. The importance of local ambiguity in contextual modulation is clinically relevant, because it implies that contextual effects will be stronger in disorders with impaired central vision, such as macular degeneration. Moreover, the increased efﬁcacy of global context under con-","container-title":"Investigative Opthalmology &amp; Visual Science","DOI":"10.1167/iovs.08-2094","ISSN":"1552-5783","issue":"2","journalAbbreviation":"Invest. Ophthalmol. Vis. Sci.","language":"en","page":"980","source":"DOI.org (Crossref)","title":"Peripheral Influences on Motion Integration in Foveal Vision Are Modulated by Central Local Ambiguity and Center-Surround Congruence","volume":"50","author":[{"family":"Kozak","given":"Lajos R."},{"family":"Castelo-Branco","given":"Miguel"}],"issued":{"date-parts":[["2009",2,1]]},"citation-key":"kozakPeripheralInfluencesMotion2009"}},{"id":1059,"uris":["http://zotero.org/users/9021334/items/68FK5BTS"],"itemData":{"id":1059,"type":"article-journal","abstract":"Abstract\n            \n              It remains an open question whether\n              long‐range\n              disambiguation of ambiguous surface motion can be achieved in early visual cortex or instead in higher level regions, which concerns object/surface segmentation/integration mechanisms. We used a bistable moving stimulus that can be perceived as a pattern comprehending both visual hemi‐fields moving coherently downward or as two widely segregated nonoverlapping component objects (in each visual hemi‐field) moving separately inward. This paradigm requires long‐range integration across the vertical meridian leading to interhemispheric binding. Our fMRI study (\n              n\n               = 30) revealed a close relation between activity in hMT+ and perceptual switches involving interhemispheric segregation/integration of motion signals, crucially under nonlocal conditions where components do not overlap and belong to distinct hemispheres. Higher signal changes were found in hMT+ in response to spatially segregated component (incoherent) percepts than to pattern (coherent) percepts. This did not occur in early visual cortex, unlike apparent motion, which does not entail surface segmentation. We also identified a role for top–down mechanisms in state transitions. Deconvolution analysis of switch‐related changes revealed prefrontal, insula, and cingulate areas, with the right superior parietal lobule (SPL) being particularly involved. We observed that directed influences could emerge either from left or right hMT+ during bistable motion integration/segregation. SPL also exhibited significant directed functional connectivity with hMT+, during perceptual state maintenance (Granger causality analysis). Our results suggest that long‐range interhemispheric binding of ambiguous motion representations mainly reflect bottom–up processes from hMT+ during perceptual state maintenance. In contrast, state transitions maybe influenced by high‐level regions such as the SPL.\n              Hum Brain Mapp 38:4882–4897, 2017\n              . ©\n              2017 Wiley Periodicals, Inc.","container-title":"Human Brain Mapping","DOI":"10.1002/hbm.23701","ISSN":"1065-9471, 1097-0193","issue":"10","journalAbbreviation":"Human Brain Mapping","language":"en","page":"4882-4897","source":"DOI.org (Crossref)","title":"Pivotal role of hMT+ in long‐range disambiguation of interhemispheric bistable surface motion","volume":"38","author":[{"family":"Duarte","given":"João Valente"},{"family":"Costa","given":"Gabriel Nascimento"},{"family":"Martins","given":"Ricardo"},{"family":"Castelo‐Branco","given":"Miguel"}],"issued":{"date-parts":[["2017",10]]},"citation-key":"duartePivotalRoleHMT2017"}}],"schema":"https://github.com/citation-style-language/schema/raw/master/csl-citation.json"}</w:instrText>
      </w:r>
      <w:r>
        <w:fldChar w:fldCharType="separate"/>
      </w:r>
      <w:r>
        <w:t>(Adelson and Movshon 1982; Sayal et al. 2020; Sousa et al. 2019; Kozak and Castelo-Branco 2009; Duarte et al. 2017)</w:t>
      </w:r>
      <w:r>
        <w:fldChar w:fldCharType="end"/>
      </w:r>
      <w:r>
        <w:t>. During the unambiguous runs, to force the perception of one of these equally possible motion interpretations, we added dots to the plaid, which help disambiguate motion while keeping the observer’s focus on the plaid itself. Depending on the relative percentage of dots that move vertically or horizontally, we induce a given level of coherence, and hence a perceptual interpretation to the observer. The complete description of the stimulus properties is provided in Table S1, and a short video of the moving stimulus is provided as Supplementary Material.</w:t>
      </w:r>
    </w:p>
    <w:p w14:paraId="11599E3D" w14:textId="77777777" w:rsidR="0083090B" w:rsidRDefault="00000000" w:rsidP="0083090B">
      <w:pPr>
        <w:keepNext/>
      </w:pPr>
      <w:r>
        <w:rPr>
          <w:noProof/>
        </w:rPr>
        <w:drawing>
          <wp:inline distT="0" distB="0" distL="0" distR="0" wp14:anchorId="6C9CF592" wp14:editId="5C85D86D">
            <wp:extent cx="5731510" cy="2806700"/>
            <wp:effectExtent l="0" t="0" r="0" b="0"/>
            <wp:docPr id="100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3.png"/>
                    <pic:cNvPicPr>
                      <a:picLocks noChangeAspect="1" noChangeArrowheads="1"/>
                    </pic:cNvPicPr>
                  </pic:nvPicPr>
                  <pic:blipFill>
                    <a:blip r:embed="rId12"/>
                    <a:stretch>
                      <a:fillRect/>
                    </a:stretch>
                  </pic:blipFill>
                  <pic:spPr bwMode="auto">
                    <a:xfrm>
                      <a:off x="0" y="0"/>
                      <a:ext cx="5731510" cy="2806700"/>
                    </a:xfrm>
                    <a:prstGeom prst="rect">
                      <a:avLst/>
                    </a:prstGeom>
                    <a:noFill/>
                  </pic:spPr>
                </pic:pic>
              </a:graphicData>
            </a:graphic>
          </wp:inline>
        </w:drawing>
      </w:r>
    </w:p>
    <w:p w14:paraId="4B7F9AA7" w14:textId="24B6BC11" w:rsidR="006E251F" w:rsidRDefault="00000000" w:rsidP="0083090B">
      <w:pPr>
        <w:keepNext/>
        <w:rPr>
          <w:b/>
        </w:rPr>
      </w:pPr>
      <w:r>
        <w:t xml:space="preserve">Figure 1 - Stimuli used in the experiment. Panels A, B, and C illustrate the creation of a plaid stimulus. By superimposing two gratings (A), moving orthogonally to the lines, </w:t>
      </w:r>
      <w:r>
        <w:rPr>
          <w:b/>
          <w:bCs/>
        </w:rPr>
        <w:t xml:space="preserve">an ambiguous stimulus </w:t>
      </w:r>
      <w:r>
        <w:t xml:space="preserve">is created, which can be perceived as moving coherently (B) as a single surface or incoherently (C) as two separate surfaces sliding over each other. The arrows illustrate the direction of perceived motion. D) By adding dots to the plaid stimulus, the tendency of perceiving coherency can be manipulated, as done during the unambiguous runs. Depending on the moving dots' direction, the otherwise ambiguous stimulus was readily perceived as a plaid moving coherently or incoherently. Adapted from </w:t>
      </w:r>
      <w:hyperlink>
        <w:r w:rsidR="006E251F">
          <w:t>(Sousa et al. 2018)</w:t>
        </w:r>
      </w:hyperlink>
      <w:r>
        <w:t>.</w:t>
      </w:r>
    </w:p>
    <w:p w14:paraId="795CCF0F" w14:textId="77777777" w:rsidR="006E251F" w:rsidRDefault="006E251F"/>
    <w:p w14:paraId="78805CD8" w14:textId="77777777" w:rsidR="006E251F" w:rsidRDefault="00000000">
      <w:r>
        <w:t>The first task is a localizer for the region of interest - hMT+. For this purpose, we created three conditions: i. ‘Fixation’ - a fixation cross; ii. ‘Static plaid’ - a stationary plaid; iii. ‘moving plaid’ - a moving plaid, which is inherently a bistable stimulus. The run lasted for 2.9 min and was composed of nine trials with the sequential presentation of each condition for 6 seconds. We used the sequence with TR = 1 s for this paradigm.</w:t>
      </w:r>
    </w:p>
    <w:p w14:paraId="6F76C7F9" w14:textId="77777777" w:rsidR="006E251F" w:rsidRDefault="00000000">
      <w:r>
        <w:t xml:space="preserve">We named the following two tasks as ‘ambiguous’ and ‘unambiguous’ runs. These runs are composed of trials considering three conditions: ‘static’ </w:t>
      </w:r>
      <w:r>
        <w:rPr>
          <w:b/>
          <w:bCs/>
        </w:rPr>
        <w:t>(</w:t>
      </w:r>
      <w:r>
        <w:t xml:space="preserve">30 seconds of the static plaid), ‘motion’ (ambiguous or unambiguous moving plaid for 120 seconds), and ‘MAE’ (a 15-second period showing the static plaid, during which motion aftereffect is expected). During the ambiguous runs, the ‘motion’ condition showed the participants the moving plaid without any overlaid dots. As such, </w:t>
      </w:r>
      <w:r>
        <w:lastRenderedPageBreak/>
        <w:t>the stimulus is entirely ambiguous (the percept alternates between coherent and incoherent). Here, the participants were instructed to report the perceived type of motion (coherent or incoherent) using two buttons of a response box. During the unambiguous runs, the plaid is shown with overlaid dots moving either coherently down or incoherently inwards, which disambiguates the perception of the plaid. Based on the responses given by the participant in the previous ambiguous run, we manipulated the switches between coherent and incoherent motion in the unambiguous runs to match the previous responses precisely. This matched the time of each percept across both types of runs. The participants received the same instruction - to report the perceived type of motion at all times. We ran the two tasks with each of the four MR sequences, totaling eight runs per participant.</w:t>
      </w:r>
    </w:p>
    <w:p w14:paraId="3AE27EE3" w14:textId="77777777" w:rsidR="006E251F" w:rsidRDefault="00000000">
      <w:r>
        <w:t xml:space="preserve">In this work, we considered the ambiguous and unambiguous runs together, taking into account they correspond to natural or induced perceptual switches, in line with previous work </w:t>
      </w:r>
      <w:r>
        <w:fldChar w:fldCharType="begin"/>
      </w:r>
      <w:r>
        <w:instrText>ADDIN ZOTERO_ITEM CSL_CITATION {"citationID":"WyRQIgrQ","properties":{"formattedCitation":"(Sterzer and Kleinschmidt 2007; Brouwer and Van Ee 2007)","plainCitation":"(Sterzer and Kleinschmidt 2007; Brouwer and Van Ee 2007)","noteIndex":0},"citationItems":[{"id":1601,"uris":["http://zotero.org/users/9021334/items/6GXZX7XR"],"itemData":{"id":1601,"type":"article-journal","abstract":"When looking at ambiguous visual stimuli, the observer experiences frequent spontaneous transitions between two competing percepts while physical stimulation remains unchanged. Despite recent advances in understanding the neural processes underlying such perceptual rivalry, a key question has remained unresolved: Does perceptual rivalry result merely from local bistability of neural activity patterns in sensory stimulus representations, or do higher-order areas play a causal role by shifting inference and, thus, initiating perceptual changes? We used functional MRI to measure brain activity while human observers reported successive spontaneous changes in perceived direction for an ambiguous apparent motion stimulus. In a control condition, the individual sequences of spontaneous perceptual switches during bistability were replayed by using a disambiguated version of the stimulus. Greater activations during spontaneous compared with stimulus-driven switches were observed in inferior frontal cortex bilaterally. Subsequent chronometric analyses of event-related signal time courses showed that, relative to activations in motion-sensitive extrastriate visual cortex, right inferior frontal cortex activation occurred earlier during spontaneous than during stimulus-driven perceptual changes. The temporal precedence of right inferior frontal activations suggests that this region participates in initiating spontaneous switches in perception during constant physical stimulation. Our findings can thus be seen as a signature of when and where the brain “makes up its mind” about competing perceptual interpretations of a given sensory input pattern.","container-title":"Proceedings of the National Academy of Sciences","DOI":"10.1073/pnas.0609006104","ISSN":"0027-8424, 1091-6490","issue":"1","journalAbbreviation":"Proc. Natl. Acad. Sci. U.S.A.","language":"en","page":"323-328","source":"DOI.org (Crossref)","title":"A neural basis for inference in perceptual ambiguity","volume":"104","author":[{"family":"Sterzer","given":"Philipp"},{"family":"Kleinschmidt","given":"Andreas"}],"issued":{"date-parts":[["2007",1,2]]},"citation-key":"sterzerNeuralBasisInference2007"}},{"id":1603,"uris":["http://zotero.org/users/9021334/items/KLQUFSD4"],"itemData":{"id":1603,"type":"article-journal","abstract":"We investigated the role of retinotopic visual cortex and motion-sensitive areas in representing the content of visual awareness during ambiguous structure-from-motion (SFM), using functional magnetic resonance imaging (fMRI) and multivariate statistics (support vector machines). Our results indicate that prediction of perceptual states can be very accurate for data taken from dorsal visual areas V3A, V4D, V7, and MT+ and for parietal areas responsive to SFM, but to a lesser extent for other visual areas. Generalization of prediction was possible, because prediction accuracy was significantly better than chance for both an unambiguous stimulus and a different experimental design. Detailed analysis of eye movements revealed that strategic and even encouraged beneficial eye movements were not the cause of the prediction accuracy based on cortical activation. We conclude that during perceptual rivalry, neural correlates of visual awareness can be found in retinotopic visual cortex, MT+, and parietal cortex. We argue that the organization of specific motion-sensitive neurons creates detectable biases in the preferred direction selectivity of voxels, allowing prediction of perceptual states. During perceptual rivalry, retinotopic visual cortex, in particular higher-tier dorsal areas like V3A and V7, actively represents the content the visual awareness.","container-title":"The Journal of Neuroscience","DOI":"10.1523/JNEUROSCI.4593-06.2007","ISSN":"0270-6474, 1529-2401","issue":"5","journalAbbreviation":"J. Neurosci.","language":"en","license":"https://creativecommons.org/licenses/by-nc-sa/4.0/","page":"1015-1023","source":"DOI.org (Crossref)","title":"Visual Cortex Allows Prediction of Perceptual States during Ambiguous Structure-From-Motion","volume":"27","author":[{"family":"Brouwer","given":"Gijs Joost"},{"family":"Van Ee","given":"Raymond"}],"issued":{"date-parts":[["2007",1,31]]},"citation-key":"brouwerVisualCortexAllows2007"}}],"schema":"https://github.com/citation-style-language/schema/raw/master/csl-citation.json"}</w:instrText>
      </w:r>
      <w:r>
        <w:fldChar w:fldCharType="separate"/>
      </w:r>
      <w:r>
        <w:t>(Sterzer and Kleinschmidt 2007; Brouwer and Van Ee 2007)</w:t>
      </w:r>
      <w:r>
        <w:fldChar w:fldCharType="end"/>
      </w:r>
      <w:r>
        <w:t>. The results for each of these run types are provided separately in Supplementary Materials and are accordingly very similar.</w:t>
      </w:r>
    </w:p>
    <w:p w14:paraId="1E2AA5CE" w14:textId="77777777" w:rsidR="006E251F" w:rsidRDefault="00000000">
      <w:pPr>
        <w:pStyle w:val="Heading2"/>
      </w:pPr>
      <w:bookmarkStart w:id="5" w:name="_rkdef8hcd02b"/>
      <w:bookmarkEnd w:id="5"/>
      <w:r>
        <w:t>fMRI data preprocessing</w:t>
      </w:r>
    </w:p>
    <w:p w14:paraId="6527936B" w14:textId="77777777" w:rsidR="006E251F" w:rsidRDefault="00000000">
      <w:r>
        <w:t xml:space="preserve">The data were organized according to the Brain Imaging Data Structure (BIDS) </w:t>
      </w:r>
      <w:r>
        <w:fldChar w:fldCharType="begin"/>
      </w:r>
      <w:r>
        <w:instrText>ADDIN ZOTERO_ITEM CSL_CITATION {"citationID":"mFpfkmXD","properties":{"formattedCitation":"(K. J. Gorgolewski et al. 2016)","plainCitation":"(K. J. Gorgolewski et al. 2016)","noteIndex":0},"citationItems":[{"id":685,"uris":["http://zotero.org/users/9021334/items/J2PI3JXK"],"itemData":{"id":685,"type":"article-journal","abstract":"Abstract\n            The development of magnetic resonance imaging (MRI) techniques has defined modern neuroimaging. Since its inception, tens of thousands of studies using techniques such as functional MRI and diffusion weighted imaging have allowed for the non-invasive study of the brain. Despite the fact that MRI is routinely used to obtain data for neuroscience research, there has been no widely adopted standard for organizing and describing the data collected in an imaging experiment. This renders sharing and reusing data (within or between labs) difficult if not impossible and unnecessarily complicates the application of automatic pipelines and quality assurance protocols. To solve this problem, we have developed the Brain Imaging Data Structure (BIDS), a standard for organizing and describing MRI datasets. The BIDS standard uses file formats compatible with existing software, unifies the majority of practices already common in the field, and captures the metadata necessary for most common data processing operations.","container-title":"Scientific Data","DOI":"10.1038/sdata.2016.44","ISSN":"2052-4463","issue":"1","journalAbbreviation":"Sci Data","language":"en","page":"160044","source":"DOI.org (Crossref)","title":"The brain imaging data structure, a format for organizing and describing outputs of neuroimaging experiments","volume":"3","author":[{"family":"Gorgolewski","given":"Krzysztof J."},{"family":"Auer","given":"Tibor"},{"family":"Calhoun","given":"Vince D."},{"family":"Craddock","given":"R. Cameron"},{"family":"Das","given":"Samir"},{"family":"Duff","given":"Eugene P."},{"family":"Flandin","given":"Guillaume"},{"family":"Ghosh","given":"Satrajit S."},{"family":"Glatard","given":"Tristan"},{"family":"Halchenko","given":"Yaroslav O."},{"family":"Handwerker","given":"Daniel A."},{"family":"Hanke","given":"Michael"},{"family":"Keator","given":"David"},{"family":"Li","given":"Xiangrui"},{"family":"Michael","given":"Zachary"},{"family":"Maumet","given":"Camille"},{"family":"Nichols","given":"B. Nolan"},{"family":"Nichols","given":"Thomas E."},{"family":"Pellman","given":"John"},{"family":"Poline","given":"Jean-Baptiste"},{"family":"Rokem","given":"Ariel"},{"family":"Schaefer","given":"Gunnar"},{"family":"Sochat","given":"Vanessa"},{"family":"Triplett","given":"William"},{"family":"Turner","given":"Jessica A."},{"family":"Varoquaux","given":"Gaël"},{"family":"Poldrack","given":"Russell A."}],"issued":{"date-parts":[["2016",6,21]]},"citation-key":"gorgolewskiBrainImagingData2016"}}],"schema":"https://github.com/citation-style-language/schema/raw/master/csl-citation.json"}</w:instrText>
      </w:r>
      <w:r>
        <w:fldChar w:fldCharType="separate"/>
      </w:r>
      <w:r>
        <w:t>(K. J. Gorgolewski et al. 2016)</w:t>
      </w:r>
      <w:r>
        <w:fldChar w:fldCharType="end"/>
      </w:r>
      <w:r>
        <w:t xml:space="preserve">, using </w:t>
      </w:r>
      <w:r>
        <w:rPr>
          <w:i/>
        </w:rPr>
        <w:t>BIDSkit</w:t>
      </w:r>
      <w:r>
        <w:t xml:space="preserve"> </w:t>
      </w:r>
      <w:r>
        <w:fldChar w:fldCharType="begin"/>
      </w:r>
      <w:r>
        <w:instrText>ADDIN ZOTERO_ITEM CSL_CITATION {"citationID":"YE1Q3JFD","properties":{"formattedCitation":"(Tyszka 2023)","plainCitation":"(Tyszka 2023)","noteIndex":0},"citationItems":[{"id":682,"uris":["http://zotero.org/users/9021334/items/6IIJ9EC6"],"itemData":{"id":682,"type":"software","title":"bidskit: Utility functions for working with DICOM and BIDS neuroimaging data","URL":"https://github.com/jmtyszka/bidskit","version":"2023.2.16","author":[{"family":"Tyszka","given":"Mike"}],"issued":{"date-parts":[["2023"]]},"citation-key":"tyszkaBidskitUtilityFunctions2023"}}],"schema":"https://github.com/citation-style-language/schema/raw/master/csl-citation.json"}</w:instrText>
      </w:r>
      <w:r>
        <w:fldChar w:fldCharType="separate"/>
      </w:r>
      <w:r>
        <w:t>(Tyszka 2023)</w:t>
      </w:r>
      <w:r>
        <w:fldChar w:fldCharType="end"/>
      </w:r>
      <w:r>
        <w:t xml:space="preserve"> and </w:t>
      </w:r>
      <w:r>
        <w:rPr>
          <w:i/>
        </w:rPr>
        <w:t xml:space="preserve">dcm2niix </w:t>
      </w:r>
      <w:r>
        <w:fldChar w:fldCharType="begin"/>
      </w:r>
      <w:r>
        <w:rPr>
          <w:i/>
        </w:rPr>
        <w:instrText>ADDIN ZOTERO_ITEM CSL_CITATION {"citationID":"Z2LaIXol","properties":{"formattedCitation":"(Li et al. 2016)","plainCitation":"(Li et al. 2016)","noteIndex":0},"citationItems":[{"id":687,"uris":["http://zotero.org/users/9021334/items/XZJDCANP"],"itemData":{"id":687,"type":"article-journal","container-title":"Journal of Neuroscience Methods","DOI":"10.1016/j.jneumeth.2016.03.001","ISSN":"01650270","journalAbbreviation":"Journal of Neuroscience Methods","language":"en","page":"47-56","source":"DOI.org (Crossref)","title":"The first step for neuroimaging data analysis: DICOM to NIfTI conversion","title-short":"The first step for neuroimaging data analysis","volume":"264","author":[{"family":"Li","given":"Xiangrui"},{"family":"Morgan","given":"Paul S."},{"family":"Ashburner","given":"John"},{"family":"Smith","given":"Jolinda"},{"family":"Rorden","given":"Christopher"}],"issued":{"date-parts":[["2016",5]]},"citation-key":"liFirstStepNeuroimaging2016"}}],"schema":"https://github.com/citation-style-language/schema/raw/master/csl-citation.json"}</w:instrText>
      </w:r>
      <w:r>
        <w:rPr>
          <w:i/>
        </w:rPr>
        <w:fldChar w:fldCharType="separate"/>
      </w:r>
      <w:r>
        <w:rPr>
          <w:i/>
        </w:rPr>
        <w:t>(Li et al. 2016)</w:t>
      </w:r>
      <w:r>
        <w:rPr>
          <w:i/>
        </w:rPr>
        <w:fldChar w:fldCharType="end"/>
      </w:r>
      <w:r>
        <w:t xml:space="preserve">. Results included in this manuscript were obtained after data preprocessing performed using </w:t>
      </w:r>
      <w:r>
        <w:rPr>
          <w:i/>
        </w:rPr>
        <w:t>fMRIPrep</w:t>
      </w:r>
      <w:r>
        <w:t xml:space="preserve"> 23.0.2 </w:t>
      </w:r>
      <w:r>
        <w:fldChar w:fldCharType="begin"/>
      </w:r>
      <w:r>
        <w:instrText>ADDIN ZOTERO_ITEM CSL_CITATION {"citationID":"cRBS0NWR","properties":{"formattedCitation":"(Esteban et al. 2023, 23)","plainCitation":"(Esteban et al. 2023, 23)","noteIndex":0},"citationItems":[{"id":681,"uris":["http://zotero.org/users/9021334/items/VM7UMIVS"],"itemData":{"id":681,"type":"software","abstract":"fMRIPrep is a robust and easy-to-use pipeline for preprocessing of diverse fMRI data. The transparent workflow dispenses of manual intervention, thereby ensuring the reproducibility of the results.","license":"Apache License 2.0, Open Access","note":"DOI: 10.5281/ZENODO.852659","publisher":"Zenodo","source":"DOI.org (Datacite)","title":"fMRIPrep: a robust preprocessing pipeline for functional MRI","title-short":"fMRIPrep","URL":"https://zenodo.org/record/852659","version":"23.1.4","author":[{"family":"Esteban","given":"Oscar"},{"family":"Markiewicz","given":"Christopher J."},{"family":"Goncalves","given":"Mathias"},{"family":"Provins","given":"Céline"},{"family":"Kent","given":"James D."},{"family":"DuPre","given":"Elizabeth"},{"family":"Salo","given":"Taylor"},{"family":"Ciric","given":"Rastko"},{"family":"Pinsard","given":"Basile"},{"family":"Blair","given":"Ross W."},{"family":"Poldrack","given":"Russell A."},{"family":"Gorgolewski","given":"Krzysztof J."}],"contributor":[{"family":"Provins","given":"Céline"},{"family":"Finc","given":"Karolina"},{"family":"Feingold","given":"Franklin"},{"family":"Tooley","given":"Ursula A."},{"family":"Benson","given":"Noah C."},{"family":"Vega","given":"Alejandro","non-dropping-particle":"de la"},{"family":"Schaefer","given":"Theo A.J."},{"family":"Urchs","given":"Sebastian"},{"family":"Waller","given":"Lea"},{"family":"Lurie","given":"Daniel J."},{"family":"Heinsfeld","given":"Anibal S."},{"family":"Mentch","given":"Jeff"},{"family":"Jacoby","given":"Nir"},{"family":"Frederick","given":"Blaise B."},{"family":"Erramuzpe","given":"Asier"},{"family":"Jamison","given":"Keith W."},{"family":"Wexler","given":"Joseph B."},{"family":"Plunkett","given":"Dillon"},{"family":"Nitsch","given":"Alexander"},{"family":"Sneve","given":"Markus H."},{"family":"Ma","given":"Feilong"},{"family":"Adebimpe","given":"Azeez"},{"family":"Amlien","given":"Inge K."},{"family":"Bellec","given":"Pierre"},{"family":"Bhagwat","given":"Nikhil"},{"family":"Cieslak","given":"Matthew"},{"family":"Devenyi","given":"Grabriel A."},{"family":"Gomez","given":"Daniel E. P."},{"family":"Groen","given":"Iris I. A."},{"family":"Halchenko","given":"Yaroslav O."},{"family":"Isik","given":"Ayse Ilkay"},{"family":"Liem","given":"Franz"},{"family":"Moodie","given":"Craig A."},{"family":"Naveau","given":"Mikaël"},{"family":"Rivera-Dompenciel","given":"Adriana"},{"family":"Satterthwaite","given":"Theodore D."},{"family":"Sitek","given":"Kevin R."},{"family":"Stojić","given":"Hrvoje"},{"family":"Thompson","given":"William H."},{"family":"Valabregue","given":"Romain"},{"family":"Velasco","given":"Pablo"},{"family":"Wright","given":"Jessey"},{"family":"Ye","given":"Zhifang"},{"family":"Ghosh","given":"Satrajit S."}],"accessed":{"date-parts":[["2023",8,3]]},"issued":{"date-parts":[["2023",8,1]]},"citation-key":"estebanFMRIPrepRobustPreprocessing2023"},"locator":"23"}],"schema":"https://github.com/citation-style-language/schema/raw/master/csl-citation.json"}</w:instrText>
      </w:r>
      <w:r>
        <w:fldChar w:fldCharType="separate"/>
      </w:r>
      <w:r>
        <w:t>(Esteban et al. 2023, 23)</w:t>
      </w:r>
      <w:r>
        <w:fldChar w:fldCharType="end"/>
      </w:r>
      <w:r>
        <w:t xml:space="preserve">, which is based on </w:t>
      </w:r>
      <w:r>
        <w:rPr>
          <w:i/>
        </w:rPr>
        <w:t>Nipype</w:t>
      </w:r>
      <w:r>
        <w:t xml:space="preserve"> 1.8.6 </w:t>
      </w:r>
      <w:r>
        <w:fldChar w:fldCharType="begin"/>
      </w:r>
      <w:r>
        <w:instrText>ADDIN ZOTERO_ITEM CSL_CITATION {"citationID":"Gn1eeXkQ","properties":{"formattedCitation":"(K. Gorgolewski et al. 2011; Esteban et al. 2022)","plainCitation":"(K. Gorgolewski et al. 2011; Esteban et al. 2022)","noteIndex":0},"citationItems":[{"id":683,"uris":["http://zotero.org/users/9021334/items/HC5Q9YB8"],"itemData":{"id":683,"type":"article-journal","container-title":"Frontiers in Neuroinformatics","DOI":"10.3389/fninf.2011.00013","ISSN":"1662-5196","journalAbbreviation":"Front. Neuroinform.","source":"DOI.org (Crossref)","title":"Nipype: A Flexible, Lightweight and Extensible Neuroimaging Data Processing Framework in Python","title-short":"Nipype","URL":"http://journal.frontiersin.org/article/10.3389/fninf.2011.00013/abstract","volume":"5","author":[{"family":"Gorgolewski","given":"Krzysztof"},{"family":"Burns","given":"Christopher D."},{"family":"Madison","given":"Cindee"},{"family":"Clark","given":"Dav"},{"family":"Halchenko","given":"Yaroslav O."},{"family":"Waskom","given":"Michael L."},{"family":"Ghosh","given":"Satrajit S."}],"accessed":{"date-parts":[["2023",8,3]]},"issued":{"date-parts":[["2011"]]},"citation-key":"gorgolewskiNipypeFlexibleLightweight2011"}},{"id":680,"uris":["http://zotero.org/users/9021334/items/EWA7AWAD"],"itemData":{"id":680,"type":"software","abstract":"Release Notes Bug-fix release in the 1.8.x series. This release includes compatibility fixes for nibabel 4.x and resolves a denial-of-service bug when the etelemetry server is down that resulted in excessive (blocking) network hits that would cause any tools using nipype interfaces to take a very long time. What's Changed FIX: Argument order to &lt;code&gt;numpy.save()&lt;/code&gt; (https://github.com/nipy/nipype/pull/3485) FIX: Add tolerance parameter to ComputeDVARS (https://github.com/nipy/nipype/pull/3489) FIX: Delay access of nibabel.trackvis until actually needed (https://github.com/nipy/nipype/pull/3488) FIX: Avoid excessive etelemetry pings (https://github.com/nipy/nipype/pull/3484) ENH: Added outputs' generation to DWIBiascorrect interface (https://github.com/nipy/nipype/pull/3476) New Contributors @LostBenjamin made their first contribution in https://github.com/nipy/nipype/pull/3485 &lt;strong&gt;Full Changelog&lt;/strong&gt;: https://github.com/nipy/nipype/compare/1.8.2...1.8.3","license":"Apache License 2.0, Open Access","note":"DOI: 10.5281/ZENODO.596855","publisher":"Zenodo","source":"DOI.org (Datacite)","title":"nipy/nipype: 1.8.3","title-short":"nipy/nipype","URL":"https://zenodo.org/record/596855","version":"1.8.3","author":[{"family":"Esteban","given":"Oscar"},{"family":"Markiewicz","given":"Christopher J."},{"family":"Burns","given":"Christopher"},{"family":"Goncalves","given":"Mathias"},{"family":"Jarecka","given":"Dorota"},{"family":"Ziegler","given":"Erik"},{"family":"Berleant","given":"Shoshana"},{"family":"Ellis","given":"David Gage"},{"family":"Pinsard","given":"Basile"},{"family":"Madison","given":"Cindee"},{"family":"Waskom","given":"Michael"},{"family":"Notter","given":"Michael Philipp"},{"family":"Clark","given":"Daniel"},{"family":"Manhães-Savio","given":"Alexandre"},{"family":"Clark","given":"Dav"},{"family":"Jordan","given":"Kesshi"},{"family":"Dayan","given":"Michael"},{"family":"Halchenko","given":"Yaroslav O."},{"family":"Loney","given":"Fred"},{"family":"Norgaard","given":"Martin"},{"family":"Salo","given":"Taylor"},{"family":"Dewey","given":"Blake E"},{"family":"Johnson","given":"Hans"},{"family":"Bougacha","given":"Salma"},{"family":"Keshavan","given":"Anisha"},{"family":"Yvernault","given":"Benjamin"},{"family":"Hamalainen","given":"Carlo"},{"family":"Christian","given":"Horea"},{"family":"Ćirić","given":"Rastko"},{"family":"Dubois","given":"Mathieu"},{"family":"Joseph","given":"Michael"},{"family":"Cipollini","given":"Ben"},{"family":"Tilley II","given":"Steven"},{"family":"Visconti di Oleggio Castello","given":"Matteo"},{"family":"De La Vega","given":"Alejandro"},{"family":"Wong","given":"Jason"},{"family":"Kaczmarzyk","given":"Jakub"},{"family":"Huntenburg","given":"Julia M."},{"family":"Clark","given":"Michael G."},{"family":"Kent","given":"James D."},{"family":"Benderoff","given":"Erin"},{"family":"Erickson","given":"Drew"},{"family":"Dias","given":"Maria de Fatima"},{"family":"Hanke","given":"Michael"},{"family":"Giavasis","given":"Steven"},{"family":"Moloney","given":"Brendan"},{"family":"Nichols","given":"B. Nolan"},{"family":"Tungaraza","given":"Rosalia"},{"family":"Dell'Orco","given":"Andrea"},{"family":"Frohlich","given":"Caroline"},{"family":"Wassermann","given":"Demian"},{"family":"Hollander","given":"Gilles","non-dropping-particle":"de"},{"family":"Koudoro","given":"Serge"},{"family":"Eshaghi","given":"Arman"},{"family":"Millman","given":"Jarrod"},{"family":"Mancini","given":"Matteo"},{"family":"Close","given":"Thomas"},{"family":"Nielson","given":"Dylan M."},{"family":"Varoquaux","given":"Gael"},{"family":"Waller","given":"Lea"},{"family":"Watanabe","given":"Aimi"},{"family":"Mordom","given":"David"},{"family":"Guillon","given":"Jérémy"},{"family":"Robert-Fitzgerald","given":"Timothy"},{"family":"Chetverikov","given":"Andrey"},{"family":"Rokem","given":"Ariel"},{"family":"Acland","given":"Benjamin"},{"family":"Forbes","given":"Jessica"},{"family":"Markello","given":"Ross"},{"family":"Gillman","given":"Ashley"},{"family":"Bernardoni","given":"Fabio"},{"family":"Kong","given":"Xiang-Zhen"},{"family":"Geisler","given":"Daniel"},{"family":"Salvatore","given":"John"},{"family":"Gramfort","given":"Alexandre"},{"family":"Doll","given":"Anna"},{"family":"Buchanan","given":"Colin"},{"family":"DuPre","given":"Elizabeth"},{"family":"Liu","given":"Siqi"},{"family":"Schaefer","given":"Alexander"},{"family":"Kleesiek","given":"Jens"},{"family":"Sikka","given":"Sharad"},{"family":"Schwartz","given":"Yannick"},{"family":"Ghayoor","given":"Ali"},{"family":"Lee","given":"John A."},{"family":"Mattfeld","given":"Aaron"},{"family":"Richie-Halford","given":"Adam"},{"family":"Liem","given":"Franz"},{"family":"Vaillant","given":"Ghislain"},{"family":"Perez-Guevara","given":"Martin Felipe"},{"family":"Heinsfeld","given":"Anibal Sólon"},{"family":"Haselgrove","given":"Christian"},{"family":"Durnez","given":"Joke"},{"family":"Lampe","given":"Leonie"},{"family":"Poldrack","given":"Russell"},{"family":"Glatard","given":"Tristan"},{"family":"Baratz","given":"Zvi"},{"family":"Tabas","given":"Alejandro"},{"family":"Cumba","given":"Chad"},{"family":"Pérez-García","given":"Fernando"},{"family":"Blair","given":"Ross"},{"family":"Iqbal","given":"Shariq"},{"family":"Welch","given":"David"},{"family":"Ben-Zvi","given":"Gal"},{"family":"Contier","given":"Oliver"},{"family":"Triplett","given":"William"},{"family":"Craddock","given":"R. Cameron"},{"family":"Correa","given":"Carlos"},{"family":"Papadopoulos Orfanos","given":"Dimitri"},{"family":"Stadler","given":"Jörg"},{"family":"Warner","given":"Joshua"},{"family":"Sisk","given":"Lucinda M."},{"family":"Falkiewicz","given":"Marcel"},{"family":"Sharp","given":"Paul"},{"family":"Rothmei","given":"Simon"},{"family":"Kim","given":"Sin"},{"family":"Weinstein","given":"Alejandro"},{"family":"Kahn","given":"Ari E."},{"family":"Kastman","given":"Erik"},{"family":"Bottenhorn","given":"Katherine"},{"family":"Grignard","given":"Martin"},{"family":"Perkins","given":"L. Nathan"},{"family":"Zhou","given":"Dale"},{"family":"Bielievtsov","given":"Dmytro"},{"family":"Cooper","given":"Gavin"},{"family":"Stojic","given":"Hrvoje"},{"family":"Hui Qian","given":"Tan"},{"family":"Linkersdörfer","given":"Janosch"},{"family":"Renfro","given":"Mandy"},{"family":"Hinds","given":"Oliver"},{"family":"Stanley","given":"Olivia"},{"family":"Küttner","given":"René"},{"family":"Pauli","given":"Wolfgang M."},{"family":"Xie","given":"Xihe"},{"family":"Glen","given":"Daniel"},{"family":"Kimbler","given":"Adam"},{"family":"Meyers","given":"Benjamin"},{"family":"Tarbert","given":"Claire"},{"family":"Ginsburg","given":"Daniel"},{"family":"Haehn","given":"Daniel"},{"family":"Margulies","given":"Daniel S."},{"family":"Condamine","given":"Eric"},{"family":"Ma","given":"Feilong"},{"family":"Malone","given":"Ian B."},{"family":"Snoek","given":"Lukas"},{"family":"Brett","given":"Matthew"},{"family":"Cieslak","given":"Matthew"},{"family":"Hallquist","given":"Michael"},{"family":"Molina-Romero","given":"Miguel"},{"family":"Bilgel","given":"Murat"},{"family":"Lee","given":"Nat"},{"family":"Kuntke","given":"Paul"},{"family":"Jalan","given":"Raunak"},{"family":"Inati","given":"Souheil"},{"family":"Gerhard","given":"Stephan"},{"family":"Mathotaarachchi","given":"Sulantha"},{"family":"Saase","given":"Victor"},{"family":"Van","given":"Andrew"},{"family":"Steele","given":"Christopher John"},{"family":"Ort","given":"Eduard"},{"family":"Lerma-Usabiaga","given":"Garikoitz"},{"family":"Schwabacher","given":"Isaac"},{"family":"Arias","given":"Jaime"},{"family":"Lai","given":"Jeff"},{"family":"Pellman","given":"John"},{"family":"Huguet","given":"Jordi"},{"family":"WEN","given":"Junhao"},{"family":"Leinweber","given":"Katrin"},{"family":"Chawla","given":"Kshitij"},{"family":"Weninger","given":"Leon"},{"family":"Modat","given":"Marc"},{"family":"Mukhometzianov","given":"Rinat"},{"family":"Harms","given":"Robbert"},{"family":"Andberg","given":"Sami Kristian"},{"family":"Matsubara","given":"K"},{"family":"González Orozco","given":"Abel A."},{"family":"Routier","given":"Alexandre"},{"family":"Marina","given":"Ana"},{"family":"Davison","given":"Andrew"},{"family":"Floren","given":"Andrew"},{"family":"Park","given":"Anne"},{"family":"Frederick","given":"Blaise"},{"family":"Cheung","given":"Brian"},{"family":"McDermottroe","given":"Conor"},{"family":"McNamee","given":"Daniel"},{"family":"Shachnev","given":"Dmitry"},{"family":"Vogel","given":"Dorian"},{"family":"Flandin","given":"Guillaume"},{"family":"Jones","given":"Henry"},{"family":"Gonzalez","given":"Ivan"},{"family":"Varada","given":"Jan"},{"family":"Schlamp","given":"Kai"},{"family":"Podranski","given":"Kornelius"},{"family":"Huang","given":"Lijie"},{"family":"Noel","given":"Maxime"},{"family":"Pannetier","given":"Nicolas"},{"family":"Numssen","given":"Ole"},{"family":"Khanuja","given":"Ranjeet"},{"family":"Urchs","given":"Sebastian"},{"family":"Shim","given":"Sunjae"},{"family":"Nickson","given":"Thomas"},{"family":"Huang","given":"Lijie"},{"family":"Broderick","given":"William"},{"family":"Tambini","given":"Arielle"},{"family":"Mihai","given":"Paul Glad"},{"family":"Gorgolewski","given":"Krzysztof J."},{"family":"Ghosh","given":"Satrajit"}],"accessed":{"date-parts":[["2023",8,3]]},"issued":{"date-parts":[["2022",7,14]]},"citation-key":"estebanNipyNipype1832022"}}],"schema":"https://github.com/citation-style-language/schema/raw/master/csl-citation.json"}</w:instrText>
      </w:r>
      <w:r>
        <w:fldChar w:fldCharType="separate"/>
      </w:r>
      <w:r>
        <w:t>(K. Gorgolewski et al. 2011; Esteban et al. 2022)</w:t>
      </w:r>
      <w:r>
        <w:fldChar w:fldCharType="end"/>
      </w:r>
      <w:r>
        <w:t xml:space="preserve">. For a detailed description of the fMRIPrep pipeline, please see the supplementary materials. To perform quality checks on the anatomical and functional images and extract metrics for further analysis and sequence comparison, we ran </w:t>
      </w:r>
      <w:r>
        <w:rPr>
          <w:i/>
        </w:rPr>
        <w:t>mriqc</w:t>
      </w:r>
      <w:r>
        <w:t xml:space="preserve"> 23.0.1 </w:t>
      </w:r>
      <w:r>
        <w:fldChar w:fldCharType="begin"/>
      </w:r>
      <w:r>
        <w:instrText>ADDIN ZOTERO_ITEM CSL_CITATION {"citationID":"mL3EAEbP","properties":{"formattedCitation":"(Esteban et al. 2017)","plainCitation":"(Esteban et al. 2017)","noteIndex":0},"citationItems":[{"id":678,"uris":["http://zotero.org/users/9021334/items/4Z2A9XEY"],"itemData":{"id":678,"type":"article-journal","container-title":"PLOS ONE","DOI":"10.1371/journal.pone.0184661","ISSN":"1932-6203","issue":"9","journalAbbreviation":"PLoS ONE","language":"en","page":"e0184661","source":"DOI.org (Crossref)","title":"MRIQC: Advancing the automatic prediction of image quality in MRI from unseen sites","title-short":"MRIQC","volume":"12","author":[{"family":"Esteban","given":"Oscar"},{"family":"Birman","given":"Daniel"},{"family":"Schaer","given":"Marie"},{"family":"Koyejo","given":"Oluwasanmi O."},{"family":"Poldrack","given":"Russell A."},{"family":"Gorgolewski","given":"Krzysztof J."}],"editor":[{"family":"Bernhardt","given":"Boris C"}],"issued":{"date-parts":[["2017",9,25]]},"citation-key":"estebanMRIQCAdvancingAutomatic2017"}}],"schema":"https://github.com/citation-style-language/schema/raw/master/csl-citation.json"}</w:instrText>
      </w:r>
      <w:r>
        <w:fldChar w:fldCharType="separate"/>
      </w:r>
      <w:r>
        <w:t>(Esteban et al. 2017)</w:t>
      </w:r>
      <w:r>
        <w:fldChar w:fldCharType="end"/>
      </w:r>
      <w:r>
        <w:t xml:space="preserve">. All subsequent analyses were performed in Python using Nilearn </w:t>
      </w:r>
      <w:r>
        <w:fldChar w:fldCharType="begin"/>
      </w:r>
      <w:r>
        <w:instrText>ADDIN ZOTERO_ITEM CSL_CITATION {"citationID":"ylw3uKlH","properties":{"formattedCitation":"(Abraham et al. 2014)","plainCitation":"(Abraham et al. 2014)","noteIndex":0},"citationItems":[{"id":675,"uris":["http://zotero.org/users/9021334/items/RKQY4IVT"],"itemData":{"id":675,"type":"article-journal","container-title":"Frontiers in Neuroinformatics","DOI":"10.3389/fninf.2014.00014","ISSN":"1662-5196","journalAbbreviation":"Front. Neuroinform.","source":"DOI.org (Crossref)","title":"Machine learning for neuroimaging with scikit-learn","URL":"http://journal.frontiersin.org/article/10.3389/fninf.2014.00014/abstract","volume":"8","author":[{"family":"Abraham","given":"Alexandre"},{"family":"Pedregosa","given":"Fabian"},{"family":"Eickenberg","given":"Michael"},{"family":"Gervais","given":"Philippe"},{"family":"Mueller","given":"Andreas"},{"family":"Kossaifi","given":"Jean"},{"family":"Gramfort","given":"Alexandre"},{"family":"Thirion","given":"Bertrand"},{"family":"Varoquaux","given":"Gaël"}],"accessed":{"date-parts":[["2023",8,3]]},"issued":{"date-parts":[["2014"]]},"citation-key":"abrahamMachineLearningNeuroimaging2014"}}],"schema":"https://github.com/citation-style-language/schema/raw/master/csl-citation.json"}</w:instrText>
      </w:r>
      <w:r>
        <w:fldChar w:fldCharType="separate"/>
      </w:r>
      <w:r>
        <w:t>(Abraham et al. 2014)</w:t>
      </w:r>
      <w:r>
        <w:fldChar w:fldCharType="end"/>
      </w:r>
      <w:r>
        <w:t>.</w:t>
      </w:r>
    </w:p>
    <w:p w14:paraId="3A4F69EE" w14:textId="77777777" w:rsidR="006E251F" w:rsidRDefault="00000000">
      <w:pPr>
        <w:pStyle w:val="Heading2"/>
      </w:pPr>
      <w:bookmarkStart w:id="6" w:name="_px2grgpbyfln"/>
      <w:bookmarkEnd w:id="6"/>
      <w:r>
        <w:t>fMRI data analysis</w:t>
      </w:r>
    </w:p>
    <w:p w14:paraId="139FA52F" w14:textId="77777777" w:rsidR="006E251F" w:rsidRDefault="00000000">
      <w:r>
        <w:t xml:space="preserve">Regarding the localizer data, hMT+ was functionally localized for each subject using a standard GLM analysis. The design matrix included predictors for all experimental conditions (‘fixation’, ‘static plaid', ‘moving plaid’) and confound regressors based on the mean and first derivative of the voxels in the CSF and the six head motion parameters and their derivatives. Temporal high-pass filtering (cut-off = 0.03 Hz) and spatial smoothing (FWHM = 6 mm) were applied. hMT+ was manually selected on both hemispheres based on the activation map for the contrast ‘moving plaid &gt; static plaid’ corrected with Bonferroni p=0.05, cluster threshold k=50, and confirmed using the hMT+ mask of Neurosynth </w:t>
      </w:r>
      <w:r>
        <w:fldChar w:fldCharType="begin"/>
      </w:r>
      <w:r>
        <w:instrText>ADDIN ZOTERO_ITEM CSL_CITATION {"citationID":"h1nCqc8T","properties":{"formattedCitation":"(Yarkoni et al. 2011)","plainCitation":"(Yarkoni et al. 2011)","noteIndex":0},"citationItems":[{"id":725,"uris":["http://zotero.org/users/9021334/items/9VEMUFIA"],"itemData":{"id":725,"type":"article-journal","abstract":"The explosive growth of the human neuroimaging literature has led to major advances in understanding of human brain function, but has also made aggregation and synthesis of neuroimaging findings increasingly difficult. Here we describe and validate an automated brain mapping framework that uses text mining, meta-analysis and machine learning techniques to generate a large database of mappings between neural and cognitive states. We demonstrate the capacity of our approach to automatically conduct large-scale, high-quality neuroimaging metaanalyses, address long-standing inferential problems in the neuroimaging literature, and support accurate ‘decoding’ of broad cognitive states from brain activity in both entire studies and individual human subjects. Collectively, our results validate a powerful and generative framework for synthesizing human neuroimaging data on an unprecedented scale.","container-title":"Nature Methods","DOI":"10.1038/nmeth.1635","ISSN":"1548-7091, 1548-7105","issue":"8","journalAbbreviation":"Nat Methods","language":"en","page":"665-670","source":"DOI.org (Crossref)","title":"Large-scale automated synthesis of human functional neuroimaging data","volume":"8","author":[{"family":"Yarkoni","given":"Tal"},{"family":"Poldrack","given":"Russell A"},{"family":"Nichols","given":"Thomas E"},{"family":"Van Essen","given":"David C"},{"family":"Wager","given":"Tor D"}],"issued":{"date-parts":[["2011",8]]},"citation-key":"yarkoniLargescaleAutomatedSynthesis2011"}}],"schema":"https://github.com/citation-style-language/schema/raw/master/csl-citation.json"}</w:instrText>
      </w:r>
      <w:r>
        <w:fldChar w:fldCharType="separate"/>
      </w:r>
      <w:r>
        <w:t>(Yarkoni et al. 2011)</w:t>
      </w:r>
      <w:r>
        <w:fldChar w:fldCharType="end"/>
      </w:r>
      <w:r>
        <w:t>. Then, a spherical mask was designed around the center coordinates of each defined ROI (radius = 6 mm).</w:t>
      </w:r>
    </w:p>
    <w:p w14:paraId="6E90A7C1" w14:textId="77777777" w:rsidR="006E251F" w:rsidRDefault="00000000">
      <w:r>
        <w:t xml:space="preserve">The first step to analyzing the </w:t>
      </w:r>
      <w:r>
        <w:rPr>
          <w:b/>
          <w:bCs/>
        </w:rPr>
        <w:t>main</w:t>
      </w:r>
      <w:r>
        <w:t xml:space="preserve"> runs was the definition of the coherent and incoherent predictors. Perceptual reports were recorded continuously using button presses, with participants holding down one of two buttons to indicate their current perceptual state (coherent or component). These responses were sampled at 60 Hz, allowing us to detect changes in perception with high temporal resolution, down to the level of single stimulus frames. To align behavioral data with fMRI acquisition, we segmented the button press data into windows </w:t>
      </w:r>
      <w:r>
        <w:rPr>
          <w:b/>
          <w:bCs/>
        </w:rPr>
        <w:t>with the duration of the</w:t>
      </w:r>
      <w:r>
        <w:t xml:space="preserve"> repetition time (TR). For each volume, we calculated the proportion of time within that window during which the participant reported the coherent percept. If this proportion was greater than or equal to 50%, the volume was labeled as “coherent”; otherwise, it was labeled as “incoherent.” This binarized perceptual label was then used to construct the design matrix, with each volume assigned to a perceptual condition accordingly.</w:t>
      </w:r>
    </w:p>
    <w:p w14:paraId="3E809358" w14:textId="77777777" w:rsidR="006E251F" w:rsidRDefault="00000000">
      <w:r>
        <w:lastRenderedPageBreak/>
        <w:t xml:space="preserve">We estimated the functional activation maps of the </w:t>
      </w:r>
      <w:r>
        <w:rPr>
          <w:b/>
          <w:bCs/>
        </w:rPr>
        <w:t>main</w:t>
      </w:r>
      <w:r>
        <w:t xml:space="preserve"> runs for each TR condition using a GLM. The design matrix included predictors for all experimental conditions (‘static’, ‘motion’, ‘MAE’) and confound regressors based on the mean and first derivative of the voxels in the CSF and the six head motion parameters and their derivatives. Temporal high-pass filtering (cut-off = 0.003 Hz) was applied before extracting ROI activation measures (beta statistic and t-value). At this stage, we are contrasting ‘motion’ with ‘static’ conditions to define the brain networks that underlie motion perception.</w:t>
      </w:r>
    </w:p>
    <w:p w14:paraId="65A176F3" w14:textId="77777777" w:rsidR="006E251F" w:rsidRDefault="00000000">
      <w:r>
        <w:t>We then used a different design matrix, replacing the ‘motion’ predictor with predictors for coherent and incoherent percepts. As in the previous model, we extract the ROI  beta statistic and t-value for the contrasts between coherent/incoherent and static plaid.</w:t>
      </w:r>
    </w:p>
    <w:p w14:paraId="7E5D3C43" w14:textId="77777777" w:rsidR="006E251F" w:rsidRDefault="00000000">
      <w:r>
        <w:t>For the following analyses, we extract the time course of the ROI, regress the abovementioned confounds, and normalize it as a percent signal change to the mean value across time. We use the time courses of the left and right hMT+ to estimate Pearson’s correlation over time, a measure of inter-hemispheric functional connectivity. We use a sliding window of 6 seconds for the three lower TRs and of 7.5 seconds for the higher TR (a minimum of 3 data points was considered for obtaining a measurable correlation value). Using the perceptual report information, we center all correlation windows at the transitions between coherent and incoherent percepts and average them across trials and participants. Given the size of the windows, we only considered coherent and incoherent events that lasted at least 7.5 seconds.</w:t>
      </w:r>
    </w:p>
    <w:p w14:paraId="59DDDD6F" w14:textId="77777777" w:rsidR="006E251F" w:rsidRDefault="00000000">
      <w:r>
        <w:t xml:space="preserve">To study the characteristics of the functional connectivity information, we defined that successful automatic detection of a perceptual transition meant a 10% minimum increase or decrease in correlation, for coherent and incoherent trials, respectively. We chose this threshold based on </w:t>
      </w:r>
      <w:r>
        <w:fldChar w:fldCharType="begin"/>
      </w:r>
      <w:r>
        <w:instrText>ADDIN ZOTERO_ITEM CSL_CITATION {"citationID":"T43m5Jd3","properties":{"formattedCitation":"(Sousa et al. 2019)","plainCitation":"(Sousa et al. 2019)","noteIndex":0},"citationItems":[{"id":705,"uris":["http://zotero.org/users/9021334/items/EL7I2EMZ"],"itemData":{"id":705,"type":"article-journal","abstract":"Abstract\n            The role of long-range integration mechanisms underlying visual perceptual binding and their link to interhemispheric functional connectivity, as measured by fMRI, remains elusive. Only inferences on anatomical organization from resting state data paradigms not requiring coherent binding have been achieved. Here, we used a paradigm that allowed us to study such relation between perceptual interpretation and functional connectivity under bistable interhemispheric binding vs. non-binding of visual surfaces. Binding occurs by long-range perceptual integration of motion into a single object across hemifields and non-binding reflects opponent segregation of distinct moving surfaces into each hemifield. We hypothesized that perceptual integration vs. segregation of surface motion, which is achieved in visual area hMT+, is modulated by changes in interhemispheric connectivity in this region. Using 7T fMRI, we found that perceptual long-range integration of bistable motion can be tracked by changes in interhemispheric functional connectivity between left/right hMT+. Increased connectivity was tightly related with long-range perceptual integration. Our results indicate that hMT+ interhemispheric functional connectivity reflects perceptual decision, suggesting its pivotal role on long-range disambiguation of bistable physically constant surface motion. We reveal for the first time, at the scale of fMRI, a relation between interhemispheric functional connectivity and decision based perceptual binding.","container-title":"Scientific Reports","DOI":"10.1038/s41598-018-37822-x","ISSN":"2045-2322","issue":"1","journalAbbreviation":"Sci Rep","language":"en","page":"1242","source":"DOI.org (Crossref)","title":"Tracking perceptual decision mechanisms through changes in interhemispheric functional connectivity in human visual cortex","volume":"9","author":[{"family":"Sousa","given":"Teresa"},{"family":"Duarte","given":"João V."},{"family":"Costa","given":"Gabriel N."},{"family":"Kemper","given":"Valentin G."},{"family":"Martins","given":"Ricardo"},{"family":"Goebel","given":"Rainer"},{"family":"Castelo-Branco","given":"Miguel"}],"issued":{"date-parts":[["2019",2,4]]},"citation-key":"sousaTrackingPerceptualDecision2019"}}],"schema":"https://github.com/citation-style-language/schema/raw/master/csl-citation.json"}</w:instrText>
      </w:r>
      <w:r>
        <w:fldChar w:fldCharType="separate"/>
      </w:r>
      <w:r>
        <w:t>(Sousa et al. 2019)</w:t>
      </w:r>
      <w:r>
        <w:fldChar w:fldCharType="end"/>
      </w:r>
      <w:r>
        <w:t>, which reported an average difference in correlation between percepts of 0.13 ± 0.04. Based on this rule, we extract the transitions’ detection ratio and the time to detection from the first correlation window that includes the volume of transition. The detection ratio is computed as the number of perceptual transitions that are successfully detected (i.e., marked by a change in functional connectivity classification) divided by the total number of transitions in the data. The time to detection is calculated for each transition as the temporal distance (in seconds) between the first correlation window that contains the transition volume and the first subsequent window in which a change in connectivity pattern consistent with the perceptual switch is detected. This gives us a measure of how promptly the method can track perceptual changes via functional connectivity.</w:t>
      </w:r>
    </w:p>
    <w:p w14:paraId="2F84D859" w14:textId="77777777" w:rsidR="006E251F" w:rsidRDefault="00000000">
      <w:pPr>
        <w:pStyle w:val="Heading1"/>
      </w:pPr>
      <w:r>
        <w:t>Results</w:t>
      </w:r>
    </w:p>
    <w:p w14:paraId="166C8CD3" w14:textId="77777777" w:rsidR="006E251F" w:rsidRDefault="00000000">
      <w:pPr>
        <w:pStyle w:val="Heading2"/>
      </w:pPr>
      <w:bookmarkStart w:id="7" w:name="_etgl2b6gnqc"/>
      <w:bookmarkEnd w:id="7"/>
      <w:r>
        <w:t>Localizer for hMT+</w:t>
      </w:r>
    </w:p>
    <w:p w14:paraId="5D6340DC" w14:textId="77777777" w:rsidR="006E251F" w:rsidRDefault="00000000">
      <w:r>
        <w:t>We defined the left and right hMT+ ROIs in the localizer map of each individual, considering the contrast ‘moving’ vs. ‘static’, a voxel-wise correction with Bonferroni’s method (p=0.05), and cluster-wise with a minimum cluster size of 50 voxels (Figure 2). The MNI coordinates of the center of the left and right hMT+ clusters for each subject are reported in Table S2. The group activation map is shown in Figure S3, and the average MNI coordinates of the center of the left and right clusters are (-42,-72,4) and (48,-66,6), respectively.</w:t>
      </w:r>
    </w:p>
    <w:p w14:paraId="43BC1954" w14:textId="77777777" w:rsidR="006E251F" w:rsidRDefault="00000000">
      <w:pPr>
        <w:keepNext/>
      </w:pPr>
      <w:r>
        <w:rPr>
          <w:noProof/>
        </w:rPr>
        <w:lastRenderedPageBreak/>
        <w:drawing>
          <wp:inline distT="0" distB="0" distL="0" distR="0" wp14:anchorId="15CCA724" wp14:editId="6734C5E0">
            <wp:extent cx="5731510" cy="3835400"/>
            <wp:effectExtent l="0" t="0" r="0" b="0"/>
            <wp:docPr id="100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4.png"/>
                    <pic:cNvPicPr>
                      <a:picLocks noChangeAspect="1" noChangeArrowheads="1"/>
                    </pic:cNvPicPr>
                  </pic:nvPicPr>
                  <pic:blipFill>
                    <a:blip r:embed="rId13"/>
                    <a:stretch>
                      <a:fillRect/>
                    </a:stretch>
                  </pic:blipFill>
                  <pic:spPr bwMode="auto">
                    <a:xfrm>
                      <a:off x="0" y="0"/>
                      <a:ext cx="5731510" cy="3835400"/>
                    </a:xfrm>
                    <a:prstGeom prst="rect">
                      <a:avLst/>
                    </a:prstGeom>
                    <a:noFill/>
                  </pic:spPr>
                </pic:pic>
              </a:graphicData>
            </a:graphic>
          </wp:inline>
        </w:drawing>
      </w:r>
    </w:p>
    <w:p w14:paraId="22248A74" w14:textId="77777777" w:rsidR="006E251F" w:rsidRDefault="00000000">
      <w:r>
        <w:t>Figure 2 - GLM maps for the hMT+ localizer of each participant, contrasting the moving with the static plaid conditions (z-values corrected voxel-wise with Bonferroni’s correction and threshold p = 0.05 and cluster-wise with a minimum cluster size of 50 voxels). The maps show z-values between the estimated threshold per subject and 20, over the axial slice with Z = 4.</w:t>
      </w:r>
    </w:p>
    <w:p w14:paraId="6EE03CEF" w14:textId="77777777" w:rsidR="006E251F" w:rsidRDefault="00000000">
      <w:pPr>
        <w:pStyle w:val="Heading2"/>
      </w:pPr>
      <w:bookmarkStart w:id="8" w:name="_mo5apsffcx15"/>
      <w:bookmarkEnd w:id="8"/>
      <w:r>
        <w:t>GLM statistical values of hMT+</w:t>
      </w:r>
    </w:p>
    <w:p w14:paraId="2B8E90E4" w14:textId="77777777" w:rsidR="006E251F" w:rsidRDefault="00000000">
      <w:r>
        <w:t>Activation profiles were analyzed using GLMs applied to the normalized BOLD signals from the motion runs (the average BOLD time courses are shown in Supplementary Figures S4 and S5). Figure 3 presents the results of the GLM analyses across different TR values, showing that they are essentially the same across TRs, and can be pooled across TRs. In the first column, we plot the beta and t-values of the contrast ‘motion vs. static’. There is no difference in the beta values between TRs, in spite of larger t values for the lowest TRs. Similar findings were found for the coherent and incoherent contrasts.</w:t>
      </w:r>
    </w:p>
    <w:p w14:paraId="17593C3E" w14:textId="77777777" w:rsidR="006E251F" w:rsidRDefault="006E251F"/>
    <w:p w14:paraId="2230B66A" w14:textId="77777777" w:rsidR="0083090B" w:rsidRDefault="00000000">
      <w:pPr>
        <w:keepNext/>
      </w:pPr>
      <w:r>
        <w:rPr>
          <w:noProof/>
        </w:rPr>
        <w:lastRenderedPageBreak/>
        <w:drawing>
          <wp:inline distT="0" distB="0" distL="0" distR="0" wp14:anchorId="6E980C3F" wp14:editId="5A1ABFFA">
            <wp:extent cx="5731510" cy="4144010"/>
            <wp:effectExtent l="0" t="0" r="0" b="0"/>
            <wp:docPr id="1005" name="Picture 1" descr="A group of boxes with different colored squar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 descr="A group of boxes with different colored squares  AI-generated content may be incorrect."/>
                    <pic:cNvPicPr>
                      <a:picLocks noChangeAspect="1" noChangeArrowheads="1"/>
                    </pic:cNvPicPr>
                  </pic:nvPicPr>
                  <pic:blipFill>
                    <a:blip r:embed="rId14"/>
                    <a:stretch>
                      <a:fillRect/>
                    </a:stretch>
                  </pic:blipFill>
                  <pic:spPr bwMode="auto">
                    <a:xfrm>
                      <a:off x="0" y="0"/>
                      <a:ext cx="5731510" cy="4144010"/>
                    </a:xfrm>
                    <a:prstGeom prst="rect">
                      <a:avLst/>
                    </a:prstGeom>
                    <a:noFill/>
                  </pic:spPr>
                </pic:pic>
              </a:graphicData>
            </a:graphic>
          </wp:inline>
        </w:drawing>
      </w:r>
    </w:p>
    <w:p w14:paraId="5568DFF4" w14:textId="5AE1C433" w:rsidR="006E251F" w:rsidRDefault="00000000">
      <w:pPr>
        <w:keepNext/>
      </w:pPr>
      <w:r>
        <w:t xml:space="preserve">Figure 3 – Comparison of the beta and t-values for the activation of hMT+ during the functional runs for each TR and contrast of interest - ‘motion’, ‘coherent’, and ‘incoherent’ vs. ‘static’. We display boxplots (median, quartiles, standard deviation) with overlaid data points, and the statistical pairwise comparison was performed using two-sided Mann-Whitney-Wilcoxon tests with Bonferroni’s correction (p=0.05). Each data point corresponds to one subject, and only significant comparisons are drawn. </w:t>
      </w:r>
    </w:p>
    <w:p w14:paraId="33646DC8" w14:textId="77777777" w:rsidR="006E251F" w:rsidRDefault="00000000">
      <w:pPr>
        <w:pStyle w:val="Heading2"/>
      </w:pPr>
      <w:bookmarkStart w:id="9" w:name="_1l2c18ksdcbn"/>
      <w:bookmarkEnd w:id="9"/>
      <w:r>
        <w:t>Interhemispheric connectivity</w:t>
      </w:r>
    </w:p>
    <w:p w14:paraId="2ED458D7" w14:textId="77777777" w:rsidR="006E251F" w:rsidRDefault="00000000">
      <w:r>
        <w:t>In Figure 4, we display the time courses of interhemispheric correlation of hMT+ for all the sequences with different temporal resolutions, centered on the perceptual switches between coherent and incoherent states and vice versa. The results are consistent across TRs, showing that they can be pooled - the transition to the coherent percept is linked to an increase in interhemispheric connectivity, while the transition to the incoherent percept is linked to a decrease in connectivity.</w:t>
      </w:r>
    </w:p>
    <w:p w14:paraId="2360F903" w14:textId="17A729CB" w:rsidR="006E251F" w:rsidRDefault="00000000">
      <w:pPr>
        <w:keepNext/>
      </w:pPr>
      <w:r>
        <w:lastRenderedPageBreak/>
        <w:t xml:space="preserve"> </w:t>
      </w:r>
      <w:r w:rsidR="0093326C" w:rsidRPr="0093326C">
        <w:drawing>
          <wp:inline distT="0" distB="0" distL="0" distR="0" wp14:anchorId="02FB2173" wp14:editId="58D1A3B8">
            <wp:extent cx="6208395" cy="3263900"/>
            <wp:effectExtent l="0" t="0" r="1905" b="0"/>
            <wp:docPr id="206377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2820" name=""/>
                    <pic:cNvPicPr/>
                  </pic:nvPicPr>
                  <pic:blipFill>
                    <a:blip r:embed="rId15"/>
                    <a:stretch>
                      <a:fillRect/>
                    </a:stretch>
                  </pic:blipFill>
                  <pic:spPr>
                    <a:xfrm>
                      <a:off x="0" y="0"/>
                      <a:ext cx="6208395" cy="3263900"/>
                    </a:xfrm>
                    <a:prstGeom prst="rect">
                      <a:avLst/>
                    </a:prstGeom>
                  </pic:spPr>
                </pic:pic>
              </a:graphicData>
            </a:graphic>
          </wp:inline>
        </w:drawing>
      </w:r>
    </w:p>
    <w:p w14:paraId="5A3DB7D0" w14:textId="77777777" w:rsidR="006E251F" w:rsidRDefault="00000000">
      <w:r>
        <w:t>Figure 4 - Inter-hemispheric hMT+ correlation time courses (window size of 6 seconds / 7.5 seconds for TR=2.5s) per TR centered on coherent (top row) and incoherent (bottom row) perceptual switches. A dashed vertical line indicates the volume of transition. The first and last correlation points correspond to windows that do not include the volume of transition. Linear regression was performed on the datapoints highlighted in green using ordinary least squares.</w:t>
      </w:r>
    </w:p>
    <w:p w14:paraId="0CC18A98" w14:textId="77777777" w:rsidR="006E251F" w:rsidRDefault="006E251F"/>
    <w:p w14:paraId="77EEAF80" w14:textId="77777777" w:rsidR="006E251F" w:rsidRDefault="00000000">
      <w:pPr>
        <w:pStyle w:val="Heading2"/>
      </w:pPr>
      <w:bookmarkStart w:id="10" w:name="_kcy9p8fwq1kx"/>
      <w:bookmarkEnd w:id="10"/>
      <w:r>
        <w:t>Perceptual switch characteristics based on interhemispheric functional connectivity</w:t>
      </w:r>
    </w:p>
    <w:p w14:paraId="1ACFA9E1" w14:textId="77777777" w:rsidR="006E251F" w:rsidRDefault="00000000">
      <w:r>
        <w:t>Here, we investigated two characteristics of the signal based on interhemispheric hMT+ functional connectivity at different resolutions. Based on a rule that could distinguish coherent or incoherent perception, we calculated the percentage of detected switches (Figure 5) and the time it took to detect such switches (Figure 6) since the volume of transition for each sequence. The average number of switches per run was 5 ± 3 (see also Figures S6 and S7). The results show statistically significant differences in both metrics between the sequence with a TR of 2.5 seconds and the other three sequences.</w:t>
      </w:r>
    </w:p>
    <w:p w14:paraId="2BB4D144" w14:textId="77777777" w:rsidR="006E251F" w:rsidRDefault="00000000">
      <w:pPr>
        <w:keepNext/>
        <w:jc w:val="center"/>
      </w:pPr>
      <w:r>
        <w:lastRenderedPageBreak/>
        <w:t xml:space="preserve"> </w:t>
      </w:r>
      <w:r>
        <w:rPr>
          <w:noProof/>
        </w:rPr>
        <w:drawing>
          <wp:inline distT="0" distB="0" distL="0" distR="0" wp14:anchorId="65B76190" wp14:editId="72FC6F56">
            <wp:extent cx="3090224" cy="3232298"/>
            <wp:effectExtent l="0" t="0" r="0" b="0"/>
            <wp:docPr id="1009" name="Image3"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3" descr="A screenshot of a graph  AI-generated content may be incorrect."/>
                    <pic:cNvPicPr>
                      <a:picLocks noChangeAspect="1" noChangeArrowheads="1"/>
                    </pic:cNvPicPr>
                  </pic:nvPicPr>
                  <pic:blipFill>
                    <a:blip r:embed="rId16"/>
                    <a:stretch>
                      <a:fillRect/>
                    </a:stretch>
                  </pic:blipFill>
                  <pic:spPr bwMode="auto">
                    <a:xfrm>
                      <a:off x="0" y="0"/>
                      <a:ext cx="3102145" cy="3244767"/>
                    </a:xfrm>
                    <a:prstGeom prst="rect">
                      <a:avLst/>
                    </a:prstGeom>
                    <a:noFill/>
                  </pic:spPr>
                </pic:pic>
              </a:graphicData>
            </a:graphic>
          </wp:inline>
        </w:drawing>
      </w:r>
    </w:p>
    <w:p w14:paraId="52CCDDD7" w14:textId="77777777" w:rsidR="006E251F" w:rsidRDefault="00000000">
      <w:r>
        <w:t>Figure 5 - Percentage of identified perceptual switches based on the correlation signal over the total number of perceptual switches reported by the participant for each TR condition, based on the rule of 10% increase or decrease in correlation for coherent and incoherent trials, respectively. We display the results of a two-tailed Mann-Whitney-Wilcoxon test with Bonferroni correction (p = 0.05) on the coherent trials data in blue.</w:t>
      </w:r>
    </w:p>
    <w:p w14:paraId="18676D88" w14:textId="77777777" w:rsidR="006E251F" w:rsidRDefault="006E251F">
      <w:pPr>
        <w:jc w:val="center"/>
      </w:pPr>
    </w:p>
    <w:p w14:paraId="7A3D8231" w14:textId="77777777" w:rsidR="0083090B" w:rsidRDefault="00000000" w:rsidP="00FB2A6A">
      <w:pPr>
        <w:keepNext/>
        <w:jc w:val="center"/>
      </w:pPr>
      <w:r>
        <w:rPr>
          <w:noProof/>
        </w:rPr>
        <w:lastRenderedPageBreak/>
        <w:drawing>
          <wp:inline distT="0" distB="0" distL="0" distR="0" wp14:anchorId="3585DA8B" wp14:editId="55CB8C9C">
            <wp:extent cx="3756746" cy="4056321"/>
            <wp:effectExtent l="0" t="0" r="2540" b="0"/>
            <wp:docPr id="1011" name="Image4" descr="A graph of different colored squar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4" descr="A graph of different colored squares  AI-generated content may be incorrect."/>
                    <pic:cNvPicPr>
                      <a:picLocks noChangeAspect="1" noChangeArrowheads="1"/>
                    </pic:cNvPicPr>
                  </pic:nvPicPr>
                  <pic:blipFill>
                    <a:blip r:embed="rId17"/>
                    <a:stretch>
                      <a:fillRect/>
                    </a:stretch>
                  </pic:blipFill>
                  <pic:spPr bwMode="auto">
                    <a:xfrm>
                      <a:off x="0" y="0"/>
                      <a:ext cx="3781743" cy="4083311"/>
                    </a:xfrm>
                    <a:prstGeom prst="rect">
                      <a:avLst/>
                    </a:prstGeom>
                    <a:noFill/>
                  </pic:spPr>
                </pic:pic>
              </a:graphicData>
            </a:graphic>
          </wp:inline>
        </w:drawing>
      </w:r>
    </w:p>
    <w:p w14:paraId="52E1A783" w14:textId="519354C2" w:rsidR="006E251F" w:rsidRDefault="00000000">
      <w:pPr>
        <w:keepNext/>
      </w:pPr>
      <w:r>
        <w:t xml:space="preserve">Figure 6 - Boxplot representation of the time to detection. For each sequence, we estimate </w:t>
      </w:r>
      <w:r w:rsidR="0083090B">
        <w:t>the</w:t>
      </w:r>
      <w:r>
        <w:t xml:space="preserve"> time </w:t>
      </w:r>
      <w:r w:rsidR="0083090B">
        <w:t>required</w:t>
      </w:r>
      <w:r>
        <w:t xml:space="preserve"> to detect the perceptual switch. A two-tailed Mann-Whitney-Wilcoxon test with Bonferroni correction (p = 0.05) was applied to the coherent and incoherent trial data.</w:t>
      </w:r>
    </w:p>
    <w:p w14:paraId="35E433C4" w14:textId="77777777" w:rsidR="006E251F" w:rsidRDefault="00000000">
      <w:pPr>
        <w:pStyle w:val="Heading1"/>
      </w:pPr>
      <w:bookmarkStart w:id="11" w:name="_e7d35w1k3tcn"/>
      <w:bookmarkEnd w:id="11"/>
      <w:r>
        <w:t>Discussion</w:t>
      </w:r>
    </w:p>
    <w:p w14:paraId="0EA2C49E" w14:textId="77777777" w:rsidR="006E251F" w:rsidRDefault="00000000">
      <w:r>
        <w:t xml:space="preserve">In this work, we used high temporal resolution fMRI to identify a link between interhemispheric connectivity and global motion integration versus segregation. </w:t>
      </w:r>
    </w:p>
    <w:p w14:paraId="155D8FC8" w14:textId="77777777" w:rsidR="006E251F" w:rsidRDefault="00000000">
      <w:pPr>
        <w:pStyle w:val="Heading2"/>
      </w:pPr>
      <w:bookmarkStart w:id="12" w:name="_v55sseu7q0at"/>
      <w:bookmarkEnd w:id="12"/>
      <w:r>
        <w:t xml:space="preserve">Visual motion network recruitment and short events </w:t>
      </w:r>
    </w:p>
    <w:p w14:paraId="4161AFD7" w14:textId="77777777" w:rsidR="006E251F" w:rsidRDefault="00000000">
      <w:r>
        <w:t xml:space="preserve">We used a moving plaid paradigm known to elicit bistable coherent/incoherent percepts while engaging a perceptual decision-making network, where motion-selective hMT+ plays a core role </w:t>
      </w:r>
      <w:r>
        <w:fldChar w:fldCharType="begin"/>
      </w:r>
      <w:r>
        <w:instrText>ADDIN ZOTERO_ITEM CSL_CITATION {"citationID":"0bTuJdDM","properties":{"formattedCitation":"(Sayal et al. 2020; Sousa et al. 2024; 2018)","plainCitation":"(Sayal et al. 2020; Sousa et al. 2024; 2018)","noteIndex":0},"citationItems":[{"id":729,"uris":["http://zotero.org/users/9021334/items/5FD2NVLI"],"itemData":{"id":729,"type":"article-journal","abstract":"Hysteresis is a well-known phenomenon in physics that relates changes in a system with its prior history. It is also part of human visual experience (perceptual hysteresis), and two different neural mechanisms might explain it: persistence (a cause of positive hysteresis), which forces to keep a current percept for longer, and adaptation (a cause of negative hysteresis), which in turn favors the switch to a competing percept early on. In this study, we explore the neural correlates underlying these mechanisms and the hypothesis of their competitive balance, by combining behavioral assessment with fMRI. We used machine learning on the behavioral data to distinguish between positive and negative hysteresis, and discovered a neural correlate of persistence at a core region of the ventral attention network, the anterior insula. Our results add to the understanding of perceptual multistability and reveal a possible mechanistic explanation for the regulation of different forms of perceptual hysteresis.","container-title":"NeuroImage","DOI":"10.1016/j.neuroimage.2020.117153","ISSN":"10538119","journalAbbreviation":"NeuroImage","language":"en","page":"117153","source":"DOI.org (Crossref)","title":"Identification of competing neural mechanisms underlying positive and negative perceptual hysteresis in the human visual system","volume":"221","author":[{"family":"Sayal","given":"Alexandre"},{"family":"Sousa","given":"Teresa"},{"family":"Duarte","given":"João V."},{"family":"Costa","given":"Gabriel N."},{"family":"Martins","given":"Ricardo"},{"family":"Castelo-Branco","given":"Miguel"}],"issued":{"date-parts":[["2020",11]]},"citation-key":"sayalIdentificationCompetingNeural2020"}},{"id":731,"uris":["http://zotero.org/users/9021334/items/BGUBMR5A"],"itemData":{"id":731,"type":"article-journal","abstract":"A model based on inhibitory coupling has been proposed to explain perceptual oscillations. This ’adapting reciprocal inhibition’ model postulates that it is the strength of inhibitory coupling that determines the fate of competition between percepts. Here, we used an fMRI-based adaptation technique to reveal the influence of neighboring neuronal populations, such as reciprocal inhibition, in motion-selective hMT+/V5. If reciprocal inhibition exists in this region, the following predictions should hold: 1. stimulus-driven response would not simply decrease, as predicted by simple repetition-suppression of neuronal populations, but instead, increase due to the activity from adjacent populations; 2. perceptual decision involving competing representations, should reflect decreased reciprocal inhibition by adaptation; 3. neural activity for the competing percept should also later on increase upon adaptation. Our results confirm these three predictions, showing that a model of perceptual decision based on adapting reciprocal inhibition holds true. Finally, they also show that the net effect of the well-known repetition suppression phenomenon can be reversed by this mechanism.","container-title":"NeuroImage","DOI":"10.1016/j.neuroimage.2023.120488","ISSN":"10538119","journalAbbreviation":"NeuroImage","language":"en","page":"120488","source":"DOI.org (Crossref)","title":"A human cortical adaptive mutual inhibition circuit underlying competition for perceptual decision and repetition suppression reversal","volume":"285","author":[{"family":"Sousa","given":"Teresa"},{"family":"Sayal","given":"Alexandre"},{"family":"Duarte","given":"João V."},{"family":"Costa","given":"Gabriel N."},{"family":"Castelo-Branco","given":"Miguel"}],"issued":{"date-parts":[["2024",1]]},"citation-key":"sousaHumanCorticalAdaptive2024"}},{"id":728,"uris":["http://zotero.org/users/9021334/items/RJHG56D8"],"itemData":{"id":728,"type":"article-journal","abstract":"Visual adaptation describes the processes by which the visual system alters its operating properties in response to changes in the environment. It is one of the mechanisms controlling visual perceptual bistability – when two perceptual solutions are available – by controlling the duration of each percept. Moving plaids are an example of such ambiguity. They can be perceived as two surfaces sliding incoherently over each other or as a single coherent surface. Here, we investigated, using fMRI, whether activity in the human motion complex (hMTþ), a region tightly related to the perceptual integration of visual motion, is modulated by distinct forms of visual adaptation to coherent or incoherent perception of moving plaids. Our hypothesis is that exposure to global coherent or incoherent moving stimuli leads to different levels of measurable adaptation, reﬂected in hMTþ activity. We found that the strength of the measured visual adaptation effect depended on whether subjects integrated (coherent percept) or segregated (incoherent percept) surface motion signals.","container-title":"NeuroImage","DOI":"10.1016/j.neuroimage.2018.06.075","ISSN":"10538119","journalAbbreviation":"NeuroImage","language":"en","page":"540-547","source":"DOI.org (Crossref)","title":"Evidence for distinct levels of neural adaptation to both coherent and incoherently moving visual surfaces in visual area hMT+","volume":"179","author":[{"family":"Sousa","given":"Teresa"},{"family":"Sayal","given":"Alexandre"},{"family":"Duarte","given":"João V."},{"family":"Costa","given":"Gabriel N."},{"family":"Martins","given":"Ricardo"},{"family":"Castelo-Branco","given":"Miguel"}],"issued":{"date-parts":[["2018",10]]},"citation-key":"sousaEvidenceDistinctLevels2018"}}],"schema":"https://github.com/citation-style-language/schema/raw/master/csl-citation.json"}</w:instrText>
      </w:r>
      <w:r>
        <w:fldChar w:fldCharType="separate"/>
      </w:r>
      <w:r>
        <w:t>(Sayal et al. 2020; Sousa et al. 2024; 2018)</w:t>
      </w:r>
      <w:r>
        <w:fldChar w:fldCharType="end"/>
      </w:r>
      <w:r>
        <w:t xml:space="preserve">. It is known that the activity in this region depends on the perceptual decision state, coherent or incoherent </w:t>
      </w:r>
      <w:r>
        <w:fldChar w:fldCharType="begin"/>
      </w:r>
      <w:r>
        <w:instrText>ADDIN ZOTERO_ITEM CSL_CITATION {"citationID":"aEp1HwG7","properties":{"formattedCitation":"(Duarte et al. 2017)","plainCitation":"(Duarte et al. 2017)","noteIndex":0},"citationItems":[{"id":1059,"uris":["http://zotero.org/users/9021334/items/68FK5BTS"],"itemData":{"id":1059,"type":"article-journal","abstract":"Abstract\n            \n              It remains an open question whether\n              long‐range\n              disambiguation of ambiguous surface motion can be achieved in early visual cortex or instead in higher level regions, which concerns object/surface segmentation/integration mechanisms. We used a bistable moving stimulus that can be perceived as a pattern comprehending both visual hemi‐fields moving coherently downward or as two widely segregated nonoverlapping component objects (in each visual hemi‐field) moving separately inward. This paradigm requires long‐range integration across the vertical meridian leading to interhemispheric binding. Our fMRI study (\n              n\n               = 30) revealed a close relation between activity in hMT+ and perceptual switches involving interhemispheric segregation/integration of motion signals, crucially under nonlocal conditions where components do not overlap and belong to distinct hemispheres. Higher signal changes were found in hMT+ in response to spatially segregated component (incoherent) percepts than to pattern (coherent) percepts. This did not occur in early visual cortex, unlike apparent motion, which does not entail surface segmentation. We also identified a role for top–down mechanisms in state transitions. Deconvolution analysis of switch‐related changes revealed prefrontal, insula, and cingulate areas, with the right superior parietal lobule (SPL) being particularly involved. We observed that directed influences could emerge either from left or right hMT+ during bistable motion integration/segregation. SPL also exhibited significant directed functional connectivity with hMT+, during perceptual state maintenance (Granger causality analysis). Our results suggest that long‐range interhemispheric binding of ambiguous motion representations mainly reflect bottom–up processes from hMT+ during perceptual state maintenance. In contrast, state transitions maybe influenced by high‐level regions such as the SPL.\n              Hum Brain Mapp 38:4882–4897, 2017\n              . ©\n              2017 Wiley Periodicals, Inc.","container-title":"Human Brain Mapping","DOI":"10.1002/hbm.23701","ISSN":"1065-9471, 1097-0193","issue":"10","journalAbbreviation":"Human Brain Mapping","language":"en","page":"4882-4897","source":"DOI.org (Crossref)","title":"Pivotal role of hMT+ in long‐range disambiguation of interhemispheric bistable surface motion","volume":"38","author":[{"family":"Duarte","given":"João Valente"},{"family":"Costa","given":"Gabriel Nascimento"},{"family":"Martins","given":"Ricardo"},{"family":"Castelo‐Branco","given":"Miguel"}],"issued":{"date-parts":[["2017",10]]},"citation-key":"duartePivotalRoleHMT2017"}}],"schema":"https://github.com/citation-style-language/schema/raw/master/csl-citation.json"}</w:instrText>
      </w:r>
      <w:r>
        <w:fldChar w:fldCharType="separate"/>
      </w:r>
      <w:r>
        <w:t>(Duarte et al. 2017)</w:t>
      </w:r>
      <w:r>
        <w:fldChar w:fldCharType="end"/>
      </w:r>
      <w:r>
        <w:t xml:space="preserve"> , and we previously found evidence for the role of adaptation and inhibition strengths in this region to determine the resulting percepts </w:t>
      </w:r>
      <w:r>
        <w:fldChar w:fldCharType="begin"/>
      </w:r>
      <w:r>
        <w:instrText>ADDIN ZOTERO_ITEM CSL_CITATION {"citationID":"5PLNJsOE","properties":{"formattedCitation":"(Sousa et al. 2024)","plainCitation":"(Sousa et al. 2024)","noteIndex":0},"citationItems":[{"id":731,"uris":["http://zotero.org/users/9021334/items/BGUBMR5A"],"itemData":{"id":731,"type":"article-journal","abstract":"A model based on inhibitory coupling has been proposed to explain perceptual oscillations. This ’adapting reciprocal inhibition’ model postulates that it is the strength of inhibitory coupling that determines the fate of competition between percepts. Here, we used an fMRI-based adaptation technique to reveal the influence of neighboring neuronal populations, such as reciprocal inhibition, in motion-selective hMT+/V5. If reciprocal inhibition exists in this region, the following predictions should hold: 1. stimulus-driven response would not simply decrease, as predicted by simple repetition-suppression of neuronal populations, but instead, increase due to the activity from adjacent populations; 2. perceptual decision involving competing representations, should reflect decreased reciprocal inhibition by adaptation; 3. neural activity for the competing percept should also later on increase upon adaptation. Our results confirm these three predictions, showing that a model of perceptual decision based on adapting reciprocal inhibition holds true. Finally, they also show that the net effect of the well-known repetition suppression phenomenon can be reversed by this mechanism.","container-title":"NeuroImage","DOI":"10.1016/j.neuroimage.2023.120488","ISSN":"10538119","journalAbbreviation":"NeuroImage","language":"en","page":"120488","source":"DOI.org (Crossref)","title":"A human cortical adaptive mutual inhibition circuit underlying competition for perceptual decision and repetition suppression reversal","volume":"285","author":[{"family":"Sousa","given":"Teresa"},{"family":"Sayal","given":"Alexandre"},{"family":"Duarte","given":"João V."},{"family":"Costa","given":"Gabriel N."},{"family":"Castelo-Branco","given":"Miguel"}],"issued":{"date-parts":[["2024",1]]},"citation-key":"sousaHumanCorticalAdaptive2024"}}],"schema":"https://github.com/citation-style-language/schema/raw/master/csl-citation.json"}</w:instrText>
      </w:r>
      <w:r>
        <w:fldChar w:fldCharType="separate"/>
      </w:r>
      <w:r>
        <w:t>(Sousa et al. 2024)</w:t>
      </w:r>
      <w:r>
        <w:fldChar w:fldCharType="end"/>
      </w:r>
      <w:r>
        <w:t xml:space="preserve">. However, the role of interhemispheric synchrony in integration versus segregation processes, </w:t>
      </w:r>
      <w:proofErr w:type="gramStart"/>
      <w:r>
        <w:t>in particular for</w:t>
      </w:r>
      <w:proofErr w:type="gramEnd"/>
      <w:r>
        <w:t xml:space="preserve"> spatially overlapping stimuli, remained an open question. </w:t>
      </w:r>
    </w:p>
    <w:p w14:paraId="5BA3B02F" w14:textId="77777777" w:rsidR="006E251F" w:rsidRDefault="00000000">
      <w:r>
        <w:t>As a first step, we show that activation metrics are similar across temporal resolutions for each of the conditions, coherent and incoherent motion percepts (similar beta values, despite larger t-values for the lower TRs).</w:t>
      </w:r>
    </w:p>
    <w:p w14:paraId="31AAD630" w14:textId="77777777" w:rsidR="006E251F" w:rsidRDefault="00000000">
      <w:pPr>
        <w:pStyle w:val="Heading2"/>
      </w:pPr>
      <w:bookmarkStart w:id="13" w:name="_rxrmckth4ofg"/>
      <w:bookmarkEnd w:id="13"/>
      <w:r>
        <w:t>Validating the hypothesis that functional interhemispheric connectivity reflects perceptual integration versus segregation</w:t>
      </w:r>
    </w:p>
    <w:p w14:paraId="01E7C47C" w14:textId="77777777" w:rsidR="006E251F" w:rsidRDefault="00000000">
      <w:r>
        <w:lastRenderedPageBreak/>
        <w:t xml:space="preserve">Here, we aimed to robustly test this controversial hypothesis by studying the impact of perceptual coherence on functional connectivity by using a distinct bistable stimulus with spatially overlapping components at different temporal resolutions at 3 T. A previous single study </w:t>
      </w:r>
      <w:r>
        <w:fldChar w:fldCharType="begin"/>
      </w:r>
      <w:r>
        <w:instrText>ADDIN ZOTERO_ITEM CSL_CITATION {"citationID":"oPzdnVPK","properties":{"formattedCitation":"(Sousa et al. 2019)","plainCitation":"(Sousa et al. 2019)","noteIndex":0},"citationItems":[{"id":705,"uris":["http://zotero.org/users/9021334/items/EL7I2EMZ"],"itemData":{"id":705,"type":"article-journal","abstract":"Abstract\n            The role of long-range integration mechanisms underlying visual perceptual binding and their link to interhemispheric functional connectivity, as measured by fMRI, remains elusive. Only inferences on anatomical organization from resting state data paradigms not requiring coherent binding have been achieved. Here, we used a paradigm that allowed us to study such relation between perceptual interpretation and functional connectivity under bistable interhemispheric binding vs. non-binding of visual surfaces. Binding occurs by long-range perceptual integration of motion into a single object across hemifields and non-binding reflects opponent segregation of distinct moving surfaces into each hemifield. We hypothesized that perceptual integration vs. segregation of surface motion, which is achieved in visual area hMT+, is modulated by changes in interhemispheric connectivity in this region. Using 7T fMRI, we found that perceptual long-range integration of bistable motion can be tracked by changes in interhemispheric functional connectivity between left/right hMT+. Increased connectivity was tightly related with long-range perceptual integration. Our results indicate that hMT+ interhemispheric functional connectivity reflects perceptual decision, suggesting its pivotal role on long-range disambiguation of bistable physically constant surface motion. We reveal for the first time, at the scale of fMRI, a relation between interhemispheric functional connectivity and decision based perceptual binding.","container-title":"Scientific Reports","DOI":"10.1038/s41598-018-37822-x","ISSN":"2045-2322","issue":"1","journalAbbreviation":"Sci Rep","language":"en","page":"1242","source":"DOI.org (Crossref)","title":"Tracking perceptual decision mechanisms through changes in interhemispheric functional connectivity in human visual cortex","volume":"9","author":[{"family":"Sousa","given":"Teresa"},{"family":"Duarte","given":"João V."},{"family":"Costa","given":"Gabriel N."},{"family":"Kemper","given":"Valentin G."},{"family":"Martins","given":"Ricardo"},{"family":"Goebel","given":"Rainer"},{"family":"Castelo-Branco","given":"Miguel"}],"issued":{"date-parts":[["2019",2,4]]},"citation-key":"sousaTrackingPerceptualDecision2019"}}],"schema":"https://github.com/citation-style-language/schema/raw/master/csl-citation.json"}</w:instrText>
      </w:r>
      <w:r>
        <w:fldChar w:fldCharType="separate"/>
      </w:r>
      <w:r>
        <w:t>(Sousa et al. 2019)</w:t>
      </w:r>
      <w:r>
        <w:fldChar w:fldCharType="end"/>
      </w:r>
      <w:r>
        <w:t>, suggested for the first time, at the scale of fMRI, a relation between interhemispheric functional connectivity and perceptual binding for spatially non-overlapping stimuli.</w:t>
      </w:r>
    </w:p>
    <w:p w14:paraId="336982BE" w14:textId="77777777" w:rsidR="006E251F" w:rsidRDefault="00000000">
      <w:r>
        <w:t xml:space="preserve">The identification of increased interhemispheric synchronization at the time scale of the BOLD signal is intriguing and suggests that it is related to the dynamics of local field potential (LFPs), a metric that correlates well with the BOLD </w:t>
      </w:r>
      <w:r>
        <w:fldChar w:fldCharType="begin"/>
      </w:r>
      <w:r>
        <w:instrText>ADDIN ZOTERO_ITEM CSL_CITATION {"citationID":"pv1MhCJ8","properties":{"formattedCitation":"(Magri et al. 2012; Logothetis et al. 2001)","plainCitation":"(Magri et al. 2012; Logothetis et al. 2001)","noteIndex":0},"citationItems":[{"id":1461,"uris":["http://zotero.org/users/9021334/items/GEG9N4MC"],"itemData":{"id":1461,"type":"article-journal","abstract":"There is growing evidence that several components of the mass neural activity contributing to the local field potential (LFP) can be partly separated by decomposing the LFP into nonoverlapping frequency bands. Although the blood oxygen level-dependent (BOLD) signal has been found to correlate preferentially with specific frequency bands of the LFP, it is still unclear whether the BOLD signal relates to the activity expressed by each LFP band independently of the others or if, instead, it also reflects specific relationships among different bands. We investigated these issues by recording, simultaneously and with high spatiotemporal resolution, BOLD signal and LFP during spontaneous activity in early visual cortices of anesthetized monkeys (\n              Macaca mulatta\n              ). We used information theory to characterize the statistical dependency between BOLD and LFP. We found that the alpha (8–12 Hz), beta (18–30 Hz), and gamma (40–100 Hz) LFP bands were informative about the BOLD signal. In agreement with previous studies, gamma was the most informative band. Both increases and decreases in BOLD signal reliably followed increases and decreases in gamma power. However, both alpha and beta power signals carried information about BOLD that was largely complementary to that carried by gamma power. In particular, the relationship between alpha and gamma power was reflected in the amplitude of the BOLD signal, while the relationship between beta and gamma bands was reflected in the latency of BOLD with respect to significant changes in gamma power. These results lay the basis for identifying contributions of different neural pathways to cortical processing using fMRI.","container-title":"The Journal of Neuroscience","DOI":"10.1523/JNEUROSCI.3985-11.2012","ISSN":"0270-6474, 1529-2401","issue":"4","journalAbbreviation":"J. Neurosci.","language":"en","license":"https://creativecommons.org/licenses/by-nc-sa/4.0/","page":"1395-1407","source":"DOI.org (Crossref)","title":"The Amplitude and Timing of the BOLD Signal Reflects the Relationship between Local Field Potential Power at Different Frequencies","volume":"32","author":[{"family":"Magri","given":"Cesare"},{"family":"Schridde","given":"Ulrich"},{"family":"Murayama","given":"Yusuke"},{"family":"Panzeri","given":"Stefano"},{"family":"Logothetis","given":"Nikos K."}],"issued":{"date-parts":[["2012",1,25]]},"citation-key":"magriAmplitudeTimingBOLD2012"}},{"id":1463,"uris":["http://zotero.org/users/9021334/items/JH5DV7LS"],"itemData":{"id":1463,"type":"article-journal","language":"en","source":"Zotero","title":"Neurophysiological investigation of the basis of the fMRI signal","author":[{"family":"Logothetis","given":"Nikos K"},{"family":"Pauls","given":"Jon"},{"family":"Augath","given":"Mark"},{"family":"Trinath","given":"Torsten"},{"family":"Oeltermann","given":"Axel"}],"issued":{"date-parts":[["2001"]]},"citation-key":"logothetisNeurophysiologicalInvestigationBasis2001"}}],"schema":"https://github.com/citation-style-language/schema/raw/master/csl-citation.json"}</w:instrText>
      </w:r>
      <w:r>
        <w:fldChar w:fldCharType="separate"/>
      </w:r>
      <w:r>
        <w:t>(Magri et al. 2012; Logothetis et al. 2001)</w:t>
      </w:r>
      <w:r>
        <w:fldChar w:fldCharType="end"/>
      </w:r>
      <w:r>
        <w:t xml:space="preserve">. These studies show that BOLD responses correlate more strongly with the LFPs than with spiking activity, particularly in the low-frequency range, leading to the view of BOLD as a hemodynamic proxy for integrated synaptic activity. In fact, there is direct evidence for this correlation in MT </w:t>
      </w:r>
      <w:r>
        <w:fldChar w:fldCharType="begin"/>
      </w:r>
      <w:r>
        <w:instrText>ADDIN ZOTERO_ITEM CSL_CITATION {"citationID":"Cl54J4pS","properties":{"formattedCitation":"(Lippert et al. 2010)","plainCitation":"(Lippert et al. 2010)","noteIndex":0},"citationItems":[{"id":1358,"uris":["http://zotero.org/users/9021334/items/WETDHAHS"],"itemData":{"id":1358,"type":"article-journal","abstract":"The fMRI-BOLD contrast is widely used to study the neural basis of sensory perception and cognition. This signal, however, reflects neural activity only indirectly, and the detailed mechanisms of neurovascular coupling and the neurophysiological correlates of the BOLD signal remain debated. Here we investigate the coupling of BOLD and electrophysiological signals in the motion area MT of the macaque monkey by simultaneously recording both signals. Our results demonstrate that a prominent neuronal response property of area MT, so-called motion opponency, can be used to induce dissociations of BOLD and neuronal firing. During the presentation of a stimulus optimally driving the local neurons, both field potentials [local field potentials (LFPs)] and spiking activity [multi-unit activity (MUA)] correlated with the BOLD signal. When introducing the motion opponency stimulus, however, correlations of MUA with BOLD were much reduced, and LFPs were a much better predictor of the BOLD signal than MUA. In addition, for a subset of recording sites we found positive BOLD and LFP responses in the presence of decreases in MUA, regardless of the stimulus used. Together, these results demonstrate that correlations between BOLD and MUA are dependent on the particular site and stimulus paradigm, and foster the notion that the fMRI-BOLD signal reflects local dendrosomatic processing and synaptic activity rather than principal neuron spiking responses.","container-title":"Magnetic Resonance Imaging","DOI":"10.1016/j.mri.2009.12.028","ISSN":"0730725X","issue":"8","journalAbbreviation":"Magnetic Resonance Imaging","language":"en","license":"https://www.elsevier.com/tdm/userlicense/1.0/","page":"1087-1094","source":"DOI.org (Crossref)","title":"Coupling of neural activity and fMRI-BOLD in the motion area MT","volume":"28","author":[{"family":"Lippert","given":"Michael T."},{"family":"Steudel","given":"Thomas"},{"family":"Ohl","given":"Frank"},{"family":"Logothetis","given":"Nikos K."},{"family":"Kayser","given":"Christoph"}],"issued":{"date-parts":[["2010",10]]},"citation-key":"lippertCouplingNeuralActivity2010"}}],"schema":"https://github.com/citation-style-language/schema/raw/master/csl-citation.json"}</w:instrText>
      </w:r>
      <w:r>
        <w:fldChar w:fldCharType="separate"/>
      </w:r>
      <w:r>
        <w:t>(Lippert et al. 2010)</w:t>
      </w:r>
      <w:r>
        <w:fldChar w:fldCharType="end"/>
      </w:r>
      <w:r>
        <w:t>.</w:t>
      </w:r>
    </w:p>
    <w:p w14:paraId="71C9879E" w14:textId="77777777" w:rsidR="006E251F" w:rsidRDefault="00000000">
      <w:r>
        <w:t xml:space="preserve">The results of </w:t>
      </w:r>
      <w:r>
        <w:fldChar w:fldCharType="begin"/>
      </w:r>
      <w:r>
        <w:instrText>ADDIN ZOTERO_ITEM CSL_CITATION {"citationID":"AYYVI2ae","properties":{"formattedCitation":"(Sousa et al. 2019)","plainCitation":"(Sousa et al. 2019)","noteIndex":0},"citationItems":[{"id":705,"uris":["http://zotero.org/users/9021334/items/EL7I2EMZ"],"itemData":{"id":705,"type":"article-journal","abstract":"Abstract\n            The role of long-range integration mechanisms underlying visual perceptual binding and their link to interhemispheric functional connectivity, as measured by fMRI, remains elusive. Only inferences on anatomical organization from resting state data paradigms not requiring coherent binding have been achieved. Here, we used a paradigm that allowed us to study such relation between perceptual interpretation and functional connectivity under bistable interhemispheric binding vs. non-binding of visual surfaces. Binding occurs by long-range perceptual integration of motion into a single object across hemifields and non-binding reflects opponent segregation of distinct moving surfaces into each hemifield. We hypothesized that perceptual integration vs. segregation of surface motion, which is achieved in visual area hMT+, is modulated by changes in interhemispheric connectivity in this region. Using 7T fMRI, we found that perceptual long-range integration of bistable motion can be tracked by changes in interhemispheric functional connectivity between left/right hMT+. Increased connectivity was tightly related with long-range perceptual integration. Our results indicate that hMT+ interhemispheric functional connectivity reflects perceptual decision, suggesting its pivotal role on long-range disambiguation of bistable physically constant surface motion. We reveal for the first time, at the scale of fMRI, a relation between interhemispheric functional connectivity and decision based perceptual binding.","container-title":"Scientific Reports","DOI":"10.1038/s41598-018-37822-x","ISSN":"2045-2322","issue":"1","journalAbbreviation":"Sci Rep","language":"en","page":"1242","source":"DOI.org (Crossref)","title":"Tracking perceptual decision mechanisms through changes in interhemispheric functional connectivity in human visual cortex","volume":"9","author":[{"family":"Sousa","given":"Teresa"},{"family":"Duarte","given":"João V."},{"family":"Costa","given":"Gabriel N."},{"family":"Kemper","given":"Valentin G."},{"family":"Martins","given":"Ricardo"},{"family":"Goebel","given":"Rainer"},{"family":"Castelo-Branco","given":"Miguel"}],"issued":{"date-parts":[["2019",2,4]]},"citation-key":"sousaTrackingPerceptualDecision2019"}}],"schema":"https://github.com/citation-style-language/schema/raw/master/csl-citation.json"}</w:instrText>
      </w:r>
      <w:r>
        <w:fldChar w:fldCharType="separate"/>
      </w:r>
      <w:r>
        <w:t>(Sousa et al. 2019)</w:t>
      </w:r>
      <w:r>
        <w:fldChar w:fldCharType="end"/>
      </w:r>
      <w:r>
        <w:t xml:space="preserve"> showed opposing variations in hMT+ interhemispheric correlation when changing either to coherent or incoherent percepts of an ambiguous visual stimulus made of separate spatial elements. The connectivity between the left and right hMT+ was shown to be critical in interpreting spatially segregated visual moving stimuli. When studying the “motion quartet”, an ambiguous stimulus that generates horizontal or vertical apparent motion, it was found that its perception relates to distinct structural interhemispheric connectivity </w:t>
      </w:r>
      <w:r>
        <w:fldChar w:fldCharType="begin"/>
      </w:r>
      <w:r>
        <w:instrText>ADDIN ZOTERO_ITEM CSL_CITATION {"citationID":"fQB83bF7","properties":{"formattedCitation":"(Gen\\uc0\\u231{} et al. 2011)","plainCitation":"(Genç et al. 2011)","noteIndex":0},"citationItems":[{"id":824,"uris":["http://zotero.org/users/9021334/items/KILHUS3Y"],"itemData":{"id":824,"type":"article-journal","container-title":"Current Biology","DOI":"10.1016/j.cub.2011.08.003","ISSN":"09609822","issue":"17","journalAbbreviation":"Current Biology","language":"en","page":"1494-1499","source":"DOI.org (Crossref)","title":"Interhemispheric Connections Shape Subjective Experience of Bistable Motion","volume":"21","author":[{"family":"Genç","given":"Erhan"},{"family":"Bergmann","given":"Johanna"},{"family":"Singer","given":"Wolf"},{"family":"Kohler","given":"Axel"}],"issued":{"date-parts":[["2011",9]]},"citation-key":"gencInterhemisphericConnectionsShape2011"}}],"schema":"https://github.com/citation-style-language/schema/raw/master/csl-citation.json"}</w:instrText>
      </w:r>
      <w:r>
        <w:fldChar w:fldCharType="separate"/>
      </w:r>
      <w:r>
        <w:t>(Genç et al. 2011)</w:t>
      </w:r>
      <w:r>
        <w:fldChar w:fldCharType="end"/>
      </w:r>
      <w:r>
        <w:t xml:space="preserve">. The authors were able to predict the perception based on structural connectivity data of callosal segments linking both hMT+ regions. However, </w:t>
      </w:r>
      <w:proofErr w:type="gramStart"/>
      <w:r>
        <w:t>functional  data</w:t>
      </w:r>
      <w:proofErr w:type="gramEnd"/>
      <w:r>
        <w:t xml:space="preserve"> connectivity was not addressed in this study. An indirect way of manipulating connectivity has been attempted by using transcranial magnetic stimulation, which increased the sensitivity to one of the possible percepts </w:t>
      </w:r>
      <w:r>
        <w:fldChar w:fldCharType="begin"/>
      </w:r>
      <w:r>
        <w:instrText>ADDIN ZOTERO_ITEM CSL_CITATION {"citationID":"uQeTbqCq","properties":{"formattedCitation":"(Chiappini et al. 2022)","plainCitation":"(Chiappini et al. 2022)","noteIndex":0},"citationItems":[{"id":826,"uris":["http://zotero.org/users/9021334/items/AII3LZW7"],"itemData":{"id":826,"type":"article-journal","container-title":"Current Biology","DOI":"10.1016/j.cub.2022.07.050","ISSN":"09609822","issue":"18","journalAbbreviation":"Current Biology","language":"en","page":"4064-4070.e3","source":"DOI.org (Crossref)","title":"Increasing interhemispheric connectivity between human visual motion areas uncovers asymmetric sensitivity to horizontal motion","volume":"32","author":[{"family":"Chiappini","given":"Emilio"},{"family":"Sel","given":"Alejandra"},{"family":"Hibbard","given":"Paul B."},{"family":"Avenanti","given":"Alessio"},{"family":"Romei","given":"Vincenzo"}],"issued":{"date-parts":[["2022",9]]},"citation-key":"chiappiniIncreasingInterhemisphericConnectivity2022"}}],"schema":"https://github.com/citation-style-language/schema/raw/master/csl-citation.json"}</w:instrText>
      </w:r>
      <w:r>
        <w:fldChar w:fldCharType="separate"/>
      </w:r>
      <w:r>
        <w:t>(Chiappini et al. 2022)</w:t>
      </w:r>
      <w:r>
        <w:fldChar w:fldCharType="end"/>
      </w:r>
      <w:r>
        <w:t>.</w:t>
      </w:r>
    </w:p>
    <w:p w14:paraId="5B64AC03" w14:textId="77777777" w:rsidR="006E251F" w:rsidRDefault="00000000">
      <w:r>
        <w:t xml:space="preserve">When we analyze the volumes around the transition between coherent and incoherent perceptual states, as reported by the participants, we found a decrease in interhemispheric correlation after switching to the incoherent percept and an increase after switching to the coherent percept (Figure 4), generalizing the findings of </w:t>
      </w:r>
      <w:r>
        <w:fldChar w:fldCharType="begin"/>
      </w:r>
      <w:r>
        <w:instrText>ADDIN ZOTERO_ITEM CSL_CITATION {"citationID":"J8xHL3BS","properties":{"formattedCitation":"(Sousa et al. 2019)","plainCitation":"(Sousa et al. 2019)","noteIndex":0},"citationItems":[{"id":705,"uris":["http://zotero.org/users/9021334/items/EL7I2EMZ"],"itemData":{"id":705,"type":"article-journal","abstract":"Abstract\n            The role of long-range integration mechanisms underlying visual perceptual binding and their link to interhemispheric functional connectivity, as measured by fMRI, remains elusive. Only inferences on anatomical organization from resting state data paradigms not requiring coherent binding have been achieved. Here, we used a paradigm that allowed us to study such relation between perceptual interpretation and functional connectivity under bistable interhemispheric binding vs. non-binding of visual surfaces. Binding occurs by long-range perceptual integration of motion into a single object across hemifields and non-binding reflects opponent segregation of distinct moving surfaces into each hemifield. We hypothesized that perceptual integration vs. segregation of surface motion, which is achieved in visual area hMT+, is modulated by changes in interhemispheric connectivity in this region. Using 7T fMRI, we found that perceptual long-range integration of bistable motion can be tracked by changes in interhemispheric functional connectivity between left/right hMT+. Increased connectivity was tightly related with long-range perceptual integration. Our results indicate that hMT+ interhemispheric functional connectivity reflects perceptual decision, suggesting its pivotal role on long-range disambiguation of bistable physically constant surface motion. We reveal for the first time, at the scale of fMRI, a relation between interhemispheric functional connectivity and decision based perceptual binding.","container-title":"Scientific Reports","DOI":"10.1038/s41598-018-37822-x","ISSN":"2045-2322","issue":"1","journalAbbreviation":"Sci Rep","language":"en","page":"1242","source":"DOI.org (Crossref)","title":"Tracking perceptual decision mechanisms through changes in interhemispheric functional connectivity in human visual cortex","volume":"9","author":[{"family":"Sousa","given":"Teresa"},{"family":"Duarte","given":"João V."},{"family":"Costa","given":"Gabriel N."},{"family":"Kemper","given":"Valentin G."},{"family":"Martins","given":"Ricardo"},{"family":"Goebel","given":"Rainer"},{"family":"Castelo-Branco","given":"Miguel"}],"issued":{"date-parts":[["2019",2,4]]},"citation-key":"sousaTrackingPerceptualDecision2019"}}],"schema":"https://github.com/citation-style-language/schema/raw/master/csl-citation.json"}</w:instrText>
      </w:r>
      <w:r>
        <w:fldChar w:fldCharType="separate"/>
      </w:r>
      <w:r>
        <w:t>(Sousa et al. 2019)</w:t>
      </w:r>
      <w:r>
        <w:fldChar w:fldCharType="end"/>
      </w:r>
      <w:r>
        <w:t xml:space="preserve"> to even spatially overlapping elements. </w:t>
      </w:r>
    </w:p>
    <w:p w14:paraId="4027D36B" w14:textId="77777777" w:rsidR="006E251F" w:rsidRDefault="00000000">
      <w:pPr>
        <w:rPr>
          <w:b/>
          <w:bCs/>
        </w:rPr>
      </w:pPr>
      <w:r>
        <w:t>As a control analysis, we also estimated partial correlation using subject-specific primary visual cortex (V1) ROIs as control regions. This allowed us to exclude possible coactivation effects and the contribution of low-level features of the stimulation. The connectivity results, which can be found in supplementary materials, allow for the same conclusions. We then confirm the role of hMT+ in processing moving stimuli that require perceptual integration, a finding which was replicated for all TRs</w:t>
      </w:r>
      <w:r>
        <w:rPr>
          <w:b/>
          <w:bCs/>
        </w:rPr>
        <w:t>.</w:t>
      </w:r>
    </w:p>
    <w:p w14:paraId="52E69207" w14:textId="77777777" w:rsidR="006E251F" w:rsidRDefault="00000000">
      <w:pPr>
        <w:pStyle w:val="Heading2"/>
      </w:pPr>
      <w:bookmarkStart w:id="14" w:name="_v38r8lml5ji8"/>
      <w:bookmarkEnd w:id="14"/>
      <w:r>
        <w:t>Functional connectivity as a candidate marker of perceptual transitions</w:t>
      </w:r>
    </w:p>
    <w:p w14:paraId="727CEE6E" w14:textId="77777777" w:rsidR="006E251F" w:rsidRDefault="00000000">
      <w:r>
        <w:t xml:space="preserve">We found interhemispheric functional connectivity </w:t>
      </w:r>
      <w:r>
        <w:rPr>
          <w:b/>
          <w:bCs/>
        </w:rPr>
        <w:t>of hMT+</w:t>
      </w:r>
      <w:r>
        <w:t xml:space="preserve"> can be replicated across different TRs, although it was more informative of the type of perceptual transition for the higher-resolution sequences (Figures 5 and 6) when a simple rule was used to determine a perceptual switch. We emphasise that the connectivity effect itself was consistent across all temporal resolutions, and that only the detection metrics derived from a simple thresholding rule differed for the lowest-resolution sequence (TR = 2.5 s). These results position interhemispheric connectivity as a promising candidate marker of perceptual state, with full validation as a biomarker to be established in future work assessing its predictive value at the single-trial or single-subject level. This information could be helpful if, in future studies, one wishes to develop an automatic, real-time perceptual switch detection system.</w:t>
      </w:r>
    </w:p>
    <w:p w14:paraId="3DD3F4A3" w14:textId="77777777" w:rsidR="006E251F" w:rsidRDefault="00000000">
      <w:pPr>
        <w:pStyle w:val="Heading2"/>
      </w:pPr>
      <w:bookmarkStart w:id="15" w:name="_mi8r3v91k9l8"/>
      <w:bookmarkEnd w:id="15"/>
      <w:r>
        <w:t>Trade-offs and compromises</w:t>
      </w:r>
    </w:p>
    <w:p w14:paraId="075CE2AA" w14:textId="77777777" w:rsidR="006E251F" w:rsidRDefault="00000000">
      <w:r>
        <w:lastRenderedPageBreak/>
        <w:t xml:space="preserve">The neural processes studied with fMRI can be interpreted as a representation of </w:t>
      </w:r>
      <w:r>
        <w:rPr>
          <w:b/>
          <w:bCs/>
        </w:rPr>
        <w:t>a low</w:t>
      </w:r>
      <w:r>
        <w:t xml:space="preserve">-pass filter of the local field potentials, showing that neural patterns can also be found in the BOLD signal, a particularly relevant feature for connectivity methods applied to fMRI data </w:t>
      </w:r>
      <w:r>
        <w:fldChar w:fldCharType="begin"/>
      </w:r>
      <w:r>
        <w:instrText>ADDIN ZOTERO_ITEM CSL_CITATION {"citationID":"CDOZMHUI","properties":{"formattedCitation":"(Fernandes et al. 2020)","plainCitation":"(Fernandes et al. 2020)","noteIndex":0},"citationItems":[{"id":724,"uris":["http://zotero.org/users/9021334/items/NNFTS9WG"],"itemData":{"id":724,"type":"article-journal","abstract":"Background: The analysis of connectivity has become a fundamental tool in human neuroscience. Granger Causality Mapping is a data-driven method that uses Granger Causality (GC) to assess the existence and direction of inﬂuence between signals, based on temporal precedence of information. More recently, a theory of Granger causality has been developed for state-space (SS-GC) processes, but little is known about its statistical validation and application on functional magnetic resonance imaging (fMRI) data. New method: We explored diﬀerent multivariate computational frameworks to deﬁne the optimal combination for GC estimation. We hypothesized a new heuristic, combining SS-GC with a distinct statistical validation technique, Time Reversed Testing, validating it on synthetic data. We test its performance with a number of experimental parameters, including block structure, sampling frequency, noise and system mean pairwise correlation, using a statistical framework of binary classiﬁcation.\nResults: We found that SS-GC with time reversed testing outperforms other frameworks. The results validate the application of SS-GC to generative models. When estimating reliable causal relations, SS-GC returns promising results, especially when considering synthetic data with a high impact of noise and sampling rate.\nConclusions: In this study, we empirically explored the boundaries of SS-GC with time reversed testing, a datadriven causality analysis framework with potential applicability to fMRI data.","container-title":"Journal of Neuroscience Methods","DOI":"10.1016/j.jneumeth.2020.108758","ISSN":"01650270","journalAbbreviation":"Journal of Neuroscience Methods","language":"en","page":"108758","source":"DOI.org (Crossref)","title":"The boundaries of state-space Granger causality analysis applied to BOLD simulated data: A comparative modelling and simulation approach","title-short":"The boundaries of state-space Granger causality analysis applied to BOLD simulated data","volume":"341","author":[{"family":"Fernandes","given":"Tiago Timóteo"},{"family":"Direito","given":"Bruno"},{"family":"Sayal","given":"Alexandre"},{"family":"Pereira","given":"João"},{"family":"Andrade","given":"Alexandre"},{"family":"Castelo-Branco","given":"Miguel"}],"issued":{"date-parts":[["2020",7]]},"citation-key":"fernandesBoundariesStatespaceGranger2020"}}],"schema":"https://github.com/citation-style-language/schema/raw/master/csl-citation.json"}</w:instrText>
      </w:r>
      <w:r>
        <w:fldChar w:fldCharType="separate"/>
      </w:r>
      <w:r>
        <w:t>(Fernandes et al. 2020)</w:t>
      </w:r>
      <w:r>
        <w:fldChar w:fldCharType="end"/>
      </w:r>
      <w:r>
        <w:t>. While the temporal resolution of this neuroimaging technique is far from others, such as electroencephalography, lowering the TR can provide us with a better sampling of the HRF and more certainty when studying brain connectivity with functional MRI.</w:t>
      </w:r>
    </w:p>
    <w:p w14:paraId="1170583F" w14:textId="77777777" w:rsidR="006E251F" w:rsidRDefault="00000000">
      <w:r>
        <w:t xml:space="preserve">Distinguishing between MT and MST responses would provide valuable insight, particularly at high field strength (7T), where the increased spatial resolution could help resolve the known functional differences between these subregions - such as MT’s preference for contralateral, retinotopically organized motion and MST’s involvement in more global, integrative motion processing </w:t>
      </w:r>
      <w:r>
        <w:fldChar w:fldCharType="begin"/>
      </w:r>
      <w:r>
        <w:instrText>ADDIN ZOTERO_ITEM CSL_CITATION {"citationID":"LH7lVVBy","properties":{"formattedCitation":"(Huk, Dougherty, and Heeger 2002)","plainCitation":"(Huk, Dougherty, and Heeger 2002)","noteIndex":0},"citationItems":[{"id":1485,"uris":["http://zotero.org/users/9021334/items/CVK5P4R8"],"itemData":{"id":1485,"type":"article-journal","container-title":"The Journal of Neuroscience","DOI":"10.1523/JNEUROSCI.22-16-07195.2002","ISSN":"0270-6474, 1529-2401","issue":"16","journalAbbreviation":"J. Neurosci.","language":"en","page":"7195-7205","source":"DOI.org (Crossref)","title":"Retinotopy and Functional Subdivision of Human Areas MT and MST","volume":"22","author":[{"family":"Huk","given":"Alexander C."},{"family":"Dougherty","given":"Robert F."},{"family":"Heeger","given":"David J."}],"issued":{"date-parts":[["2002",8,15]]},"citation-key":"hukRetinotopyFunctionalSubdivision2002"}}],"schema":"https://github.com/citation-style-language/schema/raw/master/csl-citation.json"}</w:instrText>
      </w:r>
      <w:r>
        <w:fldChar w:fldCharType="separate"/>
      </w:r>
      <w:r>
        <w:t>(Huk, Dougherty, and Heeger 2002)</w:t>
      </w:r>
      <w:r>
        <w:fldChar w:fldCharType="end"/>
      </w:r>
      <w:r>
        <w:t>. Our analyses were conducted at the level of the broader hMT+ complex, which may combine MT and MST signals; because the stimulus was physically constant across percepts, however, this is unlikely to account for the percept-dependent modulation of interhemispheric coupling that we observe.</w:t>
      </w:r>
    </w:p>
    <w:p w14:paraId="1DF61D1D" w14:textId="77777777" w:rsidR="006E251F" w:rsidRDefault="00000000">
      <w:pPr>
        <w:pStyle w:val="Heading1"/>
      </w:pPr>
      <w:r>
        <w:t>Conclusion</w:t>
      </w:r>
    </w:p>
    <w:p w14:paraId="05C7AC2B" w14:textId="77777777" w:rsidR="006E251F" w:rsidRDefault="00000000">
      <w:r>
        <w:t>In conclusion, our study generalizes the hypothesis that interhemispheric connectivity reflects perceptual integration and binding even for spatially segregated elements, which was replicated at multiple temporal resolutions at 3 T.</w:t>
      </w:r>
    </w:p>
    <w:p w14:paraId="58249DCD" w14:textId="77777777" w:rsidR="006E251F" w:rsidRDefault="00000000">
      <w:pPr>
        <w:pStyle w:val="Heading1"/>
      </w:pPr>
      <w:r>
        <w:t>Conflict of Interest</w:t>
      </w:r>
    </w:p>
    <w:p w14:paraId="0FC69373" w14:textId="77777777" w:rsidR="006E251F" w:rsidRDefault="00000000">
      <w:r>
        <w:t>The authors declare that the research was conducted in the absence of any commercial or financial relationships that could be construed as a potential conflict of interest.</w:t>
      </w:r>
    </w:p>
    <w:p w14:paraId="50134B50" w14:textId="77777777" w:rsidR="006E251F" w:rsidRDefault="00000000">
      <w:pPr>
        <w:pStyle w:val="Heading1"/>
      </w:pPr>
      <w:bookmarkStart w:id="16" w:name="_p4w8ckqktqzd"/>
      <w:bookmarkEnd w:id="16"/>
      <w:r>
        <w:t>Author contributions</w:t>
      </w:r>
    </w:p>
    <w:p w14:paraId="0F3D202C" w14:textId="77777777" w:rsidR="006E251F" w:rsidRDefault="00000000">
      <w:r>
        <w:t>Conceptualization: AS, BD, TS, JVD, SA, MCB; Data curation: AS; Formal analysis: AS; Funding acquisition: MCB; Methodology: AS, BD, TS, JVD, MCB; Supervision: BD, TS, MCB; Visualization: AS, BD, TS; Writing – original draft: AS, BD, TS; Writing – review and editing: AS, BD, TS, JVD, SA, MCB.</w:t>
      </w:r>
    </w:p>
    <w:p w14:paraId="3707DEDF" w14:textId="77777777" w:rsidR="006E251F" w:rsidRDefault="00000000">
      <w:pPr>
        <w:pStyle w:val="Heading1"/>
      </w:pPr>
      <w:r>
        <w:t>Funding</w:t>
      </w:r>
    </w:p>
    <w:p w14:paraId="43FDF544" w14:textId="77777777" w:rsidR="006E251F" w:rsidRDefault="00000000">
      <w:r>
        <w:t>This work was supported by the Portuguese Foundation for Science and Technology (FCT) (UIDB/04950/2025, UIDP/04950/</w:t>
      </w:r>
      <w:proofErr w:type="gramStart"/>
      <w:r>
        <w:t xml:space="preserve">2025,  </w:t>
      </w:r>
      <w:r>
        <w:rPr>
          <w:lang w:val="en-GB"/>
        </w:rPr>
        <w:t>MedImSig</w:t>
      </w:r>
      <w:proofErr w:type="gramEnd"/>
      <w:r>
        <w:rPr>
          <w:lang w:val="en-GB"/>
        </w:rPr>
        <w:t>, Centro2030-2024-76</w:t>
      </w:r>
      <w:r>
        <w:t> </w:t>
      </w:r>
      <w:proofErr w:type="gramStart"/>
      <w:r>
        <w:t>2022.02963.PTDC</w:t>
      </w:r>
      <w:proofErr w:type="gramEnd"/>
      <w:r>
        <w:t xml:space="preserve"> ,</w:t>
      </w:r>
      <w:hyperlink>
        <w:r w:rsidR="006E251F">
          <w:rPr>
            <w:rStyle w:val="Hyperlink"/>
          </w:rPr>
          <w:t>https://doi.org/10.54499/2022.02963.PTDC</w:t>
        </w:r>
      </w:hyperlink>
      <w:r>
        <w:t xml:space="preserve">,  LA/P/0104/2020, UIDB/00326/2020, </w:t>
      </w:r>
      <w:proofErr w:type="gramStart"/>
      <w:r>
        <w:t>2023.04365.BD</w:t>
      </w:r>
      <w:proofErr w:type="gramEnd"/>
      <w:r>
        <w:t xml:space="preserve">, CEECINST/00117/2021/CP2784/CT0002, </w:t>
      </w:r>
      <w:proofErr w:type="gramStart"/>
      <w:r>
        <w:t>2022.04701.PTDC</w:t>
      </w:r>
      <w:proofErr w:type="gramEnd"/>
      <w:r>
        <w:t xml:space="preserve">, </w:t>
      </w:r>
      <w:proofErr w:type="gramStart"/>
      <w:r>
        <w:t>2021.01469.CEECIND</w:t>
      </w:r>
      <w:proofErr w:type="gramEnd"/>
      <w:r>
        <w:t>, CEECINSTLA/00026/2022) and Siemens Healthineers Portugal (PhD grant).</w:t>
      </w:r>
    </w:p>
    <w:p w14:paraId="00B70CE5" w14:textId="77777777" w:rsidR="006E251F" w:rsidRDefault="00000000">
      <w:pPr>
        <w:pStyle w:val="Heading1"/>
      </w:pPr>
      <w:r>
        <w:t>Data Availability Statement</w:t>
      </w:r>
    </w:p>
    <w:p w14:paraId="097662D8" w14:textId="50E7053D" w:rsidR="006E251F" w:rsidRDefault="00000000">
      <w:r>
        <w:t xml:space="preserve">The datasets generated and analyzed for this study, </w:t>
      </w:r>
      <w:r w:rsidR="00475479">
        <w:t>along</w:t>
      </w:r>
      <w:r>
        <w:t xml:space="preserve"> with the analysis code, </w:t>
      </w:r>
      <w:r w:rsidR="00475479">
        <w:t>ar</w:t>
      </w:r>
      <w:r>
        <w:t xml:space="preserve">e </w:t>
      </w:r>
      <w:r w:rsidR="00475479">
        <w:t>available</w:t>
      </w:r>
      <w:r>
        <w:t xml:space="preserve"> in the</w:t>
      </w:r>
      <w:r w:rsidR="004E39CC">
        <w:t xml:space="preserve"> GitHub</w:t>
      </w:r>
      <w:r>
        <w:t xml:space="preserve"> repository: </w:t>
      </w:r>
      <w:r w:rsidR="004E39CC" w:rsidRPr="004E39CC">
        <w:t>https://github.com/CIBIT-UC/vpmbtr</w:t>
      </w:r>
      <w:r w:rsidR="004E39CC">
        <w:t>.</w:t>
      </w:r>
    </w:p>
    <w:p w14:paraId="1DBAAE0C" w14:textId="77777777" w:rsidR="006E251F" w:rsidRDefault="00000000">
      <w:pPr>
        <w:pStyle w:val="Heading1"/>
        <w:pageBreakBefore/>
      </w:pPr>
      <w:bookmarkStart w:id="17" w:name="_xnsuhum3zn5f"/>
      <w:bookmarkEnd w:id="17"/>
      <w:r>
        <w:lastRenderedPageBreak/>
        <w:t>References</w:t>
      </w:r>
      <w:bookmarkStart w:id="18" w:name="_zcsow6o0mpdb"/>
      <w:bookmarkEnd w:id="18"/>
    </w:p>
    <w:p w14:paraId="1DB3BC78" w14:textId="0E6C8A29" w:rsidR="006E251F" w:rsidRDefault="00000000">
      <w:r>
        <w:t xml:space="preserve">Abraham, Alexandre, Fabian Pedregosa, Michael Eickenberg, Philippe Gervais, Andreas Mueller, Jean Kossaifi, Alexandre Gramfort, Bertrand Thirion, and Gaël Varoquaux. 2014. ‘Machine Learning for Neuroimaging with Scikit-Learn’. </w:t>
      </w:r>
      <w:r>
        <w:rPr>
          <w:i/>
          <w:iCs/>
        </w:rPr>
        <w:t>Frontiers in Neuroinformatics</w:t>
      </w:r>
      <w:r>
        <w:t xml:space="preserve"> 8. https://doi.org/10.3389/fninf.2014.00014.</w:t>
      </w:r>
    </w:p>
    <w:p w14:paraId="135208F9" w14:textId="77777777" w:rsidR="006E251F" w:rsidRDefault="00000000">
      <w:r>
        <w:t xml:space="preserve">Adelson, Edward H., and J. Anthony Movshon. 1982. ‘Phenomenal Coherence of Moving Visual Patterns’. </w:t>
      </w:r>
      <w:r>
        <w:rPr>
          <w:i/>
          <w:iCs/>
        </w:rPr>
        <w:t>Nature</w:t>
      </w:r>
      <w:r>
        <w:t xml:space="preserve"> 300 (5892): 523–25. https://doi.org/10.1038/300523a0.</w:t>
      </w:r>
    </w:p>
    <w:p w14:paraId="4D2EEB38" w14:textId="77777777" w:rsidR="006E251F" w:rsidRDefault="00000000">
      <w:r>
        <w:t xml:space="preserve">Bhandari, Ritu, Evgeniya Kirilina, Matthan Caan, Judith Suttrup, Teresa De Sanctis, Lorenzo De Angelis, Christian Keysers, and Valeria Gazzola. 2020. ‘Does Higher Sampling Rate (Multiband + SENSE) Improve Group Statistics - An Example from Social Neuroscience Block Design at 3T’. </w:t>
      </w:r>
      <w:r>
        <w:rPr>
          <w:i/>
          <w:iCs/>
        </w:rPr>
        <w:t>NeuroImage</w:t>
      </w:r>
      <w:r>
        <w:t xml:space="preserve"> 213 (June):116731. https://doi.org/10.1016/j.neuroimage.2020.116731.</w:t>
      </w:r>
    </w:p>
    <w:p w14:paraId="1C02B2BA" w14:textId="77777777" w:rsidR="006E251F" w:rsidRDefault="00000000">
      <w:r>
        <w:t xml:space="preserve">Brouwer, Gijs Joost, and Raymond Van Ee. 2007. ‘Visual Cortex Allows Prediction of Perceptual States during Ambiguous Structure-From-Motion’. </w:t>
      </w:r>
      <w:r>
        <w:rPr>
          <w:i/>
          <w:iCs/>
        </w:rPr>
        <w:t>The Journal of Neuroscience</w:t>
      </w:r>
      <w:r>
        <w:t xml:space="preserve"> 27 (5): 1015–23. https://doi.org/10.1523/JNEUROSCI.4593-06.2007.</w:t>
      </w:r>
    </w:p>
    <w:p w14:paraId="2E8F509B" w14:textId="77777777" w:rsidR="006E251F" w:rsidRDefault="00000000">
      <w:r>
        <w:t xml:space="preserve">Burwick, Thomas. 2014. ‘The Binding Problem’. </w:t>
      </w:r>
      <w:r>
        <w:rPr>
          <w:i/>
          <w:iCs/>
        </w:rPr>
        <w:t>WIREs Cognitive Science</w:t>
      </w:r>
      <w:r>
        <w:t xml:space="preserve"> 5 (3): 305–15. https://doi.org/10.1002/wcs.1279.</w:t>
      </w:r>
    </w:p>
    <w:p w14:paraId="4B140547" w14:textId="77777777" w:rsidR="006E251F" w:rsidRDefault="00000000">
      <w:r>
        <w:t xml:space="preserve">Chaumillon, Romain, Jean Blouin, and Alain Guillaume. 2018. ‘Interhemispheric Transfer Time Asymmetry of Visual Information Depends on Eye Dominance: An Electrophysiological Study’. </w:t>
      </w:r>
      <w:r>
        <w:rPr>
          <w:i/>
          <w:iCs/>
        </w:rPr>
        <w:t>Frontiers in Neuroscience</w:t>
      </w:r>
      <w:r>
        <w:t xml:space="preserve"> 12 (February):72. https://doi.org/10.3389/fnins.2018.00072.</w:t>
      </w:r>
    </w:p>
    <w:p w14:paraId="5A1B4CC2" w14:textId="77777777" w:rsidR="006E251F" w:rsidRDefault="00000000">
      <w:r>
        <w:t xml:space="preserve">Chen, L., A. T. Vu, J. Xu, S. Moeller, K. Ugurbil, E. Yacoub, and D.A. Feinberg. 2015. ‘Evaluation of Highly Accelerated Simultaneous Multi-Slice EPI for fMRI’. </w:t>
      </w:r>
      <w:r>
        <w:rPr>
          <w:i/>
          <w:iCs/>
        </w:rPr>
        <w:t>NeuroImage</w:t>
      </w:r>
      <w:r>
        <w:t xml:space="preserve"> 104 (January):452–59. https://doi.org/10.1016/j.neuroimage.2014.10.027.</w:t>
      </w:r>
    </w:p>
    <w:p w14:paraId="645C91C1" w14:textId="77777777" w:rsidR="006E251F" w:rsidRDefault="00000000">
      <w:pPr>
        <w:rPr>
          <w:lang w:val="pt-PT"/>
        </w:rPr>
      </w:pPr>
      <w:r>
        <w:t xml:space="preserve">Chiappini, Emilio, Alejandra Sel, Paul B. Hibbard, Alessio Avenanti, and Vincenzo Romei. 2022. ‘Increasing Interhemispheric Connectivity between Human Visual Motion Areas Uncovers Asymmetric Sensitivity to Horizontal Motion’. </w:t>
      </w:r>
      <w:r>
        <w:rPr>
          <w:i/>
          <w:iCs/>
          <w:lang w:val="pt-PT"/>
        </w:rPr>
        <w:t>Current Biology</w:t>
      </w:r>
      <w:r>
        <w:rPr>
          <w:lang w:val="pt-PT"/>
        </w:rPr>
        <w:t xml:space="preserve"> 32 (18): 4064-4070.e3. https://doi.org/10.1016/j.cub.2022.07.050.</w:t>
      </w:r>
    </w:p>
    <w:p w14:paraId="4E508CCD" w14:textId="77777777" w:rsidR="006E251F" w:rsidRDefault="00000000">
      <w:r>
        <w:rPr>
          <w:lang w:val="pt-PT"/>
        </w:rPr>
        <w:t xml:space="preserve">Costa, Gabriel Nascimento, Michael Schaum, João Valente Duarte, Ricardo Martins, Isabel Catarina Duarte, João Castelhano, Michael Wibral, and Miguel Castelo‐Branco. </w:t>
      </w:r>
      <w:r>
        <w:t xml:space="preserve">2024. ‘Distinct Oscillatory Patterns Differentiate between Segregation and Integration Processes in Perceptual Grouping’. </w:t>
      </w:r>
      <w:r>
        <w:rPr>
          <w:i/>
          <w:iCs/>
        </w:rPr>
        <w:t>Human Brain Mapping</w:t>
      </w:r>
      <w:r>
        <w:t xml:space="preserve"> 45 (12): e26779. https://doi.org/10.1002/hbm.26779.</w:t>
      </w:r>
    </w:p>
    <w:p w14:paraId="03367FB3" w14:textId="77777777" w:rsidR="006E251F" w:rsidRDefault="00000000">
      <w:r>
        <w:t xml:space="preserve">Darányi, Virág, Petra Hermann, István Homolya, Zoltán Vidnyánszky, and Zoltan Nagy. 2021. ‘An Empirical Investigation of the Benefit of Increasing the Temporal Resolution of Task-Evoked fMRI Data with Multi-Band Imaging’. </w:t>
      </w:r>
      <w:r>
        <w:rPr>
          <w:i/>
          <w:iCs/>
        </w:rPr>
        <w:t>Magnetic Resonance Materials in Physics, Biology and Medicine</w:t>
      </w:r>
      <w:r>
        <w:t xml:space="preserve"> 34 (5): 667–76. https://doi.org/10.1007/s10334-021-00918-z.</w:t>
      </w:r>
    </w:p>
    <w:p w14:paraId="5CCDA6BB" w14:textId="77777777" w:rsidR="006E251F" w:rsidRDefault="00000000">
      <w:pPr>
        <w:rPr>
          <w:lang w:val="pt-PT"/>
        </w:rPr>
      </w:pPr>
      <w:r>
        <w:t xml:space="preserve">Demetriou, Lysia, Oliwia S. Kowalczyk, Gabriella Tyson, Thomas Bello, Rexford D. Newbould, and Matthew B. Wall. 2018. ‘A Comprehensive Evaluation of Increasing Temporal Resolution with Multiband-Accelerated Protocols and Effects on Statistical Outcome Measures in fMRI’. </w:t>
      </w:r>
      <w:r>
        <w:rPr>
          <w:i/>
          <w:iCs/>
          <w:lang w:val="pt-PT"/>
        </w:rPr>
        <w:t>NeuroImage</w:t>
      </w:r>
      <w:r>
        <w:rPr>
          <w:lang w:val="pt-PT"/>
        </w:rPr>
        <w:t xml:space="preserve"> 176 (August):404–16. https://doi.org/10.1016/j.neuroimage.2018.05.011.</w:t>
      </w:r>
    </w:p>
    <w:p w14:paraId="58823052" w14:textId="77777777" w:rsidR="006E251F" w:rsidRDefault="00000000">
      <w:r>
        <w:rPr>
          <w:lang w:val="pt-PT"/>
        </w:rPr>
        <w:lastRenderedPageBreak/>
        <w:t xml:space="preserve">Duarte, João Valente, Gabriel Nascimento Costa, Ricardo Martins, and Miguel Castelo‐Branco. </w:t>
      </w:r>
      <w:r>
        <w:t xml:space="preserve">2017. ‘Pivotal Role of hMT+ in Long‐range Disambiguation of Interhemispheric Bistable Surface Motion’. </w:t>
      </w:r>
      <w:r>
        <w:rPr>
          <w:i/>
          <w:iCs/>
        </w:rPr>
        <w:t>Human Brain Mapping</w:t>
      </w:r>
      <w:r>
        <w:t xml:space="preserve"> 38 (10): 4882–97. https://doi.org/10.1002/hbm.23701.</w:t>
      </w:r>
    </w:p>
    <w:p w14:paraId="1584A936" w14:textId="77777777" w:rsidR="006E251F" w:rsidRDefault="00000000">
      <w:r>
        <w:t xml:space="preserve">Esteban, Oscar, Daniel Birman, Marie Schaer, Oluwasanmi O. Koyejo, Russell A. Poldrack, and Krzysztof J. Gorgolewski. 2017. ‘MRIQC: Advancing the Automatic Prediction of Image Quality in MRI from Unseen Sites’. Edited by Boris C Bernhardt. </w:t>
      </w:r>
      <w:r>
        <w:rPr>
          <w:i/>
          <w:iCs/>
        </w:rPr>
        <w:t>PLOS ONE</w:t>
      </w:r>
      <w:r>
        <w:t xml:space="preserve"> 12 (9): e0184661. https://doi.org/10.1371/journal.pone.0184661.</w:t>
      </w:r>
    </w:p>
    <w:p w14:paraId="1D5C33EB" w14:textId="77777777" w:rsidR="006E251F" w:rsidRDefault="00000000">
      <w:r>
        <w:t>Esteban, Oscar, Christopher J. Markiewicz, Christopher Burns, Mathias Goncalves, Dorota Jarecka, Erik Ziegler, Shoshana Berleant, et al. 2022. ‘Nipy/Nipype: 1.8.3’. Zenodo. https://doi.org/10.5281/ZENODO.596855.</w:t>
      </w:r>
    </w:p>
    <w:p w14:paraId="754073CB" w14:textId="77777777" w:rsidR="006E251F" w:rsidRDefault="00000000">
      <w:r>
        <w:t>Esteban, Oscar, Christopher J. Markiewicz, Mathias Goncalves, Céline Provins, James D. Kent, Elizabeth DuPre, Taylor Salo, et al. 2023. ‘fMRIPrep: A Robust Preprocessing Pipeline for Functional MRI’. Zenodo. https://doi.org/10.5281/ZENODO.852659.</w:t>
      </w:r>
    </w:p>
    <w:p w14:paraId="44A72024" w14:textId="77777777" w:rsidR="006E251F" w:rsidRDefault="00000000">
      <w:pPr>
        <w:rPr>
          <w:lang w:val="pt-PT"/>
        </w:rPr>
      </w:pPr>
      <w:r>
        <w:t xml:space="preserve">Feinberg, David A., Steen Moeller, Stephen M. Smith, Edward Auerbach, Sudhir Ramanna, Matt F. Glasser, Karla L. Miller, Kamil Ugurbil, and Essa Yacoub. 2010. ‘Multiplexed Echo Planar Imaging for Sub-Second Whole Brain FMRI and Fast Diffusion Imaging’. </w:t>
      </w:r>
      <w:r>
        <w:rPr>
          <w:i/>
          <w:iCs/>
          <w:lang w:val="pt-PT"/>
        </w:rPr>
        <w:t>PLOS ONE</w:t>
      </w:r>
      <w:r>
        <w:rPr>
          <w:lang w:val="pt-PT"/>
        </w:rPr>
        <w:t xml:space="preserve"> 5 (12): e15710. https://doi.org/10.1371/journal.pone.0015710.</w:t>
      </w:r>
    </w:p>
    <w:p w14:paraId="5A88E669" w14:textId="77777777" w:rsidR="006E251F" w:rsidRDefault="00000000">
      <w:r>
        <w:rPr>
          <w:lang w:val="pt-PT"/>
        </w:rPr>
        <w:t xml:space="preserve">Fernandes, Tiago Timóteo, Bruno Direito, Alexandre Sayal, João Pereira, Alexandre Andrade, and Miguel Castelo-Branco. </w:t>
      </w:r>
      <w:r>
        <w:t xml:space="preserve">2020. ‘The Boundaries of State-Space Granger Causality Analysis Applied to BOLD Simulated Data: A Comparative Modelling and Simulation Approach’. </w:t>
      </w:r>
      <w:r>
        <w:rPr>
          <w:i/>
          <w:iCs/>
        </w:rPr>
        <w:t>Journal of Neuroscience Methods</w:t>
      </w:r>
      <w:r>
        <w:t xml:space="preserve"> 341 (July):108758. https://doi.org/10.1016/j.jneumeth.2020.108758.</w:t>
      </w:r>
    </w:p>
    <w:p w14:paraId="50FC221C" w14:textId="77777777" w:rsidR="006E251F" w:rsidRDefault="00000000">
      <w:r>
        <w:t xml:space="preserve">Genç, Erhan, Johanna Bergmann, Wolf Singer, and Axel Kohler. 2011. ‘Interhemispheric Connections Shape Subjective Experience of Bistable Motion’. </w:t>
      </w:r>
      <w:r>
        <w:rPr>
          <w:i/>
          <w:iCs/>
        </w:rPr>
        <w:t>Current Biology</w:t>
      </w:r>
      <w:r>
        <w:t xml:space="preserve"> 21 (17): 1494–99. https://doi.org/10.1016/j.cub.2011.08.003.</w:t>
      </w:r>
    </w:p>
    <w:p w14:paraId="73B56F73" w14:textId="77777777" w:rsidR="006E251F" w:rsidRDefault="00000000">
      <w:r>
        <w:t xml:space="preserve">Gorgolewski, Krzysztof, Christopher D. Burns, Cindee Madison, Dav Clark, Yaroslav O. Halchenko, Michael L. Waskom, and Satrajit S. Ghosh. 2011. ‘Nipype: A Flexible, Lightweight and Extensible Neuroimaging Data Processing Framework in Python’. </w:t>
      </w:r>
      <w:r>
        <w:rPr>
          <w:i/>
          <w:iCs/>
        </w:rPr>
        <w:t>Frontiers in Neuroinformatics</w:t>
      </w:r>
      <w:r>
        <w:t xml:space="preserve"> 5. https://doi.org/10.3389/fninf.2011.00013.</w:t>
      </w:r>
    </w:p>
    <w:p w14:paraId="12818278" w14:textId="77777777" w:rsidR="006E251F" w:rsidRDefault="00000000">
      <w:r>
        <w:t xml:space="preserve">Gorgolewski, Krzysztof J., Tibor Auer, Vince D. Calhoun, R. Cameron Craddock, Samir Das, Eugene P. Duff, Guillaume Flandin, et al. 2016. ‘The Brain Imaging Data Structure, a Format for Organizing and Describing Outputs of Neuroimaging Experiments’. </w:t>
      </w:r>
      <w:r>
        <w:rPr>
          <w:i/>
          <w:iCs/>
        </w:rPr>
        <w:t>Scientific Data</w:t>
      </w:r>
      <w:r>
        <w:t xml:space="preserve"> 3 (1): 160044. https://doi.org/10.1038/sdata.2016.44.</w:t>
      </w:r>
    </w:p>
    <w:p w14:paraId="0D76FA75" w14:textId="77777777" w:rsidR="006E251F" w:rsidRDefault="00000000">
      <w:r>
        <w:t xml:space="preserve">Huk, Alexander C., Robert F. Dougherty, and David J. Heeger. 2002. ‘Retinotopy and Functional Subdivision of Human Areas MT and MST’. </w:t>
      </w:r>
      <w:r>
        <w:rPr>
          <w:i/>
          <w:iCs/>
        </w:rPr>
        <w:t>The Journal of Neuroscience</w:t>
      </w:r>
      <w:r>
        <w:t xml:space="preserve"> 22 (16): 7195–7205. https://doi.org/10.1523/JNEUROSCI.22-16-07195.2002.</w:t>
      </w:r>
    </w:p>
    <w:p w14:paraId="28730B36" w14:textId="77777777" w:rsidR="006E251F" w:rsidRDefault="00000000">
      <w:r>
        <w:t xml:space="preserve">Jahanian, Hesamoddin, Samantha Holdsworth, Thomas Christen, Hua Wu, Kangrong Zhu, Adam B. Kerr, Matthew J. Middione, Robert F. Dougherty, Michael Moseley, and Greg Zaharchuk. 2019. ‘Advantages of Short Repetition Time Resting-State Functional MRI Enabled by Simultaneous Multi-Slice Imaging’. </w:t>
      </w:r>
      <w:r>
        <w:rPr>
          <w:i/>
          <w:iCs/>
        </w:rPr>
        <w:t>Journal of Neuroscience Methods</w:t>
      </w:r>
      <w:r>
        <w:t xml:space="preserve"> 311 (January):122–32. https://doi.org/10.1016/j.jneumeth.2018.09.033.</w:t>
      </w:r>
    </w:p>
    <w:p w14:paraId="6081CCA4" w14:textId="77777777" w:rsidR="006E251F" w:rsidRDefault="00000000">
      <w:r>
        <w:rPr>
          <w:lang w:val="pt-PT"/>
        </w:rPr>
        <w:lastRenderedPageBreak/>
        <w:t xml:space="preserve">Kozak, Lajos R., and Miguel Castelo-Branco. </w:t>
      </w:r>
      <w:r>
        <w:t xml:space="preserve">2009. ‘Peripheral Influences on Motion Integration in Foveal Vision Are Modulated by Central Local Ambiguity and Center-Surround Congruence’. </w:t>
      </w:r>
      <w:r>
        <w:rPr>
          <w:i/>
          <w:iCs/>
        </w:rPr>
        <w:t>Investigative Opthalmology &amp; Visual Science</w:t>
      </w:r>
      <w:r>
        <w:t xml:space="preserve"> 50 (2): 980. https://doi.org/10.1167/iovs.08-2094.</w:t>
      </w:r>
    </w:p>
    <w:p w14:paraId="6E9487FE" w14:textId="77777777" w:rsidR="006E251F" w:rsidRDefault="00000000">
      <w:r>
        <w:t xml:space="preserve">Li, Xiangrui, Paul S. Morgan, John Ashburner, Jolinda Smith, and Christopher Rorden. 2016. ‘The First Step for Neuroimaging Data Analysis: DICOM to NIfTI Conversion’. </w:t>
      </w:r>
      <w:r>
        <w:rPr>
          <w:i/>
          <w:iCs/>
        </w:rPr>
        <w:t>Journal of Neuroscience Methods</w:t>
      </w:r>
      <w:r>
        <w:t xml:space="preserve"> 264 (May):47–56. https://doi.org/10.1016/j.jneumeth.2016.03.001.</w:t>
      </w:r>
    </w:p>
    <w:p w14:paraId="53320200" w14:textId="77777777" w:rsidR="006E251F" w:rsidRDefault="00000000">
      <w:r>
        <w:t xml:space="preserve">Lippert, Michael T., Thomas Steudel, Frank Ohl, Nikos K. Logothetis, and Christoph Kayser. 2010. ‘Coupling of Neural Activity and fMRI-BOLD in the Motion Area MT’. </w:t>
      </w:r>
      <w:r>
        <w:rPr>
          <w:i/>
          <w:iCs/>
        </w:rPr>
        <w:t>Magnetic Resonance Imaging</w:t>
      </w:r>
      <w:r>
        <w:t xml:space="preserve"> 28 (8): 1087–94. https://doi.org/10.1016/j.mri.2009.12.028.</w:t>
      </w:r>
    </w:p>
    <w:p w14:paraId="4083950A" w14:textId="77777777" w:rsidR="006E251F" w:rsidRDefault="00000000">
      <w:r>
        <w:t>Logothetis, Nikos K., Jon Pauls, Mark Augath, Torsten Trinath, and Axel Oeltermann. 2001. ‘Neurophysiological Investigation of the Basis of the fMRI Signal’. Nature 412 (6843): 150–57. https://doi.org/10.1038/35084005.</w:t>
      </w:r>
    </w:p>
    <w:p w14:paraId="12F96EB6" w14:textId="77777777" w:rsidR="006E251F" w:rsidRDefault="00000000">
      <w:r>
        <w:t xml:space="preserve">Magri, Cesare, Ulrich Schridde, Yusuke Murayama, Stefano Panzeri, and Nikos K. Logothetis. 2012. ‘The Amplitude and Timing of the BOLD Signal Reflects the Relationship between Local Field Potential Power at Different Frequencies’. </w:t>
      </w:r>
      <w:r>
        <w:rPr>
          <w:i/>
          <w:iCs/>
        </w:rPr>
        <w:t>The Journal of Neuroscience</w:t>
      </w:r>
      <w:r>
        <w:t xml:space="preserve"> 32 (4): 1395–1407. https://doi.org/10.1523/JNEUROSCI.3985-11.2012.</w:t>
      </w:r>
    </w:p>
    <w:p w14:paraId="0618F9F0" w14:textId="77777777" w:rsidR="006E251F" w:rsidRDefault="00000000">
      <w:r>
        <w:t xml:space="preserve">Oldfield, R.C. 1971. ‘The Assessment and Analysis of Handedness: The Edinburgh Inventory’. </w:t>
      </w:r>
      <w:r>
        <w:rPr>
          <w:i/>
          <w:iCs/>
        </w:rPr>
        <w:t>Neuropsychologia</w:t>
      </w:r>
      <w:r>
        <w:t xml:space="preserve"> 9 (1): 97–113. https://doi.org/10.1016/0028-3932(71)90067-4.</w:t>
      </w:r>
    </w:p>
    <w:p w14:paraId="07391A0C" w14:textId="77777777" w:rsidR="006E251F" w:rsidRDefault="00000000">
      <w:r>
        <w:t xml:space="preserve">Pan, Wen-Ju, Garth John Thompson, Matthew Evan Magnuson, Dieter Jaeger, and Shella Keilholz. 2013. ‘Infraslow LFP Correlates to Resting-State fMRI BOLD Signals’. </w:t>
      </w:r>
      <w:r>
        <w:rPr>
          <w:i/>
          <w:iCs/>
        </w:rPr>
        <w:t>NeuroImage</w:t>
      </w:r>
      <w:r>
        <w:t xml:space="preserve"> 74 (July):288–97. https://doi.org/10.1016/j.neuroimage.2013.02.035.</w:t>
      </w:r>
    </w:p>
    <w:p w14:paraId="34A8F821" w14:textId="77777777" w:rsidR="006E251F" w:rsidRDefault="00000000">
      <w:r>
        <w:t xml:space="preserve">Renz, Malika P., Francesca Zidda, Jamila Andoh, Marcel Prager, Markus Sack, Robert Becker, Matthias Ruf, et al. 2023. ‘Practical Challenges of Continuous Real‐time Functional Magnetic Resonance Imaging Neurofeedback with Multiband Accelerated Echo‐planar Imaging and Short Repetition Times’. </w:t>
      </w:r>
      <w:r>
        <w:rPr>
          <w:i/>
          <w:iCs/>
        </w:rPr>
        <w:t>Human Brain Mapping</w:t>
      </w:r>
      <w:r>
        <w:t xml:space="preserve"> 44 (3): 1278–82. https://doi.org/10.1002/hbm.26154.</w:t>
      </w:r>
    </w:p>
    <w:p w14:paraId="5143E58D" w14:textId="77777777" w:rsidR="006E251F" w:rsidRDefault="00000000">
      <w:pPr>
        <w:rPr>
          <w:lang w:val="pt-PT"/>
        </w:rPr>
      </w:pPr>
      <w:r>
        <w:t xml:space="preserve">Risk, Benjamin B., Raphiel J. Murden, Junjie Wu, Mary Beth Nebel, Arun Venkataraman, Zhengwu Zhang, and Deqiang Qiu. 2021. ‘Which Multiband Factor Should You Choose for Your Resting-State fMRI Study?’ </w:t>
      </w:r>
      <w:r>
        <w:rPr>
          <w:i/>
          <w:iCs/>
          <w:lang w:val="pt-PT"/>
        </w:rPr>
        <w:t>NeuroImage</w:t>
      </w:r>
      <w:r>
        <w:rPr>
          <w:lang w:val="pt-PT"/>
        </w:rPr>
        <w:t xml:space="preserve"> 234 (July):117965. https://doi.org/10.1016/j.neuroimage.2021.117965.</w:t>
      </w:r>
    </w:p>
    <w:p w14:paraId="34CA2AB7" w14:textId="77777777" w:rsidR="006E251F" w:rsidRDefault="00000000">
      <w:r>
        <w:rPr>
          <w:lang w:val="pt-PT"/>
        </w:rPr>
        <w:t xml:space="preserve">Sayal, Alexandre, Teresa Sousa, João V. Duarte, Gabriel N. Costa, Ricardo Martins, and Miguel Castelo-Branco. </w:t>
      </w:r>
      <w:r>
        <w:t xml:space="preserve">2020. ‘Identification of Competing Neural Mechanisms Underlying Positive and Negative Perceptual Hysteresis in the Human Visual System’. </w:t>
      </w:r>
      <w:r>
        <w:rPr>
          <w:i/>
          <w:iCs/>
        </w:rPr>
        <w:t>NeuroImage</w:t>
      </w:r>
      <w:r>
        <w:t xml:space="preserve"> 221 (November):117153. https://doi.org/10.1016/j.neuroimage.2020.117153.</w:t>
      </w:r>
    </w:p>
    <w:p w14:paraId="4AD575D0" w14:textId="77777777" w:rsidR="006E251F" w:rsidRDefault="00000000">
      <w:r>
        <w:t xml:space="preserve">Schölvinck, Marieke L., Alexander Maier, Frank Q. Ye, Jeff H. Duyn, and David A. Leopold. 2010. ‘Neural Basis of Global Resting-State fMRI Activity’. </w:t>
      </w:r>
      <w:r>
        <w:rPr>
          <w:i/>
          <w:iCs/>
        </w:rPr>
        <w:t>Proceedings of the National Academy of Sciences</w:t>
      </w:r>
      <w:r>
        <w:t xml:space="preserve"> 107 (22): 10238–43. https://doi.org/10.1073/pnas.0913110107.</w:t>
      </w:r>
    </w:p>
    <w:p w14:paraId="7A158367" w14:textId="77777777" w:rsidR="006E251F" w:rsidRDefault="00000000">
      <w:r>
        <w:t xml:space="preserve">Seth, Anil K., Paul Chorley, and Lionel C. Barnett. 2013. ‘Granger Causality Analysis of fMRI BOLD Signals Is Invariant to Hemodynamic Convolution but Not Downsampling’. </w:t>
      </w:r>
      <w:r>
        <w:rPr>
          <w:i/>
          <w:iCs/>
        </w:rPr>
        <w:t>NeuroImage</w:t>
      </w:r>
      <w:r>
        <w:t xml:space="preserve"> 65 (January):540–55. https://doi.org/10.1016/j.neuroimage.2012.09.049.</w:t>
      </w:r>
    </w:p>
    <w:p w14:paraId="265EF444" w14:textId="77777777" w:rsidR="006E251F" w:rsidRDefault="00000000">
      <w:pPr>
        <w:rPr>
          <w:lang w:val="pt-PT"/>
        </w:rPr>
      </w:pPr>
      <w:r>
        <w:lastRenderedPageBreak/>
        <w:t xml:space="preserve">Shimono, M., H. Mano, and K. Niki. 2012. ‘The Brain Structural Hub of Interhemispheric Information Integration for Visual Motion Perception’. </w:t>
      </w:r>
      <w:r>
        <w:rPr>
          <w:i/>
          <w:iCs/>
          <w:lang w:val="pt-PT"/>
        </w:rPr>
        <w:t>Cerebral Cortex</w:t>
      </w:r>
      <w:r>
        <w:rPr>
          <w:lang w:val="pt-PT"/>
        </w:rPr>
        <w:t xml:space="preserve"> 22 (2): 337–44. https://doi.org/10.1093/cercor/bhr108.</w:t>
      </w:r>
    </w:p>
    <w:p w14:paraId="23CD931F" w14:textId="77777777" w:rsidR="006E251F" w:rsidRDefault="00000000">
      <w:pPr>
        <w:rPr>
          <w:lang w:val="pt-PT"/>
        </w:rPr>
      </w:pPr>
      <w:r>
        <w:rPr>
          <w:lang w:val="pt-PT"/>
        </w:rPr>
        <w:t xml:space="preserve">Sousa, Teresa, João V. Duarte, Gabriel N. Costa, Valentin G. Kemper, Ricardo Martins, Rainer Goebel, and Miguel Castelo-Branco. </w:t>
      </w:r>
      <w:r>
        <w:t xml:space="preserve">2019. ‘Tracking Perceptual Decision Mechanisms through Changes in Interhemispheric Functional Connectivity in Human Visual Cortex’. </w:t>
      </w:r>
      <w:r>
        <w:rPr>
          <w:i/>
          <w:iCs/>
          <w:lang w:val="pt-PT"/>
        </w:rPr>
        <w:t>Scientific Reports</w:t>
      </w:r>
      <w:r>
        <w:rPr>
          <w:lang w:val="pt-PT"/>
        </w:rPr>
        <w:t xml:space="preserve"> 9 (1): 1242. https://doi.org/10.1038/s41598-018-37822-x.</w:t>
      </w:r>
    </w:p>
    <w:p w14:paraId="2091CB81" w14:textId="77777777" w:rsidR="006E251F" w:rsidRDefault="00000000">
      <w:pPr>
        <w:rPr>
          <w:lang w:val="pt-PT"/>
        </w:rPr>
      </w:pPr>
      <w:r>
        <w:rPr>
          <w:lang w:val="pt-PT"/>
        </w:rPr>
        <w:t xml:space="preserve">Sousa, Teresa, João V. Duarte, Gabriel N. Costa, Valentin G. Kemper, Ricardo Martins, Rainer Goebel, and Miguel Castelo‐Branco. </w:t>
      </w:r>
      <w:r>
        <w:t xml:space="preserve">2021. ‘The Dual Nature of the BOLD Signal: Responses in Visual Area hMT+ Reflect Both Input Properties and Perceptual Decision’. </w:t>
      </w:r>
      <w:r>
        <w:rPr>
          <w:i/>
          <w:iCs/>
          <w:lang w:val="pt-PT"/>
        </w:rPr>
        <w:t>Human Brain Mapping</w:t>
      </w:r>
      <w:r>
        <w:rPr>
          <w:lang w:val="pt-PT"/>
        </w:rPr>
        <w:t xml:space="preserve"> 42 (6): 1920–29. https://doi.org/10.1002/hbm.25339.</w:t>
      </w:r>
    </w:p>
    <w:p w14:paraId="1438D308" w14:textId="77777777" w:rsidR="006E251F" w:rsidRDefault="00000000">
      <w:pPr>
        <w:rPr>
          <w:lang w:val="pt-PT"/>
        </w:rPr>
      </w:pPr>
      <w:r>
        <w:rPr>
          <w:lang w:val="pt-PT"/>
        </w:rPr>
        <w:t xml:space="preserve">Sousa, Teresa, Alexandre Sayal, João V. Duarte, Gabriel N. Costa, and Miguel Castelo-Branco. </w:t>
      </w:r>
      <w:r>
        <w:t xml:space="preserve">2024. ‘A Human Cortical Adaptive Mutual Inhibition Circuit Underlying Competition for Perceptual Decision and Repetition Suppression Reversal’. </w:t>
      </w:r>
      <w:r>
        <w:rPr>
          <w:i/>
          <w:iCs/>
          <w:lang w:val="pt-PT"/>
        </w:rPr>
        <w:t>NeuroImage</w:t>
      </w:r>
      <w:r>
        <w:rPr>
          <w:lang w:val="pt-PT"/>
        </w:rPr>
        <w:t xml:space="preserve"> 285 (January):120488. https://doi.org/10.1016/j.neuroimage.2023.120488.</w:t>
      </w:r>
    </w:p>
    <w:p w14:paraId="6304921A" w14:textId="77777777" w:rsidR="006E251F" w:rsidRDefault="00000000">
      <w:r>
        <w:rPr>
          <w:lang w:val="pt-PT"/>
        </w:rPr>
        <w:t xml:space="preserve">Sousa, Teresa, Alexandre Sayal, João V. Duarte, Gabriel N. Costa, Ricardo Martins, and Miguel Castelo-Branco. </w:t>
      </w:r>
      <w:r>
        <w:t xml:space="preserve">2018. ‘Evidence for Distinct Levels of Neural Adaptation to Both Coherent and Incoherently Moving Visual Surfaces in Visual Area hMT+’. </w:t>
      </w:r>
      <w:r>
        <w:rPr>
          <w:i/>
          <w:iCs/>
        </w:rPr>
        <w:t>NeuroImage</w:t>
      </w:r>
      <w:r>
        <w:t xml:space="preserve"> 179 (October):540–47. https://doi.org/10.1016/j.neuroimage.2018.06.075.</w:t>
      </w:r>
    </w:p>
    <w:p w14:paraId="4165D220" w14:textId="77777777" w:rsidR="006E251F" w:rsidRDefault="00000000">
      <w:r>
        <w:t xml:space="preserve">Srirangarajan, Tara, Leili Mortazavi, Tiago Bortolini, Jorge Moll, and Brian Knutson. 2021. ‘Multi‐band FMRI Compromises Detection of Mesolimbic Reward Responses’. </w:t>
      </w:r>
      <w:r>
        <w:rPr>
          <w:i/>
          <w:iCs/>
        </w:rPr>
        <w:t>NeuroImage</w:t>
      </w:r>
      <w:r>
        <w:t xml:space="preserve"> 244 (December):118617. https://doi.org/10.1016/j.neuroimage.2021.118617.</w:t>
      </w:r>
    </w:p>
    <w:p w14:paraId="7A3AF7ED" w14:textId="77777777" w:rsidR="006E251F" w:rsidRDefault="00000000">
      <w:r>
        <w:t xml:space="preserve">Sterzer, Philipp, and Andreas Kleinschmidt. 2007. ‘A Neural Basis for Inference in Perceptual Ambiguity’. </w:t>
      </w:r>
      <w:r>
        <w:rPr>
          <w:i/>
          <w:iCs/>
        </w:rPr>
        <w:t>Proceedings of the National Academy of Sciences</w:t>
      </w:r>
      <w:r>
        <w:t xml:space="preserve"> 104 (1): 323–28. https://doi.org/10.1073/pnas.0609006104.</w:t>
      </w:r>
    </w:p>
    <w:p w14:paraId="43464B4A" w14:textId="77777777" w:rsidR="006E251F" w:rsidRDefault="00000000">
      <w:r>
        <w:t xml:space="preserve">Sterzer, Philipp, Michael O. Russ, Christine Preibisch, and Andreas Kleinschmidt. 2002. ‘Neural Correlates of Spontaneous Direction Reversals in Ambiguous Apparent Visual Motion’. </w:t>
      </w:r>
      <w:r>
        <w:rPr>
          <w:i/>
          <w:iCs/>
        </w:rPr>
        <w:t>NeuroImage</w:t>
      </w:r>
      <w:r>
        <w:t xml:space="preserve"> 15 (4): 908–16. https://doi.org/10.1006/nimg.2001.1030.</w:t>
      </w:r>
    </w:p>
    <w:p w14:paraId="7AC32A06" w14:textId="77777777" w:rsidR="006E251F" w:rsidRDefault="00000000">
      <w:r>
        <w:t xml:space="preserve">Todd, Nick, Oliver Josephs, Peter Zeidman, Guillaume Flandin, Steen Moeller, and Nikolaus Weiskopf. 2017. ‘Functional Sensitivity of 2D Simultaneous Multi-Slice Echo-Planar Imaging: Effects of Acceleration on g-Factor and Physiological Noise’. </w:t>
      </w:r>
      <w:r>
        <w:rPr>
          <w:i/>
          <w:iCs/>
        </w:rPr>
        <w:t>Frontiers in Neuroscience</w:t>
      </w:r>
      <w:r>
        <w:t xml:space="preserve"> 11 (March). https://doi.org/10.3389/fnins.2017.00158.</w:t>
      </w:r>
    </w:p>
    <w:p w14:paraId="2C3027B6" w14:textId="77777777" w:rsidR="006E251F" w:rsidRDefault="00000000">
      <w:r>
        <w:t xml:space="preserve">Todd, Nick, Steen Moeller, Edward J. Auerbach, Essa Yacoub, Guillaume Flandin, and Nikolaus Weiskopf. 2016. ‘Evaluation of 2D Multiband EPI Imaging for High-Resolution, Whole-Brain, Task-Based fMRI Studies at 3T: Sensitivity and Slice Leakage Artifacts’. </w:t>
      </w:r>
      <w:r>
        <w:rPr>
          <w:i/>
          <w:iCs/>
        </w:rPr>
        <w:t>NeuroImage</w:t>
      </w:r>
      <w:r>
        <w:t xml:space="preserve"> 124 (January):32–42. https://doi.org/10.1016/j.neuroimage.2015.08.056.</w:t>
      </w:r>
    </w:p>
    <w:p w14:paraId="4E702A70" w14:textId="77777777" w:rsidR="006E251F" w:rsidRDefault="00000000">
      <w:r>
        <w:t>Tyszka, Mike. 2023. ‘Bidskit: Utility Functions for Working with DICOM and BIDS Neuroimaging Data’. https://github.com/jmtyszka/bidskit.</w:t>
      </w:r>
    </w:p>
    <w:p w14:paraId="4018E2CE" w14:textId="77777777" w:rsidR="006E251F" w:rsidRDefault="00000000">
      <w:r>
        <w:lastRenderedPageBreak/>
        <w:t xml:space="preserve">Wall, Matthew B. 2023. ‘Multiband Acquisition Sequences for fMRI: Proceed with Caution’. </w:t>
      </w:r>
      <w:r>
        <w:rPr>
          <w:i/>
          <w:iCs/>
        </w:rPr>
        <w:t>Aperture Neuro</w:t>
      </w:r>
      <w:r>
        <w:t xml:space="preserve"> 3 (December). https://doi.org/10.52294/001c.91292.</w:t>
      </w:r>
    </w:p>
    <w:p w14:paraId="15C1C3B1" w14:textId="77777777" w:rsidR="006E251F" w:rsidRDefault="00000000">
      <w:r>
        <w:t xml:space="preserve">Yarkoni, Tal, Russell A Poldrack, Thomas E Nichols, David C Van Essen, and Tor D Wager. 2011. ‘Large-Scale Automated Synthesis of Human Functional Neuroimaging Data’. </w:t>
      </w:r>
      <w:r>
        <w:rPr>
          <w:i/>
          <w:iCs/>
        </w:rPr>
        <w:t>Nature Methods</w:t>
      </w:r>
      <w:r>
        <w:t xml:space="preserve"> 8 (8): 665–70. https://doi.org/10.1038/nmeth.1635.</w:t>
      </w:r>
    </w:p>
    <w:p w14:paraId="457D2262" w14:textId="77777777" w:rsidR="006E251F" w:rsidRDefault="00000000">
      <w:r>
        <w:t xml:space="preserve">Zhang, Yiteng, Zheng Ye, Chunchao Xia, Yuqi Tan, Meng Zhang, Xinyang Lv, Jing Tang, and Zhenlin Li. 2024. ‘Clinical Applications and Recent Updates of Simultaneous Multi-Slice Technique in Accelerated MRI’. </w:t>
      </w:r>
      <w:r>
        <w:rPr>
          <w:i/>
          <w:iCs/>
        </w:rPr>
        <w:t>Academic Radiology</w:t>
      </w:r>
      <w:r>
        <w:t>, January, S1076633223007109. https://doi.org/10.1016/j.acra.2023.12.032.</w:t>
      </w:r>
    </w:p>
    <w:sectPr w:rsidR="006E251F" w:rsidSect="00D537FA">
      <w:headerReference w:type="even" r:id="rId18"/>
      <w:headerReference w:type="default" r:id="rId19"/>
      <w:footerReference w:type="even" r:id="rId20"/>
      <w:footerReference w:type="default" r:id="rId21"/>
      <w:headerReference w:type="first" r:id="rId22"/>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353930" w14:textId="77777777" w:rsidR="00774A74" w:rsidRDefault="00774A74" w:rsidP="00117666">
      <w:pPr>
        <w:spacing w:after="0"/>
      </w:pPr>
      <w:r>
        <w:separator/>
      </w:r>
    </w:p>
  </w:endnote>
  <w:endnote w:type="continuationSeparator" w:id="0">
    <w:p w14:paraId="6EBFBD69" w14:textId="77777777" w:rsidR="00774A74" w:rsidRDefault="00774A74"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C9FA1E" w14:textId="77777777" w:rsidR="00686C9D" w:rsidRPr="00577C4C" w:rsidRDefault="00C52A7B">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42184012" w14:textId="77777777" w:rsidR="00686C9D" w:rsidRPr="00E9561B" w:rsidRDefault="00686C9D">
                          <w:pPr>
                            <w:rPr>
                              <w:color w:val="C0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" stroked="f">
              <v:textbox style="mso-fit-shape-to-text:t">
                <w:txbxContent>
                  <w:p w14:paraId="42184012" w14:textId="77777777" w:rsidR="00686C9D" w:rsidRPr="00E9561B" w:rsidRDefault="00686C9D">
                    <w:pPr>
                      <w:rPr>
                        <w:color w:val="C00000"/>
                      </w:rPr>
                    </w:pP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48B42F5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" filled="f" stroked="f" strokeweight=".5pt">
              <v:textbox style="mso-fit-shape-to-text:t">
                <w:txbxContent>
                  <w:p w14:paraId="48B42F5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572A36" w14:textId="77777777" w:rsidR="00686C9D" w:rsidRPr="00577C4C" w:rsidRDefault="00C52A7B">
    <w:pPr>
      <w:pStyle w:val="Foote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B4ECB2D"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" filled="f" stroked="f" strokeweight=".5pt">
              <v:textbox style="mso-fit-shape-to-text:t">
                <w:txbxContent>
                  <w:p w14:paraId="0B4ECB2D"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6EF196" w14:textId="77777777" w:rsidR="00774A74" w:rsidRDefault="00774A74" w:rsidP="00117666">
      <w:pPr>
        <w:spacing w:after="0"/>
      </w:pPr>
      <w:r>
        <w:separator/>
      </w:r>
    </w:p>
  </w:footnote>
  <w:footnote w:type="continuationSeparator" w:id="0">
    <w:p w14:paraId="06B7AADA" w14:textId="77777777" w:rsidR="00774A74" w:rsidRDefault="00774A74"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D22B8F" w14:textId="77777777" w:rsidR="00686C9D" w:rsidRPr="007E3148" w:rsidRDefault="00686C9D" w:rsidP="00A53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9DDD0A" w14:textId="77777777" w:rsidR="00686C9D" w:rsidRPr="00A53000" w:rsidRDefault="00686C9D" w:rsidP="00A53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285336" w14:textId="77777777" w:rsidR="00686C9D" w:rsidRDefault="005A1D84" w:rsidP="00A53000">
    <w:pPr>
      <w:pStyle w:val="Header"/>
    </w:pPr>
    <w:r w:rsidRPr="005A1D84">
      <w:rPr>
        <w:noProof/>
        <w:color w:val="A6A6A6" w:themeColor="background1" w:themeShade="A6"/>
        <w:lang w:val="en-GB" w:eastAsia="en-GB"/>
      </w:rPr>
      <w:drawing>
        <wp:inline distT="0" distB="0" distL="0" distR="0" wp14:anchorId="14758C2E" wp14:editId="7C8F8B09">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4"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02A7CAC"/>
    <w:multiLevelType w:val="multilevel"/>
    <w:tmpl w:val="C6A8CCEA"/>
    <w:numStyleLink w:val="Headings"/>
  </w:abstractNum>
  <w:abstractNum w:abstractNumId="6"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C6F29"/>
    <w:multiLevelType w:val="multilevel"/>
    <w:tmpl w:val="C6A8CCEA"/>
    <w:numStyleLink w:val="Headings"/>
  </w:abstractNum>
  <w:abstractNum w:abstractNumId="17"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0"/>
  </w:num>
  <w:num w:numId="2" w16cid:durableId="1175342395">
    <w:abstractNumId w:val="13"/>
  </w:num>
  <w:num w:numId="3" w16cid:durableId="1144352800">
    <w:abstractNumId w:val="1"/>
  </w:num>
  <w:num w:numId="4" w16cid:durableId="769737119">
    <w:abstractNumId w:val="15"/>
  </w:num>
  <w:num w:numId="5" w16cid:durableId="1701663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0"/>
  </w:num>
  <w:num w:numId="7" w16cid:durableId="773479634">
    <w:abstractNumId w:val="8"/>
  </w:num>
  <w:num w:numId="8" w16cid:durableId="2072000685">
    <w:abstractNumId w:val="6"/>
  </w:num>
  <w:num w:numId="9" w16cid:durableId="1213807494">
    <w:abstractNumId w:val="9"/>
  </w:num>
  <w:num w:numId="10" w16cid:durableId="308825289">
    <w:abstractNumId w:val="7"/>
  </w:num>
  <w:num w:numId="11" w16cid:durableId="372848954">
    <w:abstractNumId w:val="2"/>
  </w:num>
  <w:num w:numId="12" w16cid:durableId="213006365">
    <w:abstractNumId w:val="17"/>
  </w:num>
  <w:num w:numId="13" w16cid:durableId="1411196366">
    <w:abstractNumId w:val="12"/>
  </w:num>
  <w:num w:numId="14" w16cid:durableId="944966812">
    <w:abstractNumId w:val="4"/>
  </w:num>
  <w:num w:numId="15" w16cid:durableId="1662200756">
    <w:abstractNumId w:val="11"/>
  </w:num>
  <w:num w:numId="16" w16cid:durableId="2141485750">
    <w:abstractNumId w:val="14"/>
  </w:num>
  <w:num w:numId="17" w16cid:durableId="2002923295">
    <w:abstractNumId w:val="3"/>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8" w16cid:durableId="13005275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5"/>
  </w:num>
  <w:num w:numId="20" w16cid:durableId="58940097">
    <w:abstractNumId w:val="16"/>
  </w:num>
  <w:num w:numId="21" w16cid:durableId="490292411">
    <w:abstractNumId w:val="3"/>
  </w:num>
  <w:num w:numId="22" w16cid:durableId="1120419941">
    <w:abstractNumId w:val="3"/>
    <w:lvlOverride w:ilvl="0">
      <w:startOverride w:val="1"/>
      <w:lvl w:ilvl="0">
        <w:start w:val="1"/>
        <w:numFmt w:val="decimal"/>
        <w:pStyle w:val="Heading1"/>
        <w:lvlText w:val="%1"/>
        <w:lvlJc w:val="left"/>
        <w:pPr>
          <w:tabs>
            <w:tab w:val="num" w:pos="567"/>
          </w:tabs>
          <w:ind w:left="567" w:hanging="567"/>
        </w:pPr>
      </w:lvl>
    </w:lvlOverride>
    <w:lvlOverride w:ilvl="1">
      <w:startOverride w:val="1"/>
      <w:lvl w:ilvl="1">
        <w:start w:val="1"/>
        <w:numFmt w:val="decimal"/>
        <w:pStyle w:val="Heading2"/>
        <w:lvlText w:val="%1.%2"/>
        <w:lvlJc w:val="left"/>
        <w:pPr>
          <w:tabs>
            <w:tab w:val="num" w:pos="567"/>
          </w:tabs>
          <w:ind w:left="567" w:hanging="567"/>
        </w:pPr>
      </w:lvl>
    </w:lvlOverride>
    <w:lvlOverride w:ilvl="2">
      <w:startOverride w:val="1"/>
      <w:lvl w:ilvl="2">
        <w:start w:val="1"/>
        <w:numFmt w:val="decimal"/>
        <w:pStyle w:val="Heading3"/>
        <w:lvlText w:val=""/>
        <w:lvlJc w:val="left"/>
      </w:lvl>
    </w:lvlOverride>
    <w:lvlOverride w:ilvl="3">
      <w:startOverride w:val="1"/>
      <w:lvl w:ilvl="3">
        <w:start w:val="1"/>
        <w:numFmt w:val="decimal"/>
        <w:pStyle w:val="Heading4"/>
        <w:lvlText w:val=""/>
        <w:lvlJc w:val="left"/>
      </w:lvl>
    </w:lvlOverride>
    <w:lvlOverride w:ilvl="4">
      <w:startOverride w:val="1"/>
      <w:lvl w:ilvl="4">
        <w:start w:val="1"/>
        <w:numFmt w:val="decimal"/>
        <w:pStyle w:val="Heading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9"/>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4304"/>
    <w:rsid w:val="00035434"/>
    <w:rsid w:val="00045678"/>
    <w:rsid w:val="000458E4"/>
    <w:rsid w:val="00063D84"/>
    <w:rsid w:val="0006636D"/>
    <w:rsid w:val="00077D53"/>
    <w:rsid w:val="00081394"/>
    <w:rsid w:val="000B34BD"/>
    <w:rsid w:val="000C7E2A"/>
    <w:rsid w:val="000F4CFB"/>
    <w:rsid w:val="00117666"/>
    <w:rsid w:val="001223A7"/>
    <w:rsid w:val="00134256"/>
    <w:rsid w:val="00147395"/>
    <w:rsid w:val="00152161"/>
    <w:rsid w:val="001552C9"/>
    <w:rsid w:val="00177D84"/>
    <w:rsid w:val="001964EF"/>
    <w:rsid w:val="001B1A2C"/>
    <w:rsid w:val="001D5C23"/>
    <w:rsid w:val="001E4F08"/>
    <w:rsid w:val="001F4C07"/>
    <w:rsid w:val="00206322"/>
    <w:rsid w:val="00217BA1"/>
    <w:rsid w:val="00220AEA"/>
    <w:rsid w:val="00226954"/>
    <w:rsid w:val="002368CB"/>
    <w:rsid w:val="00252033"/>
    <w:rsid w:val="002629A3"/>
    <w:rsid w:val="00265660"/>
    <w:rsid w:val="002677A0"/>
    <w:rsid w:val="00267D18"/>
    <w:rsid w:val="002868E2"/>
    <w:rsid w:val="002869C3"/>
    <w:rsid w:val="002936E4"/>
    <w:rsid w:val="00296B88"/>
    <w:rsid w:val="002A260D"/>
    <w:rsid w:val="002C74CA"/>
    <w:rsid w:val="002F744D"/>
    <w:rsid w:val="00303DE6"/>
    <w:rsid w:val="00310124"/>
    <w:rsid w:val="00322306"/>
    <w:rsid w:val="003544FB"/>
    <w:rsid w:val="00365D63"/>
    <w:rsid w:val="0036793B"/>
    <w:rsid w:val="00372682"/>
    <w:rsid w:val="00376CC5"/>
    <w:rsid w:val="0039693B"/>
    <w:rsid w:val="003B3C40"/>
    <w:rsid w:val="003D2F2D"/>
    <w:rsid w:val="00401590"/>
    <w:rsid w:val="00446E4C"/>
    <w:rsid w:val="00463E3D"/>
    <w:rsid w:val="004645AE"/>
    <w:rsid w:val="00475479"/>
    <w:rsid w:val="004D3E33"/>
    <w:rsid w:val="004E39CC"/>
    <w:rsid w:val="00510770"/>
    <w:rsid w:val="0052252B"/>
    <w:rsid w:val="005250F2"/>
    <w:rsid w:val="005A1D84"/>
    <w:rsid w:val="005A70EA"/>
    <w:rsid w:val="005C3963"/>
    <w:rsid w:val="005C66D1"/>
    <w:rsid w:val="005D1840"/>
    <w:rsid w:val="005D35E4"/>
    <w:rsid w:val="005D7910"/>
    <w:rsid w:val="00614C68"/>
    <w:rsid w:val="0062154F"/>
    <w:rsid w:val="00626026"/>
    <w:rsid w:val="00631A8C"/>
    <w:rsid w:val="00651CA2"/>
    <w:rsid w:val="00653D60"/>
    <w:rsid w:val="00660D05"/>
    <w:rsid w:val="00671D9A"/>
    <w:rsid w:val="00673952"/>
    <w:rsid w:val="00686C9D"/>
    <w:rsid w:val="006B2D5B"/>
    <w:rsid w:val="006B7D14"/>
    <w:rsid w:val="006C186D"/>
    <w:rsid w:val="006D5B93"/>
    <w:rsid w:val="006E18DE"/>
    <w:rsid w:val="006E251F"/>
    <w:rsid w:val="006E54C5"/>
    <w:rsid w:val="00725A7D"/>
    <w:rsid w:val="00727093"/>
    <w:rsid w:val="0073085C"/>
    <w:rsid w:val="00746505"/>
    <w:rsid w:val="00752FD1"/>
    <w:rsid w:val="00774A74"/>
    <w:rsid w:val="00790BB3"/>
    <w:rsid w:val="00792043"/>
    <w:rsid w:val="00797EDD"/>
    <w:rsid w:val="007B0322"/>
    <w:rsid w:val="007C0E3F"/>
    <w:rsid w:val="007C206C"/>
    <w:rsid w:val="007C5729"/>
    <w:rsid w:val="008111E4"/>
    <w:rsid w:val="0081301C"/>
    <w:rsid w:val="00817DD6"/>
    <w:rsid w:val="0083090B"/>
    <w:rsid w:val="008629A9"/>
    <w:rsid w:val="0088513A"/>
    <w:rsid w:val="00893C19"/>
    <w:rsid w:val="00895308"/>
    <w:rsid w:val="008A0240"/>
    <w:rsid w:val="008D6C8D"/>
    <w:rsid w:val="008E2B54"/>
    <w:rsid w:val="008E4404"/>
    <w:rsid w:val="008E58C7"/>
    <w:rsid w:val="008F5021"/>
    <w:rsid w:val="0093326C"/>
    <w:rsid w:val="00943573"/>
    <w:rsid w:val="00971B61"/>
    <w:rsid w:val="00980C31"/>
    <w:rsid w:val="009955FF"/>
    <w:rsid w:val="009D259D"/>
    <w:rsid w:val="00A00487"/>
    <w:rsid w:val="00A353B4"/>
    <w:rsid w:val="00A50D9D"/>
    <w:rsid w:val="00A53000"/>
    <w:rsid w:val="00A545C6"/>
    <w:rsid w:val="00A75F87"/>
    <w:rsid w:val="00A95D8B"/>
    <w:rsid w:val="00AC0270"/>
    <w:rsid w:val="00AC3EA3"/>
    <w:rsid w:val="00AC792D"/>
    <w:rsid w:val="00B657B8"/>
    <w:rsid w:val="00B84920"/>
    <w:rsid w:val="00B8556A"/>
    <w:rsid w:val="00BB41CE"/>
    <w:rsid w:val="00BB6949"/>
    <w:rsid w:val="00C012A3"/>
    <w:rsid w:val="00C16ACD"/>
    <w:rsid w:val="00C16F19"/>
    <w:rsid w:val="00C30EB1"/>
    <w:rsid w:val="00C52A7B"/>
    <w:rsid w:val="00C6324C"/>
    <w:rsid w:val="00C679AA"/>
    <w:rsid w:val="00C724CF"/>
    <w:rsid w:val="00C75972"/>
    <w:rsid w:val="00C82792"/>
    <w:rsid w:val="00C948FD"/>
    <w:rsid w:val="00CB2220"/>
    <w:rsid w:val="00CB43D5"/>
    <w:rsid w:val="00CC76F9"/>
    <w:rsid w:val="00CD066B"/>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56C96"/>
    <w:rsid w:val="00E64E17"/>
    <w:rsid w:val="00E852EA"/>
    <w:rsid w:val="00EA3D3C"/>
    <w:rsid w:val="00EC7CC3"/>
    <w:rsid w:val="00F254A4"/>
    <w:rsid w:val="00F46494"/>
    <w:rsid w:val="00F558AB"/>
    <w:rsid w:val="00F61D89"/>
    <w:rsid w:val="00F86ABB"/>
    <w:rsid w:val="00F97039"/>
    <w:rsid w:val="00FB2A6A"/>
    <w:rsid w:val="00FD7648"/>
    <w:rsid w:val="00FE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635E5"/>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D80D99"/>
    <w:pPr>
      <w:numPr>
        <w:numId w:val="17"/>
      </w:numPr>
      <w:spacing w:before="240"/>
      <w:contextualSpacing w:val="0"/>
      <w:outlineLvl w:val="0"/>
    </w:pPr>
    <w:rPr>
      <w:b/>
    </w:rPr>
  </w:style>
  <w:style w:type="paragraph" w:styleId="Heading2">
    <w:name w:val="heading 2"/>
    <w:basedOn w:val="Heading1"/>
    <w:next w:val="Normal"/>
    <w:link w:val="Heading2Char"/>
    <w:uiPriority w:val="2"/>
    <w:qFormat/>
    <w:rsid w:val="00D80D99"/>
    <w:pPr>
      <w:numPr>
        <w:ilvl w:val="1"/>
      </w:numPr>
      <w:spacing w:after="200"/>
      <w:outlineLvl w:val="1"/>
    </w:pPr>
  </w:style>
  <w:style w:type="paragraph" w:styleId="Heading3">
    <w:name w:val="heading 3"/>
    <w:basedOn w:val="Normal"/>
    <w:next w:val="Normal"/>
    <w:link w:val="Heading3Ch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D80D99"/>
    <w:pPr>
      <w:numPr>
        <w:ilvl w:val="3"/>
      </w:numPr>
      <w:outlineLvl w:val="3"/>
    </w:pPr>
    <w:rPr>
      <w:iCs/>
    </w:rPr>
  </w:style>
  <w:style w:type="paragraph" w:styleId="Heading5">
    <w:name w:val="heading 5"/>
    <w:basedOn w:val="Heading4"/>
    <w:next w:val="Normal"/>
    <w:link w:val="Heading5Char"/>
    <w:uiPriority w:val="2"/>
    <w:qFormat/>
    <w:rsid w:val="00D80D99"/>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after="0"/>
    </w:pPr>
    <w:rPr>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pPr>
    <w:rPr>
      <w:rFonts w:cs="Times New Roman"/>
      <w:b/>
      <w:bCs/>
      <w:szCs w:val="24"/>
    </w:rPr>
  </w:style>
  <w:style w:type="paragraph" w:styleId="BalloonText">
    <w:name w:val="Balloon Text"/>
    <w:basedOn w:val="Normal"/>
    <w:link w:val="BalloonTextChar"/>
    <w:uiPriority w:val="99"/>
    <w:semiHidden/>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rPr>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qFormat/>
    <w:rsid w:val="00D80D99"/>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paragraph" w:styleId="Subtitle">
    <w:name w:val="Subtitle"/>
    <w:basedOn w:val="Normal"/>
    <w:next w:val="Normal"/>
    <w:link w:val="SubtitleChar"/>
    <w:uiPriority w:val="99"/>
    <w:unhideWhenUsed/>
    <w:qFormat/>
    <w:rsid w:val="00AC0270"/>
    <w:pPr>
      <w:spacing w:before="240"/>
    </w:pPr>
    <w:rPr>
      <w:rFonts w:cs="Times New Roman"/>
      <w:b/>
      <w:szCs w:val="24"/>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895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9F80FA-172A-49E6-812C-44A6388DD2F9}">
  <ds:schemaRefs>
    <ds:schemaRef ds:uri="http://schemas.openxmlformats.org/officeDocument/2006/bibliography"/>
  </ds:schemaRefs>
</ds:datastoreItem>
</file>

<file path=customXml/itemProps2.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3.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4.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547FD6E-73F0-4542-8474-D6680317EF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C:\Users\hannah.eccles\OneDrive - Frontiers Media SA\Documents\Latex work\Sep 2022_link updates\frontiers_template.dotx</Template>
  <TotalTime>3</TotalTime>
  <Pages>19</Pages>
  <Words>24274</Words>
  <Characters>138368</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dc:creator>
  <cp:keywords/>
  <dc:description/>
  <cp:lastModifiedBy>Alexandre Sayal</cp:lastModifiedBy>
  <cp:revision>6</cp:revision>
  <cp:lastPrinted>2013-10-03T12:51:00Z</cp:lastPrinted>
  <dcterms:created xsi:type="dcterms:W3CDTF">2022-11-17T16:52:00Z</dcterms:created>
  <dcterms:modified xsi:type="dcterms:W3CDTF">2026-07-16T14:23:00Z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