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0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200"/>
        <w:gridCol w:w="6800"/>
        <w:gridCol w:w="1600"/>
      </w:tblGrid>
      <w:tr>
        <!-- Left Cell: Bagong Pilipinas & DOH logos --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</w:pPr>
            <w:r>
              <w:drawing>
                <wp:inline distT="0" distB="0" distL="0" distR="0">
                  <wp:extent cx="680000" cy="634000"/>
                  <wp:effectExtent l="0" t="0" r="0" b="0"/>
                  <wp:docPr id="1" name="Bagong Pilipin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gong Pilipinas"/>
                          <pic:cNvPicPr/>
                        </pic:nvPicPr>
                        <pic:blipFill>
                          <a:blip xmlns:r="http://schemas.openxmlformats.org/officeDocument/2006/relationships"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00" cy="6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580000" cy="575000"/>
                  <wp:effectExtent l="0" t="0" r="0" b="0"/>
                  <wp:docPr id="2" name="DO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H"/>
                          <pic:cNvPicPr/>
                        </pic:nvPicPr>
                        <pic:blipFill>
                          <a:blip xmlns:r="http://schemas.openxmlformats.org/officeDocument/2006/relationships"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0" cy="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!-- Center Cell: Republic of the Philippines / DOH / ZCMC / Address -->
        <w:tc>
          <w:tcPr>
            <w:tcW w:w="6800" w:type="dxa"/>
            <w:vAlign w:val="center"/>
          </w:tcPr>
          <w:p>
            <w:pPr>
              <w:jc w:val="center"/>
              <w:spacing w:before="0" w:after="1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 xml:space="preserve">Republic of the Philippines</w:t>
            </w:r>
          </w:p>
          <w:p>
            <w:pPr>
              <w:jc w:val="center"/>
              <w:spacing w:before="0" w:after="1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 xml:space="preserve">Department of Health</w:t>
            </w:r>
          </w:p>
          <w:p>
            <w:pPr>
              <w:jc w:val="center"/>
              <w:spacing w:before="0" w:after="10"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ZAMBOANGA CITY MEDICAL CENTER</w:t>
            </w:r>
          </w:p>
          <w:p>
            <w:pPr>
              <w:jc w:val="center"/>
              <w:spacing w:before="0" w:after="0" w:line="240" w:lineRule="auto"/>
              <w:rPr>
                <w:rFonts w:ascii="Arial" w:hAnsi="Arial" w:cs="Arial"/>
                <w:i/>
                <w:sz w:val="17"/>
              </w:rPr>
            </w:pPr>
            <w:r>
              <w:rPr>
                <w:rFonts w:ascii="Arial" w:hAnsi="Arial" w:cs="Arial"/>
                <w:i/>
                <w:sz w:val="17"/>
              </w:rPr>
              <w:t xml:space="preserve">Dr. Evangelista St., Sta Catalina, Zamboanga City, 7000</w:t>
            </w:r>
          </w:p>
        </w:tc>
        <!-- Right Cell: ZCMC Seal -->
        <w:tc>
          <w:tcPr>
            <w:tcW w:w="1600" w:type="dxa"/>
            <w:vAlign w:val="center"/>
          </w:tcPr>
          <w:p>
            <w:pPr>
              <w:jc w:val="right"/>
              <w:spacing w:before="0" w:after="0" w:line="240" w:lineRule="auto"/>
            </w:pPr>
            <w:r>
              <w:drawing>
                <wp:inline distT="0" distB="0" distL="0" distR="0">
                  <wp:extent cx="600000" cy="800000"/>
                  <wp:effectExtent l="0" t="0" r="0" b="0"/>
                  <wp:docPr id="3" name="ZCM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ZCMC"/>
                          <pic:cNvPicPr/>
                        </pic:nvPicPr>
                        <pic:blipFill>
                          <a:blip xmlns:r="http://schemas.openxmlformats.org/officeDocument/2006/relationships"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00" cy="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space="4" w:color="000000"/>
        </w:pBdr>
        <w:spacing w:before="60" w:after="100"/>
      </w:pPr>
    </w:p>
    <w:p>
      <w:pPr>
        <w:jc w:val="center"/>
        <w:spacing w:before="40" w:after="20"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ACCOMPLISHMENT REPORT</w:t>
      </w:r>
    </w:p>
    <w:p>
      <w:pPr>
        <w:jc w:val="center"/>
        <w:spacing w:before="0" w:after="12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for September 16-30, 2026</w:t>
      </w:r>
    </w:p>
    <w:p>
      <w:pPr>
        <w:spacing w:before="60" w:after="4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Recruitment System: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•  </w:t>
      </w:r>
      <w:r>
        <w:rPr>
          <w:rFonts w:ascii="Arial" w:hAnsi="Arial" w:cs="Arial"/>
          <w:sz w:val="19"/>
        </w:rPr>
        <w:t xml:space="preserve">Implemented Cryptographic Security Layer (ExamCryptoService) integrating AES-256-GCM encryption with SHA-256 HMAC integrity verification for online examination templates, question pools, and answer keys.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•  </w:t>
      </w:r>
      <w:r>
        <w:rPr>
          <w:rFonts w:ascii="Arial" w:hAnsi="Arial" w:cs="Arial"/>
          <w:sz w:val="19"/>
        </w:rPr>
        <w:t xml:space="preserve">Engineered Anti-Cheating &amp; Browser Focus Violation Detection: integrated Page Visibility API and focus-loss event listeners in TakeExam.jsx to intercept, record, and flag unauthorized tab-switching during active exams (tab_violations tracking in application_exams table).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•  </w:t>
      </w:r>
      <w:r>
        <w:rPr>
          <w:rFonts w:ascii="Arial" w:hAnsi="Arial" w:cs="Arial"/>
          <w:sz w:val="19"/>
        </w:rPr>
        <w:t xml:space="preserve">Implemented real-time Examinee Timer Controls (pause/extension overrides), response auditing modal (application-exam-result-modal.blade.php), and official printable Combined Exam Results roster (combined-exam-results-print.blade.php).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•  </w:t>
      </w:r>
      <w:r>
        <w:rPr>
          <w:rFonts w:ascii="Arial" w:hAnsi="Arial" w:cs="Arial"/>
          <w:sz w:val="19"/>
        </w:rPr>
        <w:t xml:space="preserve">Built Automated Candidate Notification Queue Subsystem using non-blocking background workers (ProcessUnselectedApplicantsJob, SendSmsJob) for bulk email and SMS status delivery, with WYSIWYG notification previews (candidate-notification-preview.blade.php).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•  </w:t>
      </w:r>
      <w:r>
        <w:rPr>
          <w:rFonts w:ascii="Arial" w:hAnsi="Arial" w:cs="Arial"/>
          <w:sz w:val="19"/>
        </w:rPr>
        <w:t xml:space="preserve">Refactored examinee selection with searchable dropdown components (searchable-select.blade.php) and application status tab filters.</w:t>
      </w:r>
    </w:p>
    <w:p>
      <w:pPr>
        <w:spacing w:before="80" w:after="4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UMIS &amp; DTRservice Modules: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•  </w:t>
      </w:r>
      <w:r>
        <w:rPr>
          <w:rFonts w:ascii="Arial" w:hAnsi="Arial" w:cs="Arial"/>
          <w:sz w:val="19"/>
        </w:rPr>
        <w:t xml:space="preserve">Developed interactive in-browser Terminal Web GUI (CommandRunnerController, devices/index.blade.php) allowing systems administrators to execute live hardware diagnostics and monitor terminal command output streams in real-time.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•  </w:t>
      </w:r>
      <w:r>
        <w:rPr>
          <w:rFonts w:ascii="Arial" w:hAnsi="Arial" w:cs="Arial"/>
          <w:sz w:val="19"/>
        </w:rPr>
        <w:t xml:space="preserve">Integrated HRBLIZ Standalone Biometric Terminals: engineered database schema migrations (is_hrbliz, hrbliz_biometric_id) for dual-ID translation, added manual device provisioning API (POST /api/devices), and implemented receiver_by_default toggle for selective sync isolation (HrblizDeviceDualIdTest).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•  </w:t>
      </w:r>
      <w:r>
        <w:rPr>
          <w:rFonts w:ascii="Arial" w:hAnsi="Arial" w:cs="Arial"/>
          <w:sz w:val="19"/>
        </w:rPr>
        <w:t xml:space="preserve">Engineered HRBLIZ Excel Roster Reconciliation &amp; Matching Engine (BiometricHrblizMatcherService, hrbliz.blade.php, 1,500+ lines) enabling bulk spreadsheet uploads and automated fuzzy/exact name matching to link HRBLIZ employee rosters with ZCMC biometric IDs.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•  </w:t>
      </w:r>
      <w:r>
        <w:rPr>
          <w:rFonts w:ascii="Arial" w:hAnsi="Arial" w:cs="Arial"/>
          <w:sz w:val="19"/>
        </w:rPr>
        <w:t xml:space="preserve">Implemented sequential fingerprint template versioning (fp_version, ZKFinger Alg 9 vs Alg 10 cross-algorithm compatibility) and multi-terminal duplicate biometric detection (CheckDuplicateBiometrics, CheckDeviceTemplateMatches).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•  </w:t>
      </w:r>
      <w:r>
        <w:rPr>
          <w:rFonts w:ascii="Arial" w:hAnsi="Arial" w:cs="Arial"/>
          <w:sz w:val="19"/>
        </w:rPr>
        <w:t xml:space="preserve">Built physical terminal inspection and cleanup tools: developed CheckDeviceFingerprints CLI artisan command with --clean automated ghost slot purging, and ResolveSentBiometricCommands to audit and auto-resolve lingering sent device commands.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•  </w:t>
      </w:r>
      <w:r>
        <w:rPr>
          <w:rFonts w:ascii="Arial" w:hAnsi="Arial" w:cs="Arial"/>
          <w:sz w:val="19"/>
        </w:rPr>
        <w:t xml:space="preserve">Implemented physical terminal local and bulk user deletion commands (DeleteBulkFromBiometricDevice, DeleteBiometricUser) via TAD/SOAP with online device status gating and attendance merge optimization.</w:t>
      </w:r>
    </w:p>
    <w:p>
      <w:pPr>
        <w:spacing w:before="80" w:after="4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External Portal: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•  </w:t>
      </w:r>
      <w:r>
        <w:rPr>
          <w:rFonts w:ascii="Arial" w:hAnsi="Arial" w:cs="Arial"/>
          <w:sz w:val="19"/>
        </w:rPr>
        <w:t xml:space="preserve">Overhauled administrator and user DTR Livewire components (AdministratorDTRView, DTRView), optimized timestamp calculation logic, and eliminated runtime crash exceptions on edge-case punch logs.</w:t>
      </w:r>
    </w:p>
    <w:p>
      <w:pPr>
        <w:ind w:left="360" w:hanging="24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•  </w:t>
      </w:r>
      <w:r>
        <w:rPr>
          <w:rFonts w:ascii="Arial" w:hAnsi="Arial" w:cs="Arial"/>
          <w:sz w:val="19"/>
        </w:rPr>
        <w:t xml:space="preserve">Enforced email verification middleware (EnsureEmailIsVerified), integrated Google OAuth flow, and redesigned registration/password recovery portals.</w:t>
      </w:r>
    </w:p>
    <w:p>
      <w:pPr>
        <w:spacing w:before="80" w:after="4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Other related tasks:</w:t>
      </w:r>
    </w:p>
    <w:p>
      <w:pPr>
        <w:ind w:left="480" w:hanging="28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1. </w:t>
      </w:r>
      <w:r>
        <w:rPr>
          <w:rFonts w:ascii="Arial" w:hAnsi="Arial" w:cs="Arial"/>
          <w:sz w:val="19"/>
        </w:rPr>
        <w:t xml:space="preserve">Assisted the HRMO in monitoring and documenting employee attendance during flag ceremonies.</w:t>
      </w:r>
    </w:p>
    <w:p>
      <w:pPr>
        <w:ind w:left="480" w:hanging="280"/>
        <w:spacing w:before="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2. </w:t>
      </w:r>
      <w:r>
        <w:rPr>
          <w:rFonts w:ascii="Arial" w:hAnsi="Arial" w:cs="Arial"/>
          <w:sz w:val="19"/>
        </w:rPr>
        <w:t xml:space="preserve">Provided continuous technical assistance and biometric synchronization support across hospital departments.</w:t>
      </w:r>
    </w:p>
    <w:p>
      <w:pPr>
        <w:spacing w:before="0" w:after="60" w:line="240" w:lineRule="auto"/>
        <w:rPr>
          <w:rFonts w:ascii="Arial" w:hAnsi="Arial" w:cs="Arial"/>
          <w:sz w:val="14"/>
        </w:rPr>
      </w:pPr>
    </w:p>
    <w:p>
      <w:pPr>
        <w:spacing w:before="40" w:after="4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Submitted by:</w:t>
      </w:r>
    </w:p>
    <w:p>
      <w:pPr>
        <w:spacing w:before="0" w:after="0" w:line="24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REENJAY M. CAIMOR</w:t>
      </w:r>
    </w:p>
    <w:p>
      <w:pPr>
        <w:spacing w:before="0" w:after="120"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Computer Programmer II - Job Order</w:t>
      </w:r>
    </w:p>
    <w:tbl>
      <w:tblPr>
        <w:tblW w:w="10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300"/>
        <w:gridCol w:w="5300"/>
      </w:tblGrid>
      <w:tr>
        <w:tc>
          <w:tcPr>
            <w:tcW w:w="5300" w:type="dxa"/>
          </w:tcPr>
          <w:p>
            <w:pPr>
              <w:spacing w:before="0" w:after="6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 xml:space="preserve">Reviewed by:</w:t>
            </w:r>
          </w:p>
          <w:p>
            <w:pPr>
              <w:spacing w:before="0" w:after="0" w:line="24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KRIZELLE MAE B. FALCASANTOS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Information Systems Analyst III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IMISS</w:t>
            </w:r>
          </w:p>
        </w:tc>
        <w:tc>
          <w:tcPr>
            <w:tcW w:w="5300" w:type="dxa"/>
          </w:tcPr>
          <w:p>
            <w:pPr>
              <w:spacing w:before="0" w:after="6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 xml:space="preserve">Noted by:</w:t>
            </w:r>
          </w:p>
          <w:p>
            <w:pPr>
              <w:spacing w:before="0" w:after="0" w:line="240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BERNARD G. HIBIONADA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Supervising Health Program Officer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Head, IMISS</w:t>
            </w:r>
          </w:p>
        </w:tc>
      </w:tr>
    </w:tbl>
    <w:p>
      <w:pPr>
        <w:spacing w:before="0" w:after="40" w:line="240" w:lineRule="auto"/>
        <w:rPr>
          <w:rFonts w:ascii="Arial" w:hAnsi="Arial" w:cs="Arial"/>
          <w:sz w:val="12"/>
        </w:rPr>
      </w:pPr>
    </w:p>
    <w:p>
      <w:pPr>
        <w:pBdr>
          <w:top w:val="single" w:sz="6" w:space="2" w:color="CCCCCC"/>
        </w:pBdr>
        <w:spacing w:before="60" w:after="20"/>
      </w:pPr>
    </w:p>
    <w:tbl>
      <w:tblPr>
        <w:tblW w:w="1060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200"/>
        <w:gridCol w:w="3400"/>
      </w:tblGrid>
      <w:tr>
        <w:tc>
          <w:tcPr>
            <w:tcW w:w="7200" w:type="dxa"/>
          </w:tcPr>
          <w:p>
            <w:pPr>
              <w:spacing w:before="0" w:after="0" w:line="240" w:lineRule="auto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 xml:space="preserve">PHIC Accredited Health Care Provider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 xml:space="preserve">Telefax: (062) 991-0573; Trunklines: (062) 991-2934; 992-0052; 992-0154; 992-0549; 992-1938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 xml:space="preserve">URL: http://www.doh.gov.ph/zcmc</w:t>
            </w:r>
          </w:p>
        </w:tc>
        <w:tc>
          <w:tcPr>
            <w:tcW w:w="3400" w:type="dxa"/>
            <w:vAlign w:val="center"/>
          </w:tcPr>
          <w:p>
            <w:pPr>
              <w:jc w:val="right"/>
              <w:spacing w:before="0" w:after="0" w:line="240" w:lineRule="auto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/>
                <w:b/>
                <w:sz w:val="14"/>
              </w:rPr>
              <w:t xml:space="preserve">Management System ISO 9001:2015</w:t>
            </w:r>
          </w:p>
          <w:p>
            <w:pPr>
              <w:jc w:val="right"/>
              <w:spacing w:before="0" w:after="0" w:line="240" w:lineRule="auto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 xml:space="preserve"/>
            </w:r>
          </w:p>
        </w:tc>
      </w:tr>
    </w:tbl>
    <w:sectPr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  <w:lang w:val="en-US"/>
      </w:rPr>
    </w:rPrDefault>
    <w:pPrDefault>
      <w:pPr>
        <w:spacing w:line="240" w:lineRule="auto" w:before="0" w:after="6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</Relationships>
</file>

<file path=docProps/app.xml><?xml version="1.0" encoding="utf-8"?>
<Properties xmlns="http://schemas.openxmlformats.org/officeDocument/2006/extended-properties">
  <Application>Microsoft Word</Application>
  <DocSecurity>0</DocSecurity>
  <ScaleCrop>false</ScaleCrop>
  <Company>Zamboanga City Medical Center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Accomplishment Report for September 16-30, 2026</dc:title>
  <dc:creator>Reenjay M. Caimor</dc:creator>
  <cp:lastModifiedBy>Reenjay M. Caimor</cp:lastModifiedBy>
  <cp:revision>1</cp:revision>
  <dcterms:created xsi:type="dcterms:W3CDTF">2026-10-01T08:30:00Z</dcterms:created>
  <dcterms:modified xsi:type="dcterms:W3CDTF">2026-10-01T08:30:00Z</dcterms:modified>
</cp:coreProperties>
</file>