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200"/>
        <w:gridCol w:w="6800"/>
        <w:gridCol w:w="1600"/>
      </w:tblGrid>
      <w:tr>
        <!-- Left Cell: Bagong Pilipinas & DOH logos --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</w:pPr>
            <w:r>
              <w:drawing>
                <wp:inline distT="0" distB="0" distL="0" distR="0">
                  <wp:extent cx="680000" cy="634000"/>
                  <wp:effectExtent l="0" t="0" r="0" b="0"/>
                  <wp:docPr id="1" name="Bagong Pilipin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gong Pilipinas"/>
                          <pic:cNvPicPr/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00" cy="6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580000" cy="575000"/>
                  <wp:effectExtent l="0" t="0" r="0" b="0"/>
                  <wp:docPr id="2" name="DO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H"/>
                          <pic:cNvPicPr/>
                        </pic:nvPicPr>
                        <pic:blipFill>
                          <a:blip xmlns:r="http://schemas.openxmlformats.org/officeDocument/2006/relationships"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0" cy="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!-- Center Cell: Republic of the Philippines / DOH / ZCMC / Address -->
        <w:tc>
          <w:tcPr>
            <w:tcW w:w="6800" w:type="dxa"/>
            <w:vAlign w:val="center"/>
          </w:tcPr>
          <w:p>
            <w:pPr>
              <w:jc w:val="center"/>
              <w:spacing w:before="0" w:after="1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Republic of the Philippines</w:t>
            </w:r>
          </w:p>
          <w:p>
            <w:pPr>
              <w:jc w:val="center"/>
              <w:spacing w:before="0" w:after="1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Department of Health</w:t>
            </w:r>
          </w:p>
          <w:p>
            <w:pPr>
              <w:jc w:val="center"/>
              <w:spacing w:before="0" w:after="10"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ZAMBOANGA CITY MEDICAL CENTER</w:t>
            </w:r>
          </w:p>
          <w:p>
            <w:pPr>
              <w:jc w:val="center"/>
              <w:spacing w:before="0" w:after="0" w:line="240" w:lineRule="auto"/>
              <w:rPr>
                <w:rFonts w:ascii="Arial" w:hAnsi="Arial" w:cs="Arial"/>
                <w:i/>
                <w:sz w:val="17"/>
              </w:rPr>
            </w:pPr>
            <w:r>
              <w:rPr>
                <w:rFonts w:ascii="Arial" w:hAnsi="Arial" w:cs="Arial"/>
                <w:i/>
                <w:sz w:val="17"/>
              </w:rPr>
              <w:t xml:space="preserve">Dr. Evangelista St., Sta Catalina, Zamboanga City, 7000</w:t>
            </w:r>
          </w:p>
        </w:tc>
        <!-- Right Cell: ZCMC Seal -->
        <w:tc>
          <w:tcPr>
            <w:tcW w:w="160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drawing>
                <wp:inline distT="0" distB="0" distL="0" distR="0">
                  <wp:extent cx="600000" cy="800000"/>
                  <wp:effectExtent l="0" t="0" r="0" b="0"/>
                  <wp:docPr id="3" name="ZCM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CMC"/>
                          <pic:cNvPicPr/>
                        </pic:nvPicPr>
                        <pic:blipFill>
                          <a:blip xmlns:r="http://schemas.openxmlformats.org/officeDocument/2006/relationships"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00" cy="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space="4" w:color="000000"/>
        </w:pBdr>
        <w:spacing w:before="60" w:after="100"/>
      </w:pPr>
    </w:p>
    <w:p>
      <w:pPr>
        <w:jc w:val="center"/>
        <w:spacing w:before="40" w:after="2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ACCOMPLISHMENT REPORT</w:t>
      </w:r>
    </w:p>
    <w:p>
      <w:pPr>
        <w:jc w:val="center"/>
        <w:spacing w:before="0"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for October 1-15, 2026</w:t>
      </w:r>
    </w:p>
    <w:p>
      <w:pPr>
        <w:spacing w:before="6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External Portal: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Engineered Interactive Calendar &amp; Duty Roster Management Engine (ScheduleCalendarController, schedule-calendar.js, 1,100+ lines): built full calendar scheduling UI with month/week/day views, custom drag/drop &amp; click slot booking, dynamic shift selection modals, and real-time live synchronization.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Designed and implemented Shift Preset Management Subsystem: engineered shift_presets schema migration and Filament resource (ShiftPresetsResource, ShiftPresetsTable, ShiftPresetsForm) supporting standard/custom hospital duty codes, break configurations, and color-coded schedule badges.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Implemented Agency-Based Multi-Tenant Access Filtering: created database migration for administrator agency assignments and integrated scope filters across ExternalListsResource, ViewSchedule, and ViewUserDTR to restrict supervisors to their assigned external personnel.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Refactored DTR and Live Schedule Administrative Views (AdministratorDTRView, DTRView, ViewScheduleAdminWidget) with dynamic duty assignment caching, optimized shift status resolution, and enhanced schedule query performance.</w:t>
      </w:r>
    </w:p>
    <w:p>
      <w:pPr>
        <w:spacing w:before="6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Centralized Object Storage Service (COSS) &amp; Recruitment System Integration: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Architected and deployed COSS (Centralized Object Storage Service) microservice: developed high-throughput REST API with chunked file uploads (InitiateChunkUploadRequest, UploadChunkSliceRequest), asynchronous ClamAV antivirus scanning queue (ScanUploadedFileJob), and strict HMAC-SHA256 client authentication.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Engineered Zero-Trust Time-Limited &amp; IP-Restricted Download Subsystem: developed dynamic signed URL generation with link expiration, download count quotas, optional password protection, and client IP whitelisting (FileDownloadRestrictionsTest).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Built COSS Systems &amp; File Governance Administration Portal (ManagementController, LinksManagement.jsx, QuarantineAndExpiredManagement.jsx) for real-time link tracking, quota inspection, and automated file purging (coss:purge-expired-files).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Integrated COSS into Recruitment System: developed CossService client wrapper, automated background link synchronization command (coss:sync-links), and linked candidate attachment storage for credentials, resumes, and examination records.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Engineered Concurrent Exam Security Controls: implemented strict single-session checks preventing concurrent examinee logins, active exam session monitoring, and real-time exam notification alerts (ApplicantSingleSessionTest, exam-bell-notification.blade.php).</w:t>
      </w:r>
    </w:p>
    <w:p>
      <w:pPr>
        <w:spacing w:before="6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AttendanceQR &amp; DTRservice Modules: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Architected Automated Flag Ceremony Attendance Generation Subsystem (CreateFlagAttendanceCommand, run_attendance_create.vbs): scheduled automated morning ceremony attendance generation with real-time audit logging and console dispatching.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Overhauled Mobile QR Scanner &amp; Geolocation Verification Interface: integrated Google Maps calibration engine (Calibrate.jsx, use-google-maps.js), real-time camera QR decoder with retry fallbacks (QRScannerModal.jsx), and enhanced location-boundary restriction feedback (notinLocation.jsx).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Isolated HRBLIZ Biometric Device Transaction Pipeline: engineered dedicated device_logs_hrbliz schema migration, separate repository data models, and dedicated log alert view controllers to cleanly segregate HRBLIZ standalone terminal logs from primary hospital biometric streams.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   </w:t>
      </w:r>
      <w:r>
        <w:rPr>
          <w:rFonts w:ascii="Arial" w:hAnsi="Arial" w:cs="Arial"/>
          <w:sz w:val="19"/>
        </w:rPr>
        <w:t xml:space="preserve">Enhanced Physical Terminal Diagnostics &amp; Command Pipeline: developed comprehensive device operation logging service (OperationLogger, DeviceOperationLogsTest) and automated sent command recovery handling in DeviceCommandService.</w:t>
      </w:r>
    </w:p>
    <w:p>
      <w:pPr>
        <w:spacing w:before="8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Other related tasks:</w:t>
      </w:r>
    </w:p>
    <w:p>
      <w:pPr>
        <w:ind w:left="480" w:hanging="28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1. </w:t>
      </w:r>
      <w:r>
        <w:rPr>
          <w:rFonts w:ascii="Arial" w:hAnsi="Arial" w:cs="Arial"/>
          <w:sz w:val="19"/>
        </w:rPr>
        <w:t xml:space="preserve">Assisted the HRMO in monitoring and documenting employee attendance during flag ceremonies.</w:t>
      </w:r>
    </w:p>
    <w:p>
      <w:pPr>
        <w:ind w:left="480" w:hanging="28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2. </w:t>
      </w:r>
      <w:r>
        <w:rPr>
          <w:rFonts w:ascii="Arial" w:hAnsi="Arial" w:cs="Arial"/>
          <w:sz w:val="19"/>
        </w:rPr>
        <w:t xml:space="preserve">Provided continuous technical assistance and biometric synchronization support across hospital departments.</w:t>
      </w:r>
    </w:p>
    <w:p>
      <w:pPr>
        <w:spacing w:before="0" w:after="60" w:line="240" w:lineRule="auto"/>
        <w:rPr>
          <w:rFonts w:ascii="Arial" w:hAnsi="Arial" w:cs="Arial"/>
          <w:sz w:val="14"/>
        </w:rPr>
      </w:pPr>
    </w:p>
    <w:p>
      <w:pPr>
        <w:spacing w:before="4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Submitted by:</w:t>
      </w:r>
    </w:p>
    <w:p>
      <w:pPr>
        <w:spacing w:before="0"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REENJAY M. CAIMOR</w:t>
      </w:r>
    </w:p>
    <w:p>
      <w:pPr>
        <w:spacing w:before="0" w:after="12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Computer Programmer II - Job Order</w:t>
      </w:r>
    </w:p>
    <w:tbl>
      <w:tblPr>
        <w:tblW w:w="10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300"/>
        <w:gridCol w:w="5300"/>
      </w:tblGrid>
      <w:tr>
        <w:tc>
          <w:tcPr>
            <w:tcW w:w="5300" w:type="dxa"/>
          </w:tcPr>
          <w:p>
            <w:pPr>
              <w:spacing w:before="0" w:after="6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Reviewed by:</w:t>
            </w:r>
          </w:p>
          <w:p>
            <w:pPr>
              <w:spacing w:before="0" w:after="0" w:line="24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KRIZELLE MAE B. FALCASANTOS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Information Systems Analyst III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IMISS</w:t>
            </w:r>
          </w:p>
        </w:tc>
        <w:tc>
          <w:tcPr>
            <w:tcW w:w="5300" w:type="dxa"/>
          </w:tcPr>
          <w:p>
            <w:pPr>
              <w:spacing w:before="0" w:after="6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Noted by:</w:t>
            </w:r>
          </w:p>
          <w:p>
            <w:pPr>
              <w:spacing w:before="0" w:after="0" w:line="24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BERNARD G. HIBIONADA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Supervising Health Program Officer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Head, IMISS</w:t>
            </w:r>
          </w:p>
        </w:tc>
      </w:tr>
    </w:tbl>
    <w:p>
      <w:pPr>
        <w:spacing w:before="0" w:after="40" w:line="240" w:lineRule="auto"/>
        <w:rPr>
          <w:rFonts w:ascii="Arial" w:hAnsi="Arial" w:cs="Arial"/>
          <w:sz w:val="12"/>
        </w:rPr>
      </w:pPr>
    </w:p>
    <w:p>
      <w:pPr>
        <w:pBdr>
          <w:top w:val="single" w:sz="6" w:space="2" w:color="CCCCCC"/>
        </w:pBdr>
        <w:spacing w:before="60" w:after="20"/>
      </w:pPr>
    </w:p>
    <w:tbl>
      <w:tblPr>
        <w:tblW w:w="10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200"/>
        <w:gridCol w:w="3400"/>
      </w:tblGrid>
      <w:tr>
        <w:tc>
          <w:tcPr>
            <w:tcW w:w="7200" w:type="dxa"/>
          </w:tcPr>
          <w:p>
            <w:pPr>
              <w:spacing w:before="0" w:after="0" w:line="240" w:lineRule="auto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PHIC Accredited Health Care Provider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Telefax: (062) 991-0573; Trunklines: (062) 991-2934; 992-0052; 992-0154; 992-0549; 992-1938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URL: http://www.doh.gov.ph/zcmc</w:t>
            </w:r>
          </w:p>
        </w:tc>
        <w:tc>
          <w:tcPr>
            <w:tcW w:w="3400" w:type="dxa"/>
            <w:vAlign w:val="center"/>
          </w:tcPr>
          <w:p>
            <w:pPr>
              <w:jc w:val="right"/>
              <w:spacing w:before="0" w:after="0" w:line="240" w:lineRule="auto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 xml:space="preserve">Management System ISO 9001:2015</w:t>
            </w:r>
          </w:p>
          <w:p>
            <w:pPr>
              <w:jc w:val="right"/>
              <w:spacing w:before="0" w:after="0" w:line="240" w:lineRule="auto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/>
            </w:r>
          </w:p>
        </w:tc>
      </w:tr>
    </w:tbl>
    <w:sectPr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US"/>
      </w:rPr>
    </w:rPrDefault>
    <w:pPrDefault>
      <w:pPr>
        <w:spacing w:line="240" w:lineRule="auto" w:before="0" w:after="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>Zamboanga City Medical Center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Accomplishment Report for September 16-30, 2026</dc:title>
  <dc:creator>Reenjay M. Caimor</dc:creator>
  <cp:lastModifiedBy>Reenjay M. Caimor</cp:lastModifiedBy>
  <cp:revision>1</cp:revision>
  <dcterms:created xsi:type="dcterms:W3CDTF">2026-10-01T08:30:00Z</dcterms:created>
  <dcterms:modified xsi:type="dcterms:W3CDTF">2026-10-01T08:30:00Z</dcterms:modified>
</cp:coreProperties>
</file>