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de escritorio, con sistema operativo {sistemaOperativo},{#tipoSeguridad==”ninguna”} con ningun tipo de seguridad.{/}{#tipoSeguridad!=”ninguna”} y {tipoSeguridad} como tipo de seguridad.{/}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 los fines de realizar una adquisición forense de su contenido a través del software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se pudo observar que la misma se encuentra {#tipoSeguridad==”ninguna”} desbloqueado, por lo tanto se realizó una extracción {tipoExtraccion}.{/}{#tipoSeguridad!=“ninguna”} bloqueado con {tipoSeguridad},{#desbloqueo==“no”} tras reiterados intentos no se logró deshabilitar el mismo, por lo tanto no se realizó ningún tipo de extracción forense.{/}{#desbloqueo==“si”} tras reiterados intentos se logró deshabilitar el mismo, por lo tanto se realizó una extracción {tipoExtraccion}.{/}{/}{/}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procedio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forense.{/}{#extraccion==”no”} Se informa que la misma no finalizó de forma exitosa y no se pudo obtener información de este elemento.{/}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extrae:-{#Discos!=[]}{#Discos}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l8tzmcjsqzk7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por hardware marca Tableau, a los fines de realizar una adquisición forense de su contenido a través del software Tableau Imager, la cual finalizo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jib577f2doz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visible.{/}{#imei!==“”} IMEI Nº {imei}.{/}{#Sims!==[]}{#Sims} Una tarjeta SIM{#empresaSim==””} sin empresa visible{/}{#empresaSim!=””}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Respecto del equipo de telefonía celular, luego de brindarle energía y encenderlo, se observó que el mismo{#tipoSeguridad==”ninguna”} no poseía bloqueo, por lo tanto se logró realizar una extracción {tipoExtraccion} de su contenido con éxito.{/}{#tipoSeguridad!=“ninguna”} poseía {tipoSeguridad}.{#desbloqueo==“no”} tras reiterados intentos no se logró deshabilitar el mismo, por lo tanto no se logró realizar ninguna tarea técnica.{/}{#desbloqueo==“si”} tras reiterados intentos se logró desbloquer el mismo, y realizar en esta oportunidad,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{#actaObservaciones!=””}{actaObservaciones}.{/}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SG5xs0m2/eKOVU7mYH6UcRXRGQ==">AMUW2mXfBZToen3Oic/oiHp1NNMaeHPAo+MGZKoGZ3BKgAzK9GpMJ9/iMSqGxZPV+HQuSpeVXleGIeEp4flX6l4OXm3FPCFSttsyt7GcfRnZuPIdetxVSK9fAkPiaFvS4H7UXJvIVPrufpz2lF+XYadERTC7VbcP1fyVimUtkV3mnxBAqXsXwUXZvj3TJAu6QloYcg/32HdsYeAoWUZ/sXJ44Bj+CbgEKQRg5tWEJRy351STQtjyRyVhaqsWzPj6P49spiQG57mP1flZIBvs46S0bR5YRmyPK9saMolETFk5xfkS/s1PRZjE0h86zrAgPfUXB0vJkdI/1uAew4xQlk8T2UjZyu6+7F4aNzi9WVHz9UwfhCgv1+hD+ZJvZjGK47MIlxx4aWv7UTC6l837UGgDkBWEthhR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