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 da apertura a una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 se procedió a realizar una tarea técnica utilizando el software forense aportado por la empresa Cellebrite, UFED 4PC versión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Cellebrite, UFED 4PC versión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proceso”}Finalizadas las tareas técnicas pertinentes, 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{#actaObservaciones!=””}{actaObservaciones}.{/} Con lo que no siendo para más,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DhU5MRu1CDyeQK3a9jVqRmBHvw==">AMUW2mXteihDZjwXr3qSdQSaLRzh9Tf22dZF6t0EP9JqjVAI4HalSa4b0KKdFrlLovBIozDFrrnZ02TtaepJXGtM2o0XHFWv/qdHLHloyhcZTYG66sjh03GCPFj47CwsZTfQ2Xhhi4odJfgiCV6m1ZPNb3UJmIHRZMBH5vJ6puPs+T5a59uY0m5GUUdK+23LvTQ4ECV8RGG+hNvB86NwU7BsuUhG4HSJY+6HhYV4l9haxqlQtHhgGj8QbRCD7naKGTwyfnX0FcF469qiwD1B+bwKEFTa7TODerFCZo96XoHpk0KqRQENMa0xy0LIlc/V4dRR0Z+x9/prOVXiLtFkaVqKZK20U9NxxLqHPn6axHSJHppgKMbk3S047MTDpf1h/PZQsmdzoJ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