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72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Se procedió a realizar una extracción utilizando el software forense aportado por {herramientaSoft}, con el cual se logró:{#TipoExtraccions}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bookmarkStart w:colFirst="0" w:colLast="0" w:name="_heading=h.ixf0ypp0x4cm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Una extracción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 la cual {#estado==”completo”} finalizó correctamente{/}{#estado==”fallo”} tuvo una falla, {observacionFalla}{/}{#estado==”en proceso”}no pudo finalizar en esta jornada y queda en proceso a ser completado en la siguiente{/}.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{/TipoExtraccions}{/Extraccions}{/}{/}{/}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  <w:shd w:fill="cccccc" w:val="clear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shd w:fill="cccccc" w:val="clear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  <w:shd w:fill="cccccc" w:val="clear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Se procedió a realizar una extracción utilizando el software forense aportado por {herramientaSoft}, con el cual se logró:{#TipoExtraccions}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  <w:shd w:fill="cccccc" w:val="clear"/>
        </w:rPr>
      </w:pPr>
      <w:bookmarkStart w:colFirst="0" w:colLast="0" w:name="_heading=h.ixf0ypp0x4cm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Una extracción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shd w:fill="cccccc" w:val="clear"/>
          <w:rtl w:val="0"/>
        </w:rPr>
        <w:t xml:space="preserve">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 la cual {#estado==”completo”} finalizó correctamente{/}{#estado==”fallo”} tuvo una falla, {observacionFalla}{/}{#estado==”en proceso”}no pudo finalizar en esta jornada y queda en proceso a ser completado en la siguiente{/}.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shd w:fill="cccccc" w:val="clear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{/TipoExtraccions}{/Extraccions}{/}{/}{/}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{/}{/}{/}{/}{/efectos}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5"/>
      <w:bookmarkEnd w:id="15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hI2A2FTr2ULmwbc6ueo5Jifog==">CgMxLjAyDmgudmRsODZpeGdwdWZ4Mg5oLnFrYjZzYTFoMDJubzIOaC5na2J0MGNmNm12MHkyDmguMXY3dndhcXFkMGs4Mg5oLnpjN3Y5enhsbjA5OTIOaC4xZDMxbTJvZGY3Z2YyDmguaXhmMHlwcDB4NGNtMg5oLngzeWpkdWo5cGZ3NDIOaC5yZzUzZWxncmNkcHkyDmguNGo5eHlxZDR6ZWoyMg5oLnU5ZW9vdTJ2MHJmeDIOaC56Yzd2OXp4bG4wOTkyDmguMWQzMW0yb2RmN2dmMg5oLml4ZjB5cHAweDRjbTIOaC54M3lqZHVqOXBmdzQyDmguc3o3Y3hoY2c2a2MyMg1oLnVpYmR2dmtnN3pyMg5oLmswem80MmNxOWMwNDIOaC5rb2NjMDg1MW13aTk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