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con {legajoOMatricula}, con el cargo de {cargo}{#locacion==”presencial”}{#integranteNoRepeatLeyend==false}, encontrándose en el Laboratorio de Informática forense del CIJ{/}{/}{#locacion==”videollamada”}{#integranteNoRepeatLeyend==false} por videollamada a través de la plataforma de videoconferencia WebEx{/}{/}.{/integrantes}{#integranteNoRepeatLeyend==true} Encontrándose en el Laboratorio de Informática forense del CIJ.{/}{#integranteNoRepeatLeyend==true} Por videollamada a través de la plataforma de videoconferencia WebEx{/}{/}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----{/}{#processToComplete=="true"} Atento a lo mencionado anteriormente y a fin de continuar con el procedimiento pericial: ----{/}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----{/}{#processToCompleteBolsa=="true"}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----{/}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----{/}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extrae:----{#Discos}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extrae:----{#Discos}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----{#TipoExtraccions}{#nombre==”ninguna”}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----{/TipoExtraccions}{/}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----{/}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----{/}{/}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----{#Discos}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----{/}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”.{/} Se procedió a realizar una extracción utilizando el software forense aportado por {herramientaSoft}: ----{#TipoExtraccions}{#nombre==”ninguna”}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----{/TipoExtraccions}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siguiente.----.{/}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----{/}{/}{/efectos}{#estado==”cerrada”}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----{/}{#estado=="abierta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----{/}{/}{/bolsas}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----{/}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----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{actaId}{nro_mpf}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8jXx1sONa7TqnCSNwLOPrV4wA==">CgMxLjAyDmgudmRsODZpeGdwdWZ4Mg5oLnFrYjZzYTFoMDJubzIOaC5na2J0MGNmNm12MHkyDmgudmRsODZpeGdwdWZ4Mg5oLm1vMzdubjRhcGluMzIOaC5mYWVnOThrMnQ5NjgyDmgud3MxNWs3aGhvZmZkMg5oLngzeWpkdWo5cGZ3NDIOaC5ldXB5ZHFmdGNxZDcyDmgucmc1M2VsZ3JjZHB5Mg5oLjlnZHlnaDZlZzBtZzIOaC5nNHl4ZHY2OWRkcnUyDmguNGo5eHlxZDR6ZWoyMg5oLnZkbDg2aXhncHVmeDIOaC56Yzd2OXp4bG4wOTkyDmguZmFlZzk4azJ0OTY4Mg5oLjZ3YWxjdWF6a2lsNTIOaC44dnZzenRnNnUyY3gyDmguNmptdWtzajJjYnBhMg1oLnVpYmR2dmtnN3pyMg5oLmswem80MmNxOWMwNDIOaC5wdXptdTJrb3JhbG4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