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pericial:{/}{#processToComplete=="true"}Atento a lo realizado en la jornada anterior, se procedió a verificar el estado de los elementos que se dejaron en proceso, para luego proceder al cierre del procedimiento pericial.{/}{#bolsas}{#processToComplete=="false"}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