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pericial:{/}{#bolsas}{#processToComplete=="false"}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