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Clinical trial report: three treatments for anxiety</w:t>
      </w:r>
    </w:p>
    <w:p>
      <w:pPr>
        <w:pStyle w:val="Subtitle"/>
      </w:pPr>
      <w:r>
        <w:t xml:space="preserve">Día 4 · Bloque 2 — Ejercicio 3 (SOLUCIONES)</w:t>
      </w:r>
    </w:p>
    <w:p>
      <w:pPr>
        <w:pStyle w:val="Author"/>
      </w:pPr>
      <w:r>
        <w:t xml:space="preserve">Filip Andras - CIMCYC, Universidad de Granada</w:t>
      </w:r>
    </w:p>
    <w:p>
      <w:pPr>
        <w:pStyle w:val="Date"/>
      </w:pPr>
      <w:r>
        <w:t xml:space="preserve">2026-10-15</w:t>
      </w:r>
    </w:p>
    <w:bookmarkStart w:id="9" w:name="introduction"/>
    <w:p>
      <w:pPr>
        <w:pStyle w:val="Heading2"/>
      </w:pPr>
      <w:r>
        <w:t xml:space="preserve">Introduction</w:t>
      </w:r>
    </w:p>
    <w:p>
      <w:pPr>
        <w:pStyle w:val="FirstParagraph"/>
      </w:pPr>
      <w:r>
        <w:t xml:space="preserve">A randomised clinical trial compared two treatments for anxiety, cognitive-behavioural therapy (CBT) and pharmacological treatment, against a control group. Anxiety was measured with the Beck Anxiety Inventory (BAI)</w:t>
      </w:r>
      <w:r>
        <w:t xml:space="preserve"> </w:t>
      </w:r>
      <w:r>
        <w:t xml:space="preserve">(Beck et al., 1988)</w:t>
      </w:r>
      <w:r>
        <w:t xml:space="preserve"> </w:t>
      </w:r>
      <w:r>
        <w:t xml:space="preserve">before and after treatment. This report describes the sample, visualises the change and tests whether the change in anxiety depends on the treatment.</w:t>
      </w:r>
    </w:p>
    <w:p>
      <w:pPr>
        <w:pStyle w:val="BodyText"/>
      </w:pPr>
      <w:r>
        <w:rPr>
          <w:i/>
          <w:iCs/>
        </w:rPr>
        <w:t xml:space="preserve">Note.</w:t>
      </w:r>
      <w:r>
        <w:t xml:space="preserve"> </w:t>
      </w:r>
      <w:r>
        <w:t xml:space="preserve">The data are</w:t>
      </w:r>
      <w:r>
        <w:t xml:space="preserve"> </w:t>
      </w:r>
      <w:r>
        <w:rPr>
          <w:b/>
          <w:bCs/>
        </w:rPr>
        <w:t xml:space="preserve">synthetic</w:t>
      </w:r>
      <w:r>
        <w:t xml:space="preserve">: they were simulated for the course</w:t>
      </w:r>
      <w:r>
        <w:t xml:space="preserve"> </w:t>
      </w:r>
      <w:r>
        <w:rPr>
          <w:i/>
          <w:iCs/>
        </w:rPr>
        <w:t xml:space="preserve">Introducción a la programación y análisis de datos en R</w:t>
      </w:r>
      <w:r>
        <w:t xml:space="preserve"> </w:t>
      </w:r>
      <w:r>
        <w:t xml:space="preserve">(CIMCYC, Universidad de Granada) to practise the full workflow, from data to report. No real patients took part, and no clinical conclusion should be drawn from the results.</w:t>
      </w:r>
    </w:p>
    <w:bookmarkEnd w:id="9"/>
    <w:bookmarkStart w:id="10" w:name="data"/>
    <w:p>
      <w:pPr>
        <w:pStyle w:val="Heading2"/>
      </w:pPr>
      <w:r>
        <w:t xml:space="preserve">Data</w:t>
      </w:r>
    </w:p>
    <w:p>
      <w:pPr>
        <w:pStyle w:val="FirstParagraph"/>
      </w:pPr>
      <w:r>
        <w:t xml:space="preserve">All analyses were run in R</w:t>
      </w:r>
      <w:r>
        <w:t xml:space="preserve"> </w:t>
      </w:r>
      <w:r>
        <w:t xml:space="preserve">(R Core Team, 2026)</w:t>
      </w:r>
      <w:r>
        <w:t xml:space="preserve">, using RStudio</w:t>
      </w:r>
      <w:r>
        <w:t xml:space="preserve"> </w:t>
      </w:r>
      <w:r>
        <w:t xml:space="preserve">(Posit team, 2026)</w:t>
      </w:r>
      <w:r>
        <w:t xml:space="preserve"> </w:t>
      </w:r>
      <w:r>
        <w:t xml:space="preserve">as the development environment, with the packages afex</w:t>
      </w:r>
      <w:r>
        <w:t xml:space="preserve"> </w:t>
      </w:r>
      <w:r>
        <w:t xml:space="preserve">(Singmann et al., 2025)</w:t>
      </w:r>
      <w:r>
        <w:t xml:space="preserve">, emmeans</w:t>
      </w:r>
      <w:r>
        <w:t xml:space="preserve"> </w:t>
      </w:r>
      <w:r>
        <w:t xml:space="preserve">(Lenth &amp; Piaskowski, 2026)</w:t>
      </w:r>
      <w:r>
        <w:t xml:space="preserve">, ggplot2</w:t>
      </w:r>
      <w:r>
        <w:t xml:space="preserve"> </w:t>
      </w:r>
      <w:r>
        <w:t xml:space="preserve">(Wickham, 2016)</w:t>
      </w:r>
      <w:r>
        <w:t xml:space="preserve"> </w:t>
      </w:r>
      <w:r>
        <w:t xml:space="preserve">and gtsummary</w:t>
      </w:r>
      <w:r>
        <w:t xml:space="preserve"> </w:t>
      </w:r>
      <w:r>
        <w:t xml:space="preserve">(Sjoberg et al., 2021)</w:t>
      </w:r>
      <w:r>
        <w:t xml:space="preserve">; the versions are listed in the session information at the end.</w:t>
      </w:r>
    </w:p>
    <w:p>
      <w:pPr>
        <w:pStyle w:val="BodyText"/>
      </w:pPr>
      <w:r>
        <w:t xml:space="preserve">The trial included 300 patients, allocated to three groups of 100, 100 and 100 patients (CBT, control, pharmacological).</w:t>
      </w:r>
      <w:r>
        <w:t xml:space="preserve"> </w:t>
      </w:r>
      <w:hyperlink w:anchor="tbl-descriptivos">
        <w:r>
          <w:rPr>
            <w:rStyle w:val="Hyperlink"/>
          </w:rPr>
          <w:t xml:space="preserve">Table 1</w:t>
        </w:r>
      </w:hyperlink>
      <w:r>
        <w:t xml:space="preserve"> </w:t>
      </w:r>
      <w:r>
        <w:t xml:space="preserve">summarises the sample before and after treatment.</w:t>
      </w:r>
    </w:p>
    <w:bookmarkEnd w:id="10"/>
    <w:bookmarkStart w:id="12" w:name="table-1-the-sample-by-group"/>
    <w:p>
      <w:pPr>
        <w:pStyle w:val="Heading2"/>
      </w:pPr>
      <w:r>
        <w:t xml:space="preserve">Table 1: the sample by group</w:t>
      </w:r>
    </w:p>
    <w:tbl>
      <w:tblPr>
        <w:tblStyle w:val="Table"/>
        <w:tblW w:type="pct" w:w="5000"/>
        <w:tblLayout w:type="fixed"/>
        <w:tblLook w:firstRow="0" w:lastRow="0" w:firstColumn="0" w:lastColumn="0" w:noHBand="0" w:noVBand="0" w:val="0000"/>
      </w:tblPr>
      <w:tblGrid>
        <w:gridCol w:w="7920"/>
      </w:tblGrid>
      <w:tr>
        <w:tc>
          <w:tcPr/>
          <w:bookmarkStart w:id="11" w:name="tbl-descriptivos"/>
          <w:p>
            <w:pPr>
              <w:jc w:val="center"/>
            </w:pPr>
            <w:pPr>
              <w:jc w:val="left"/>
              <w:spacing w:before="200"/>
              <w:pStyle w:val="ImageCaption"/>
            </w:pPr>
            <w:r>
              <w:t xml:space="preserve">Table 1: Anxiety (BAI) by treatment group before and after treatment: n, mean and SD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Group</w:t>
                  </w:r>
                </w:p>
              </w:tc>
              <w:tc>
                <w:tcPr/>
                <w:p>
                  <w:pPr>
                    <w:pStyle w:val="Compact"/>
                    <w:jc w:val="right"/>
                    <w:jc w:val="center"/>
                  </w:pPr>
                  <w:r>
                    <w:t xml:space="preserve">n</w:t>
                  </w:r>
                </w:p>
              </w:tc>
              <w:tc>
                <w:tcPr/>
                <w:p>
                  <w:pPr>
                    <w:pStyle w:val="Compact"/>
                    <w:jc w:val="right"/>
                    <w:jc w:val="center"/>
                  </w:pPr>
                  <w:r>
                    <w:t xml:space="preserve">Mean before</w:t>
                  </w:r>
                </w:p>
              </w:tc>
              <w:tc>
                <w:tcPr/>
                <w:p>
                  <w:pPr>
                    <w:pStyle w:val="Compact"/>
                    <w:jc w:val="right"/>
                    <w:jc w:val="center"/>
                  </w:pPr>
                  <w:r>
                    <w:t xml:space="preserve">SD before</w:t>
                  </w:r>
                </w:p>
              </w:tc>
              <w:tc>
                <w:tcPr/>
                <w:p>
                  <w:pPr>
                    <w:pStyle w:val="Compact"/>
                    <w:jc w:val="right"/>
                    <w:jc w:val="center"/>
                  </w:pPr>
                  <w:r>
                    <w:t xml:space="preserve">Mean after</w:t>
                  </w:r>
                </w:p>
              </w:tc>
              <w:tc>
                <w:tcPr/>
                <w:p>
                  <w:pPr>
                    <w:pStyle w:val="Compact"/>
                    <w:jc w:val="right"/>
                    <w:jc w:val="center"/>
                  </w:pPr>
                  <w:r>
                    <w:t xml:space="preserve">SD after</w:t>
                  </w:r>
                </w:p>
              </w:tc>
            </w:tr>
            <w:tr>
              <w:tc>
                <w:tcPr/>
                <w:p>
                  <w:pPr>
                    <w:pStyle w:val="Compact"/>
                    <w:jc w:val="left"/>
                    <w:jc w:val="center"/>
                  </w:pPr>
                  <w:r>
                    <w:t xml:space="preserve">CBT</w:t>
                  </w:r>
                </w:p>
              </w:tc>
              <w:tc>
                <w:tcPr/>
                <w:p>
                  <w:pPr>
                    <w:pStyle w:val="Compact"/>
                    <w:jc w:val="right"/>
                    <w:jc w:val="center"/>
                  </w:pPr>
                  <w:r>
                    <w:t xml:space="preserve">100</w:t>
                  </w:r>
                </w:p>
              </w:tc>
              <w:tc>
                <w:tcPr/>
                <w:p>
                  <w:pPr>
                    <w:pStyle w:val="Compact"/>
                    <w:jc w:val="right"/>
                    <w:jc w:val="center"/>
                  </w:pPr>
                  <w:r>
                    <w:t xml:space="preserve">15.1</w:t>
                  </w:r>
                </w:p>
              </w:tc>
              <w:tc>
                <w:tcPr/>
                <w:p>
                  <w:pPr>
                    <w:pStyle w:val="Compact"/>
                    <w:jc w:val="right"/>
                    <w:jc w:val="center"/>
                  </w:pPr>
                  <w:r>
                    <w:t xml:space="preserve">2.1</w:t>
                  </w:r>
                </w:p>
              </w:tc>
              <w:tc>
                <w:tcPr/>
                <w:p>
                  <w:pPr>
                    <w:pStyle w:val="Compact"/>
                    <w:jc w:val="right"/>
                    <w:jc w:val="center"/>
                  </w:pPr>
                  <w:r>
                    <w:t xml:space="preserve">10.8</w:t>
                  </w:r>
                </w:p>
              </w:tc>
              <w:tc>
                <w:tcPr/>
                <w:p>
                  <w:pPr>
                    <w:pStyle w:val="Compact"/>
                    <w:jc w:val="right"/>
                    <w:jc w:val="center"/>
                  </w:pPr>
                  <w:r>
                    <w:t xml:space="preserve">2.8</w:t>
                  </w:r>
                </w:p>
              </w:tc>
            </w:tr>
            <w:tr>
              <w:tc>
                <w:tcPr/>
                <w:p>
                  <w:pPr>
                    <w:pStyle w:val="Compact"/>
                    <w:jc w:val="left"/>
                    <w:jc w:val="center"/>
                  </w:pPr>
                  <w:r>
                    <w:t xml:space="preserve">control</w:t>
                  </w:r>
                </w:p>
              </w:tc>
              <w:tc>
                <w:tcPr/>
                <w:p>
                  <w:pPr>
                    <w:pStyle w:val="Compact"/>
                    <w:jc w:val="right"/>
                    <w:jc w:val="center"/>
                  </w:pPr>
                  <w:r>
                    <w:t xml:space="preserve">100</w:t>
                  </w:r>
                </w:p>
              </w:tc>
              <w:tc>
                <w:tcPr/>
                <w:p>
                  <w:pPr>
                    <w:pStyle w:val="Compact"/>
                    <w:jc w:val="right"/>
                    <w:jc w:val="center"/>
                  </w:pPr>
                  <w:r>
                    <w:t xml:space="preserve">15.7</w:t>
                  </w:r>
                </w:p>
              </w:tc>
              <w:tc>
                <w:tcPr/>
                <w:p>
                  <w:pPr>
                    <w:pStyle w:val="Compact"/>
                    <w:jc w:val="right"/>
                    <w:jc w:val="center"/>
                  </w:pPr>
                  <w:r>
                    <w:t xml:space="preserve">2.1</w:t>
                  </w:r>
                </w:p>
              </w:tc>
              <w:tc>
                <w:tcPr/>
                <w:p>
                  <w:pPr>
                    <w:pStyle w:val="Compact"/>
                    <w:jc w:val="right"/>
                    <w:jc w:val="center"/>
                  </w:pPr>
                  <w:r>
                    <w:t xml:space="preserve">15.2</w:t>
                  </w:r>
                </w:p>
              </w:tc>
              <w:tc>
                <w:tcPr/>
                <w:p>
                  <w:pPr>
                    <w:pStyle w:val="Compact"/>
                    <w:jc w:val="right"/>
                    <w:jc w:val="center"/>
                  </w:pPr>
                  <w:r>
                    <w:t xml:space="preserve">2.5</w:t>
                  </w:r>
                </w:p>
              </w:tc>
            </w:tr>
            <w:tr>
              <w:tc>
                <w:tcPr/>
                <w:p>
                  <w:pPr>
                    <w:pStyle w:val="Compact"/>
                    <w:jc w:val="left"/>
                    <w:jc w:val="center"/>
                  </w:pPr>
                  <w:r>
                    <w:t xml:space="preserve">pharmacological</w:t>
                  </w:r>
                </w:p>
              </w:tc>
              <w:tc>
                <w:tcPr/>
                <w:p>
                  <w:pPr>
                    <w:pStyle w:val="Compact"/>
                    <w:jc w:val="right"/>
                    <w:jc w:val="center"/>
                  </w:pPr>
                  <w:r>
                    <w:t xml:space="preserve">100</w:t>
                  </w:r>
                </w:p>
              </w:tc>
              <w:tc>
                <w:tcPr/>
                <w:p>
                  <w:pPr>
                    <w:pStyle w:val="Compact"/>
                    <w:jc w:val="right"/>
                    <w:jc w:val="center"/>
                  </w:pPr>
                  <w:r>
                    <w:t xml:space="preserve">15.7</w:t>
                  </w:r>
                </w:p>
              </w:tc>
              <w:tc>
                <w:tcPr/>
                <w:p>
                  <w:pPr>
                    <w:pStyle w:val="Compact"/>
                    <w:jc w:val="right"/>
                    <w:jc w:val="center"/>
                  </w:pPr>
                  <w:r>
                    <w:t xml:space="preserve">2.2</w:t>
                  </w:r>
                </w:p>
              </w:tc>
              <w:tc>
                <w:tcPr/>
                <w:p>
                  <w:pPr>
                    <w:pStyle w:val="Compact"/>
                    <w:jc w:val="right"/>
                    <w:jc w:val="center"/>
                  </w:pPr>
                  <w:r>
                    <w:t xml:space="preserve">12.7</w:t>
                  </w:r>
                </w:p>
              </w:tc>
              <w:tc>
                <w:tcPr/>
                <w:p>
                  <w:pPr>
                    <w:pStyle w:val="Compact"/>
                    <w:jc w:val="right"/>
                    <w:jc w:val="center"/>
                  </w:pPr>
                  <w:r>
                    <w:t xml:space="preserve">2.7</w:t>
                  </w:r>
                </w:p>
              </w:tc>
            </w:tr>
          </w:tbl>
          <w:bookmarkEnd w:id="11"/>
          <w:p/>
        </w:tc>
      </w:tr>
    </w:tbl>
    <w:bookmarkEnd w:id="12"/>
    <w:bookmarkStart w:id="17" w:name="X7493ed123bf9cae1291d3f61b23f90afc9e1b05"/>
    <w:p>
      <w:pPr>
        <w:pStyle w:val="Heading2"/>
      </w:pPr>
      <w:r>
        <w:t xml:space="preserve">Figure 1: anxiety before and after treatment</w:t>
      </w:r>
    </w:p>
    <w:tbl>
      <w:tblPr>
        <w:tblStyle w:val="Table"/>
        <w:tblW w:type="pct" w:w="5000"/>
        <w:tblLayout w:type="fixed"/>
        <w:tblLook w:firstRow="0" w:lastRow="0" w:firstColumn="0" w:lastColumn="0" w:noHBand="0" w:noVBand="0" w:val="0000"/>
      </w:tblPr>
      <w:tblGrid>
        <w:gridCol w:w="7920"/>
      </w:tblGrid>
      <w:tr>
        <w:tc>
          <w:tcPr/>
          <w:bookmarkStart w:id="16" w:name="fig-ansiedad"/>
          <w:p>
            <w:pPr>
              <w:pStyle w:val="Compact"/>
              <w:jc w:val="center"/>
            </w:pPr>
            <w:r>
              <w:drawing>
                <wp:inline>
                  <wp:extent cx="5334000" cy="2667000"/>
                  <wp:effectExtent b="0" l="0" r="0" t="0"/>
                  <wp:docPr descr="" title="" id="14" name="Picture"/>
                  <a:graphic>
                    <a:graphicData uri="http://schemas.openxmlformats.org/drawingml/2006/picture">
                      <pic:pic>
                        <pic:nvPicPr>
                          <pic:cNvPr descr="04_day4_bloque2_solutions_files/figure-docx/fig-ansiedad-1.png" id="15" name="Picture"/>
                          <pic:cNvPicPr>
                            <a:picLocks noChangeArrowheads="1" noChangeAspect="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Anxiety (BAI) before and after treatment in each group. Cloud: density; box: median and quartiles; dots: individual patients.</w:t>
            </w:r>
          </w:p>
          <w:bookmarkEnd w:id="16"/>
        </w:tc>
      </w:tr>
    </w:tbl>
    <w:p>
      <w:pPr>
        <w:pStyle w:val="BodyText"/>
      </w:pPr>
      <w:r>
        <w:t xml:space="preserve">As</w:t>
      </w:r>
      <w:r>
        <w:t xml:space="preserve"> </w:t>
      </w:r>
      <w:hyperlink w:anchor="fig-ansiedad">
        <w:r>
          <w:rPr>
            <w:rStyle w:val="Hyperlink"/>
          </w:rPr>
          <w:t xml:space="preserve">Figure 1</w:t>
        </w:r>
      </w:hyperlink>
      <w:r>
        <w:t xml:space="preserve"> </w:t>
      </w:r>
      <w:r>
        <w:t xml:space="preserve">shows, the three groups are similar before treatment; afterwards, the control group remains above the two treated groups.</w:t>
      </w:r>
    </w:p>
    <w:bookmarkEnd w:id="17"/>
    <w:bookmarkStart w:id="27" w:name="X8189913878399cb7173b34a5ec9baeba8488145"/>
    <w:p>
      <w:pPr>
        <w:pStyle w:val="Heading2"/>
      </w:pPr>
      <w:r>
        <w:t xml:space="preserve">Analysis: does the change in anxiety depend on the treatment?</w:t>
      </w:r>
    </w:p>
    <w:bookmarkStart w:id="18" w:name="the-model"/>
    <w:p>
      <w:pPr>
        <w:pStyle w:val="Heading3"/>
      </w:pPr>
      <w:r>
        <w:t xml:space="preserve">The model</w:t>
      </w:r>
    </w:p>
    <w:p>
      <w:pPr>
        <w:pStyle w:val="FirstParagraph"/>
      </w:pPr>
      <w:r>
        <w:t xml:space="preserve">The design has one between-subjects factor (group: CBT, pharmacological, control) and one within-subjects factor (time: before vs. after), so the question is a</w:t>
      </w:r>
      <w:r>
        <w:t xml:space="preserve"> </w:t>
      </w:r>
      <w:r>
        <w:rPr>
          <w:b/>
          <w:bCs/>
        </w:rPr>
        <w:t xml:space="preserve">mixed ANOVA</w:t>
      </w:r>
      <w:r>
        <w:t xml:space="preserve"> </w:t>
      </w:r>
      <w:r>
        <w:t xml:space="preserve">(Day 3): the effect of interest is the</w:t>
      </w:r>
      <w:r>
        <w:t xml:space="preserve"> </w:t>
      </w:r>
      <w:r>
        <w:rPr>
          <w:b/>
          <w:bCs/>
        </w:rPr>
        <w:t xml:space="preserve">group × time interaction</w:t>
      </w:r>
      <w:r>
        <w:t xml:space="preserve">, i.e. whether the change from before to after differs between groups.</w:t>
      </w:r>
    </w:p>
    <w:bookmarkEnd w:id="18"/>
    <w:bookmarkStart w:id="23" w:name="assumptions"/>
    <w:p>
      <w:pPr>
        <w:pStyle w:val="Heading3"/>
      </w:pPr>
      <w:r>
        <w:t xml:space="preserve">Assumptions</w:t>
      </w:r>
    </w:p>
    <w:tbl>
      <w:tblPr>
        <w:tblStyle w:val="Table"/>
        <w:tblW w:type="pct" w:w="5000"/>
        <w:tblLayout w:type="fixed"/>
        <w:tblLook w:firstRow="0" w:lastRow="0" w:firstColumn="0" w:lastColumn="0" w:noHBand="0" w:noVBand="0" w:val="0000"/>
      </w:tblPr>
      <w:tblGrid>
        <w:gridCol w:w="7920"/>
      </w:tblGrid>
      <w:tr>
        <w:tc>
          <w:tcPr/>
          <w:bookmarkStart w:id="22" w:name="fig-supuestos"/>
          <w:p>
            <w:pPr>
              <w:pStyle w:val="Compact"/>
              <w:jc w:val="center"/>
            </w:pPr>
            <w:r>
              <w:drawing>
                <wp:inline>
                  <wp:extent cx="5334000" cy="2400300"/>
                  <wp:effectExtent b="0" l="0" r="0" t="0"/>
                  <wp:docPr descr="" title="" id="20" name="Picture"/>
                  <a:graphic>
                    <a:graphicData uri="http://schemas.openxmlformats.org/drawingml/2006/picture">
                      <pic:pic>
                        <pic:nvPicPr>
                          <pic:cNvPr descr="04_day4_bloque2_solutions_files/figure-docx/fig-supuestos-1.png" id="21" name="Picture"/>
                          <pic:cNvPicPr>
                            <a:picLocks noChangeArrowheads="1" noChangeAspect="1"/>
                          </pic:cNvPicPr>
                        </pic:nvPicPr>
                        <pic:blipFill>
                          <a:blip r:embed="rId19"/>
                          <a:stretch>
                            <a:fillRect/>
                          </a:stretch>
                        </pic:blipFill>
                        <pic:spPr bwMode="auto">
                          <a:xfrm>
                            <a:off x="0" y="0"/>
                            <a:ext cx="5334000" cy="24003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Residuals of the mixed ANOVA. Left: histogram; right: normal Q-Q plot.</w:t>
            </w:r>
          </w:p>
          <w:bookmarkEnd w:id="22"/>
        </w:tc>
      </w:tr>
    </w:tbl>
    <w:p>
      <w:pPr>
        <w:pStyle w:val="BodyText"/>
      </w:pPr>
      <w:hyperlink w:anchor="fig-supuestos">
        <w:r>
          <w:rPr>
            <w:rStyle w:val="Hyperlink"/>
          </w:rPr>
          <w:t xml:space="preserve">Figure 2</w:t>
        </w:r>
      </w:hyperlink>
      <w:r>
        <w:t xml:space="preserve"> </w:t>
      </w:r>
      <w:r>
        <w:t xml:space="preserve">shows residuals that are close to normal, with a slightly short lower tail, and no pattern that would question the model. Sphericity is not an issue with only two levels of the within-subjects factor (a single difference, after − before).</w:t>
      </w:r>
    </w:p>
    <w:bookmarkEnd w:id="23"/>
    <w:bookmarkStart w:id="26" w:name="results"/>
    <w:p>
      <w:pPr>
        <w:pStyle w:val="Heading3"/>
      </w:pPr>
      <w:r>
        <w:t xml:space="preserve">Results</w:t>
      </w:r>
    </w:p>
    <w:p>
      <w:pPr>
        <w:pStyle w:val="FirstParagraph"/>
      </w:pPr>
      <w:r>
        <w:t xml:space="preserve">Anxiety decreased from before to after treatment overall, main effect of time:</w:t>
      </w:r>
      <w:r>
        <w:t xml:space="preserve"> </w:t>
      </w:r>
      <w:r>
        <w:rPr>
          <w:i/>
          <w:iCs/>
        </w:rPr>
        <w:t xml:space="preserve">F</w:t>
      </w:r>
      <w:r>
        <w:t xml:space="preserve">(1, 297) = 788.06,</w:t>
      </w:r>
      <w:r>
        <w:t xml:space="preserve"> </w:t>
      </w:r>
      <w:r>
        <w:rPr>
          <w:i/>
          <w:iCs/>
        </w:rPr>
        <w:t xml:space="preserve">p</w:t>
      </w:r>
      <w:r>
        <w:t xml:space="preserve"> </w:t>
      </w:r>
      <w:r>
        <w:t xml:space="preserve">&lt;0.001, η²</w:t>
      </w:r>
      <w:r>
        <w:rPr>
          <w:vertAlign w:val="subscript"/>
        </w:rPr>
        <w:t xml:space="preserve">g</w:t>
      </w:r>
      <w:r>
        <w:t xml:space="preserve"> </w:t>
      </w:r>
      <w:r>
        <w:t xml:space="preserve">= 0.22; and the groups differed on average, main effect of group:</w:t>
      </w:r>
      <w:r>
        <w:t xml:space="preserve"> </w:t>
      </w:r>
      <w:r>
        <w:rPr>
          <w:i/>
          <w:iCs/>
        </w:rPr>
        <w:t xml:space="preserve">F</w:t>
      </w:r>
      <w:r>
        <w:t xml:space="preserve">(2, 297) = 29.99,</w:t>
      </w:r>
      <w:r>
        <w:t xml:space="preserve"> </w:t>
      </w:r>
      <w:r>
        <w:rPr>
          <w:i/>
          <w:iCs/>
        </w:rPr>
        <w:t xml:space="preserve">p</w:t>
      </w:r>
      <w:r>
        <w:t xml:space="preserve"> </w:t>
      </w:r>
      <w:r>
        <w:t xml:space="preserve">&lt;0.001, η²</w:t>
      </w:r>
      <w:r>
        <w:rPr>
          <w:vertAlign w:val="subscript"/>
        </w:rPr>
        <w:t xml:space="preserve">g</w:t>
      </w:r>
      <w:r>
        <w:t xml:space="preserve"> </w:t>
      </w:r>
      <w:r>
        <w:t xml:space="preserve">= 0.15. Crucially, the</w:t>
      </w:r>
      <w:r>
        <w:t xml:space="preserve"> </w:t>
      </w:r>
      <w:r>
        <w:rPr>
          <w:b/>
          <w:bCs/>
        </w:rPr>
        <w:t xml:space="preserve">group × time interaction</w:t>
      </w:r>
      <w:r>
        <w:t xml:space="preserve"> </w:t>
      </w:r>
      <w:r>
        <w:t xml:space="preserve">was significant,</w:t>
      </w:r>
      <w:r>
        <w:t xml:space="preserve"> </w:t>
      </w:r>
      <w:r>
        <w:rPr>
          <w:i/>
          <w:iCs/>
        </w:rPr>
        <w:t xml:space="preserve">F</w:t>
      </w:r>
      <w:r>
        <w:t xml:space="preserve">(2, 297) = 138.91,</w:t>
      </w:r>
      <w:r>
        <w:t xml:space="preserve"> </w:t>
      </w:r>
      <w:r>
        <w:rPr>
          <w:i/>
          <w:iCs/>
        </w:rPr>
        <w:t xml:space="preserve">p</w:t>
      </w:r>
      <w:r>
        <w:t xml:space="preserve"> </w:t>
      </w:r>
      <w:r>
        <w:t xml:space="preserve">&lt;0.001, η²</w:t>
      </w:r>
      <w:r>
        <w:rPr>
          <w:vertAlign w:val="subscript"/>
        </w:rPr>
        <w:t xml:space="preserve">g</w:t>
      </w:r>
      <w:r>
        <w:t xml:space="preserve"> </w:t>
      </w:r>
      <w:r>
        <w:t xml:space="preserve">= 0.09: the change in anxiety depended on the treatment.</w:t>
      </w:r>
    </w:p>
    <w:p>
      <w:pPr>
        <w:pStyle w:val="BodyText"/>
      </w:pPr>
      <w:r>
        <w:t xml:space="preserve">Every number in that sentence is inline code that indexes</w:t>
      </w:r>
      <w:r>
        <w:t xml:space="preserve"> </w:t>
      </w:r>
      <w:r>
        <w:rPr>
          <w:rStyle w:val="VerbatimChar"/>
        </w:rPr>
        <w:t xml:space="preserve">tabla_mixto</w:t>
      </w:r>
      <w:r>
        <w:t xml:space="preserve"> </w:t>
      </w:r>
      <w:r>
        <w:t xml:space="preserve">with</w:t>
      </w:r>
      <w:r>
        <w:t xml:space="preserve"> </w:t>
      </w:r>
      <w:r>
        <w:rPr>
          <w:rStyle w:val="VerbatimChar"/>
        </w:rPr>
        <w:t xml:space="preserve">[row, column]</w:t>
      </w:r>
      <w:r>
        <w:t xml:space="preserve">; it is written by hand because, unlike the correlation and the</w:t>
      </w:r>
      <w:r>
        <w:t xml:space="preserve"> </w:t>
      </w:r>
      <w:r>
        <w:rPr>
          <w:i/>
          <w:iCs/>
        </w:rPr>
        <w:t xml:space="preserve">t</w:t>
      </w:r>
      <w:r>
        <w:t xml:space="preserve">-test (Day 3), a mixed ANOVA cannot yet be reported automatically with</w:t>
      </w:r>
      <w:r>
        <w:t xml:space="preserve"> </w:t>
      </w:r>
      <w:r>
        <w:rPr>
          <w:rStyle w:val="VerbatimChar"/>
        </w:rPr>
        <w:t xml:space="preserve">easystats::report()</w:t>
      </w:r>
      <w:r>
        <w:t xml:space="preserve">. To unpack the interaction,</w:t>
      </w:r>
      <w:r>
        <w:t xml:space="preserve"> </w:t>
      </w:r>
      <w:hyperlink w:anchor="tbl-cambio">
        <w:r>
          <w:rPr>
            <w:rStyle w:val="Hyperlink"/>
          </w:rPr>
          <w:t xml:space="preserve">Table 2</w:t>
        </w:r>
      </w:hyperlink>
      <w:r>
        <w:t xml:space="preserve"> </w:t>
      </w:r>
      <w:r>
        <w:t xml:space="preserve">reports the before − after change within each group (simple effects of time), and</w:t>
      </w:r>
      <w:r>
        <w:t xml:space="preserve"> </w:t>
      </w:r>
      <w:hyperlink w:anchor="tbl-grupos">
        <w:r>
          <w:rPr>
            <w:rStyle w:val="Hyperlink"/>
          </w:rPr>
          <w:t xml:space="preserve">Table 3</w:t>
        </w:r>
      </w:hyperlink>
      <w:r>
        <w:t xml:space="preserve"> </w:t>
      </w:r>
      <w:r>
        <w:t xml:space="preserve">compares the three groups at each time point, before and after treatment; both with the Holm correction</w:t>
      </w:r>
      <w:r>
        <w:t xml:space="preserve"> </w:t>
      </w:r>
      <w:r>
        <w:t xml:space="preserve">(Holm, 1979)</w:t>
      </w:r>
      <w:r>
        <w:t xml:space="preserve">.</w:t>
      </w:r>
    </w:p>
    <w:tbl>
      <w:tblPr>
        <w:tblStyle w:val="Table"/>
        <w:tblW w:type="pct" w:w="5000"/>
        <w:tblLayout w:type="fixed"/>
        <w:tblLook w:firstRow="0" w:lastRow="0" w:firstColumn="0" w:lastColumn="0" w:noHBand="0" w:noVBand="0" w:val="0000"/>
      </w:tblPr>
      <w:tblGrid>
        <w:gridCol w:w="7920"/>
      </w:tblGrid>
      <w:tr>
        <w:tc>
          <w:tcPr/>
          <w:bookmarkStart w:id="24" w:name="tbl-cambio"/>
          <w:p>
            <w:pPr>
              <w:jc w:val="center"/>
            </w:pPr>
            <w:pPr>
              <w:jc w:val="left"/>
              <w:spacing w:before="200"/>
              <w:pStyle w:val="ImageCaption"/>
            </w:pPr>
            <w:r>
              <w:t xml:space="preserve">Table 2: Change in anxiety (before - after) within each group: simple effects of time (Holm correction)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Group</w:t>
                  </w:r>
                </w:p>
              </w:tc>
              <w:tc>
                <w:tcPr/>
                <w:p>
                  <w:pPr>
                    <w:pStyle w:val="Compact"/>
                    <w:jc w:val="left"/>
                    <w:jc w:val="center"/>
                  </w:pPr>
                  <w:r>
                    <w:t xml:space="preserve">Comparison</w:t>
                  </w:r>
                </w:p>
              </w:tc>
              <w:tc>
                <w:tcPr/>
                <w:p>
                  <w:pPr>
                    <w:pStyle w:val="Compact"/>
                    <w:jc w:val="right"/>
                    <w:jc w:val="center"/>
                  </w:pPr>
                  <w:r>
                    <w:t xml:space="preserve">Mean difference</w:t>
                  </w:r>
                </w:p>
              </w:tc>
              <w:tc>
                <w:tcPr/>
                <w:p>
                  <w:pPr>
                    <w:pStyle w:val="Compact"/>
                    <w:jc w:val="right"/>
                    <w:jc w:val="center"/>
                  </w:pPr>
                  <w:r>
                    <w:rPr>
                      <w:i/>
                      <w:iCs/>
                    </w:rPr>
                    <w:t xml:space="preserve">SE</w:t>
                  </w:r>
                </w:p>
              </w:tc>
              <w:tc>
                <w:tcPr/>
                <w:p>
                  <w:pPr>
                    <w:pStyle w:val="Compact"/>
                    <w:jc w:val="left"/>
                    <w:jc w:val="center"/>
                  </w:pPr>
                  <w:r>
                    <w:rPr>
                      <w:i/>
                      <w:iCs/>
                    </w:rPr>
                    <w:t xml:space="preserve">p</w:t>
                  </w:r>
                  <w:r>
                    <w:t xml:space="preserve"> </w:t>
                  </w:r>
                  <w:r>
                    <w:t xml:space="preserve">(Holm)</w:t>
                  </w:r>
                </w:p>
              </w:tc>
            </w:tr>
            <w:tr>
              <w:tc>
                <w:tcPr/>
                <w:p>
                  <w:pPr>
                    <w:pStyle w:val="Compact"/>
                    <w:jc w:val="left"/>
                    <w:jc w:val="center"/>
                  </w:pPr>
                  <w:r>
                    <w:t xml:space="preserve">CBT</w:t>
                  </w:r>
                </w:p>
              </w:tc>
              <w:tc>
                <w:tcPr/>
                <w:p>
                  <w:pPr>
                    <w:pStyle w:val="Compact"/>
                    <w:jc w:val="left"/>
                    <w:jc w:val="center"/>
                  </w:pPr>
                  <w:r>
                    <w:t xml:space="preserve">Before - After</w:t>
                  </w:r>
                </w:p>
              </w:tc>
              <w:tc>
                <w:tcPr/>
                <w:p>
                  <w:pPr>
                    <w:pStyle w:val="Compact"/>
                    <w:jc w:val="right"/>
                    <w:jc w:val="center"/>
                  </w:pPr>
                  <w:r>
                    <w:t xml:space="preserve">4.303</w:t>
                  </w:r>
                </w:p>
              </w:tc>
              <w:tc>
                <w:tcPr/>
                <w:p>
                  <w:pPr>
                    <w:pStyle w:val="Compact"/>
                    <w:jc w:val="right"/>
                    <w:jc w:val="center"/>
                  </w:pPr>
                  <w:r>
                    <w:t xml:space="preserve">0.161</w:t>
                  </w:r>
                </w:p>
              </w:tc>
              <w:tc>
                <w:tcPr/>
                <w:p>
                  <w:pPr>
                    <w:pStyle w:val="Compact"/>
                    <w:jc w:val="left"/>
                    <w:jc w:val="center"/>
                  </w:pPr>
                  <w:r>
                    <w:t xml:space="preserve">&lt;0.001</w:t>
                  </w:r>
                </w:p>
              </w:tc>
            </w:tr>
            <w:tr>
              <w:tc>
                <w:tcPr/>
                <w:p>
                  <w:pPr>
                    <w:pStyle w:val="Compact"/>
                    <w:jc w:val="left"/>
                    <w:jc w:val="center"/>
                  </w:pPr>
                  <w:r>
                    <w:t xml:space="preserve">control</w:t>
                  </w:r>
                </w:p>
              </w:tc>
              <w:tc>
                <w:tcPr/>
                <w:p>
                  <w:pPr>
                    <w:pStyle w:val="Compact"/>
                    <w:jc w:val="left"/>
                    <w:jc w:val="center"/>
                  </w:pPr>
                  <w:r>
                    <w:t xml:space="preserve">Before - After</w:t>
                  </w:r>
                </w:p>
              </w:tc>
              <w:tc>
                <w:tcPr/>
                <w:p>
                  <w:pPr>
                    <w:pStyle w:val="Compact"/>
                    <w:jc w:val="right"/>
                    <w:jc w:val="center"/>
                  </w:pPr>
                  <w:r>
                    <w:t xml:space="preserve">0.564</w:t>
                  </w:r>
                </w:p>
              </w:tc>
              <w:tc>
                <w:tcPr/>
                <w:p>
                  <w:pPr>
                    <w:pStyle w:val="Compact"/>
                    <w:jc w:val="right"/>
                    <w:jc w:val="center"/>
                  </w:pPr>
                  <w:r>
                    <w:t xml:space="preserve">0.161</w:t>
                  </w:r>
                </w:p>
              </w:tc>
              <w:tc>
                <w:tcPr/>
                <w:p>
                  <w:pPr>
                    <w:pStyle w:val="Compact"/>
                    <w:jc w:val="left"/>
                    <w:jc w:val="center"/>
                  </w:pPr>
                  <w:r>
                    <w:t xml:space="preserve">&lt;0.001</w:t>
                  </w:r>
                </w:p>
              </w:tc>
            </w:tr>
            <w:tr>
              <w:tc>
                <w:tcPr/>
                <w:p>
                  <w:pPr>
                    <w:pStyle w:val="Compact"/>
                    <w:jc w:val="left"/>
                    <w:jc w:val="center"/>
                  </w:pPr>
                  <w:r>
                    <w:t xml:space="preserve">pharmacological</w:t>
                  </w:r>
                </w:p>
              </w:tc>
              <w:tc>
                <w:tcPr/>
                <w:p>
                  <w:pPr>
                    <w:pStyle w:val="Compact"/>
                    <w:jc w:val="left"/>
                    <w:jc w:val="center"/>
                  </w:pPr>
                  <w:r>
                    <w:t xml:space="preserve">Before - After</w:t>
                  </w:r>
                </w:p>
              </w:tc>
              <w:tc>
                <w:tcPr/>
                <w:p>
                  <w:pPr>
                    <w:pStyle w:val="Compact"/>
                    <w:jc w:val="right"/>
                    <w:jc w:val="center"/>
                  </w:pPr>
                  <w:r>
                    <w:t xml:space="preserve">2.939</w:t>
                  </w:r>
                </w:p>
              </w:tc>
              <w:tc>
                <w:tcPr/>
                <w:p>
                  <w:pPr>
                    <w:pStyle w:val="Compact"/>
                    <w:jc w:val="right"/>
                    <w:jc w:val="center"/>
                  </w:pPr>
                  <w:r>
                    <w:t xml:space="preserve">0.161</w:t>
                  </w:r>
                </w:p>
              </w:tc>
              <w:tc>
                <w:tcPr/>
                <w:p>
                  <w:pPr>
                    <w:pStyle w:val="Compact"/>
                    <w:jc w:val="left"/>
                    <w:jc w:val="center"/>
                  </w:pPr>
                  <w:r>
                    <w:t xml:space="preserve">&lt;0.001</w:t>
                  </w:r>
                </w:p>
              </w:tc>
            </w:tr>
          </w:tbl>
          <w:bookmarkEnd w:id="2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 w:name="tbl-grupos"/>
          <w:p>
            <w:pPr>
              <w:jc w:val="center"/>
            </w:pPr>
            <w:pPr>
              <w:jc w:val="left"/>
              <w:spacing w:before="200"/>
              <w:pStyle w:val="ImageCaption"/>
            </w:pPr>
            <w:r>
              <w:t xml:space="preserve">Table 3: Differences between groups at each time point, before and after treatment (Holm correction)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Time</w:t>
                  </w:r>
                </w:p>
              </w:tc>
              <w:tc>
                <w:tcPr/>
                <w:p>
                  <w:pPr>
                    <w:pStyle w:val="Compact"/>
                    <w:jc w:val="left"/>
                    <w:jc w:val="center"/>
                  </w:pPr>
                  <w:r>
                    <w:t xml:space="preserve">Comparison</w:t>
                  </w:r>
                </w:p>
              </w:tc>
              <w:tc>
                <w:tcPr/>
                <w:p>
                  <w:pPr>
                    <w:pStyle w:val="Compact"/>
                    <w:jc w:val="right"/>
                    <w:jc w:val="center"/>
                  </w:pPr>
                  <w:r>
                    <w:t xml:space="preserve">Mean difference</w:t>
                  </w:r>
                </w:p>
              </w:tc>
              <w:tc>
                <w:tcPr/>
                <w:p>
                  <w:pPr>
                    <w:pStyle w:val="Compact"/>
                    <w:jc w:val="right"/>
                    <w:jc w:val="center"/>
                  </w:pPr>
                  <w:r>
                    <w:rPr>
                      <w:i/>
                      <w:iCs/>
                    </w:rPr>
                    <w:t xml:space="preserve">SE</w:t>
                  </w:r>
                </w:p>
              </w:tc>
              <w:tc>
                <w:tcPr/>
                <w:p>
                  <w:pPr>
                    <w:pStyle w:val="Compact"/>
                    <w:jc w:val="left"/>
                    <w:jc w:val="center"/>
                  </w:pPr>
                  <w:r>
                    <w:rPr>
                      <w:i/>
                      <w:iCs/>
                    </w:rPr>
                    <w:t xml:space="preserve">p</w:t>
                  </w:r>
                  <w:r>
                    <w:t xml:space="preserve"> </w:t>
                  </w:r>
                  <w:r>
                    <w:t xml:space="preserve">(Holm)</w:t>
                  </w:r>
                </w:p>
              </w:tc>
            </w:tr>
            <w:tr>
              <w:tc>
                <w:tcPr/>
                <w:p>
                  <w:pPr>
                    <w:pStyle w:val="Compact"/>
                    <w:jc w:val="left"/>
                    <w:jc w:val="center"/>
                  </w:pPr>
                  <w:r>
                    <w:t xml:space="preserve">Before</w:t>
                  </w:r>
                </w:p>
              </w:tc>
              <w:tc>
                <w:tcPr/>
                <w:p>
                  <w:pPr>
                    <w:pStyle w:val="Compact"/>
                    <w:jc w:val="left"/>
                    <w:jc w:val="center"/>
                  </w:pPr>
                  <w:r>
                    <w:t xml:space="preserve">CBT - control</w:t>
                  </w:r>
                </w:p>
              </w:tc>
              <w:tc>
                <w:tcPr/>
                <w:p>
                  <w:pPr>
                    <w:pStyle w:val="Compact"/>
                    <w:jc w:val="right"/>
                    <w:jc w:val="center"/>
                  </w:pPr>
                  <w:r>
                    <w:t xml:space="preserve">-0.654</w:t>
                  </w:r>
                </w:p>
              </w:tc>
              <w:tc>
                <w:tcPr/>
                <w:p>
                  <w:pPr>
                    <w:pStyle w:val="Compact"/>
                    <w:jc w:val="right"/>
                    <w:jc w:val="center"/>
                  </w:pPr>
                  <w:r>
                    <w:t xml:space="preserve">0.305</w:t>
                  </w:r>
                </w:p>
              </w:tc>
              <w:tc>
                <w:tcPr/>
                <w:p>
                  <w:pPr>
                    <w:pStyle w:val="Compact"/>
                    <w:jc w:val="left"/>
                    <w:jc w:val="center"/>
                  </w:pPr>
                  <w:r>
                    <w:t xml:space="preserve">0.099</w:t>
                  </w:r>
                </w:p>
              </w:tc>
            </w:tr>
            <w:tr>
              <w:tc>
                <w:tcPr/>
                <w:p>
                  <w:pPr>
                    <w:pStyle w:val="Compact"/>
                    <w:jc w:val="left"/>
                    <w:jc w:val="center"/>
                  </w:pPr>
                  <w:r>
                    <w:t xml:space="preserve">Before</w:t>
                  </w:r>
                </w:p>
              </w:tc>
              <w:tc>
                <w:tcPr/>
                <w:p>
                  <w:pPr>
                    <w:pStyle w:val="Compact"/>
                    <w:jc w:val="left"/>
                    <w:jc w:val="center"/>
                  </w:pPr>
                  <w:r>
                    <w:t xml:space="preserve">CBT - pharmacological</w:t>
                  </w:r>
                </w:p>
              </w:tc>
              <w:tc>
                <w:tcPr/>
                <w:p>
                  <w:pPr>
                    <w:pStyle w:val="Compact"/>
                    <w:jc w:val="right"/>
                    <w:jc w:val="center"/>
                  </w:pPr>
                  <w:r>
                    <w:t xml:space="preserve">-0.572</w:t>
                  </w:r>
                </w:p>
              </w:tc>
              <w:tc>
                <w:tcPr/>
                <w:p>
                  <w:pPr>
                    <w:pStyle w:val="Compact"/>
                    <w:jc w:val="right"/>
                    <w:jc w:val="center"/>
                  </w:pPr>
                  <w:r>
                    <w:t xml:space="preserve">0.305</w:t>
                  </w:r>
                </w:p>
              </w:tc>
              <w:tc>
                <w:tcPr/>
                <w:p>
                  <w:pPr>
                    <w:pStyle w:val="Compact"/>
                    <w:jc w:val="left"/>
                    <w:jc w:val="center"/>
                  </w:pPr>
                  <w:r>
                    <w:t xml:space="preserve">0.124</w:t>
                  </w:r>
                </w:p>
              </w:tc>
            </w:tr>
            <w:tr>
              <w:tc>
                <w:tcPr/>
                <w:p>
                  <w:pPr>
                    <w:pStyle w:val="Compact"/>
                    <w:jc w:val="left"/>
                    <w:jc w:val="center"/>
                  </w:pPr>
                  <w:r>
                    <w:t xml:space="preserve">Before</w:t>
                  </w:r>
                </w:p>
              </w:tc>
              <w:tc>
                <w:tcPr/>
                <w:p>
                  <w:pPr>
                    <w:pStyle w:val="Compact"/>
                    <w:jc w:val="left"/>
                    <w:jc w:val="center"/>
                  </w:pPr>
                  <w:r>
                    <w:t xml:space="preserve">control - pharmacological</w:t>
                  </w:r>
                </w:p>
              </w:tc>
              <w:tc>
                <w:tcPr/>
                <w:p>
                  <w:pPr>
                    <w:pStyle w:val="Compact"/>
                    <w:jc w:val="right"/>
                    <w:jc w:val="center"/>
                  </w:pPr>
                  <w:r>
                    <w:t xml:space="preserve">0.082</w:t>
                  </w:r>
                </w:p>
              </w:tc>
              <w:tc>
                <w:tcPr/>
                <w:p>
                  <w:pPr>
                    <w:pStyle w:val="Compact"/>
                    <w:jc w:val="right"/>
                    <w:jc w:val="center"/>
                  </w:pPr>
                  <w:r>
                    <w:t xml:space="preserve">0.305</w:t>
                  </w:r>
                </w:p>
              </w:tc>
              <w:tc>
                <w:tcPr/>
                <w:p>
                  <w:pPr>
                    <w:pStyle w:val="Compact"/>
                    <w:jc w:val="left"/>
                    <w:jc w:val="center"/>
                  </w:pPr>
                  <w:r>
                    <w:t xml:space="preserve">0.788</w:t>
                  </w:r>
                </w:p>
              </w:tc>
            </w:tr>
            <w:tr>
              <w:tc>
                <w:tcPr/>
                <w:p>
                  <w:pPr>
                    <w:pStyle w:val="Compact"/>
                    <w:jc w:val="left"/>
                    <w:jc w:val="center"/>
                  </w:pPr>
                  <w:r>
                    <w:t xml:space="preserve">After</w:t>
                  </w:r>
                </w:p>
              </w:tc>
              <w:tc>
                <w:tcPr/>
                <w:p>
                  <w:pPr>
                    <w:pStyle w:val="Compact"/>
                    <w:jc w:val="left"/>
                    <w:jc w:val="center"/>
                  </w:pPr>
                  <w:r>
                    <w:t xml:space="preserve">CBT - control</w:t>
                  </w:r>
                </w:p>
              </w:tc>
              <w:tc>
                <w:tcPr/>
                <w:p>
                  <w:pPr>
                    <w:pStyle w:val="Compact"/>
                    <w:jc w:val="right"/>
                    <w:jc w:val="center"/>
                  </w:pPr>
                  <w:r>
                    <w:t xml:space="preserve">-4.393</w:t>
                  </w:r>
                </w:p>
              </w:tc>
              <w:tc>
                <w:tcPr/>
                <w:p>
                  <w:pPr>
                    <w:pStyle w:val="Compact"/>
                    <w:jc w:val="right"/>
                    <w:jc w:val="center"/>
                  </w:pPr>
                  <w:r>
                    <w:t xml:space="preserve">0.381</w:t>
                  </w:r>
                </w:p>
              </w:tc>
              <w:tc>
                <w:tcPr/>
                <w:p>
                  <w:pPr>
                    <w:pStyle w:val="Compact"/>
                    <w:jc w:val="left"/>
                    <w:jc w:val="center"/>
                  </w:pPr>
                  <w:r>
                    <w:t xml:space="preserve">&lt;0.001</w:t>
                  </w:r>
                </w:p>
              </w:tc>
            </w:tr>
            <w:tr>
              <w:tc>
                <w:tcPr/>
                <w:p>
                  <w:pPr>
                    <w:pStyle w:val="Compact"/>
                    <w:jc w:val="left"/>
                    <w:jc w:val="center"/>
                  </w:pPr>
                  <w:r>
                    <w:t xml:space="preserve">After</w:t>
                  </w:r>
                </w:p>
              </w:tc>
              <w:tc>
                <w:tcPr/>
                <w:p>
                  <w:pPr>
                    <w:pStyle w:val="Compact"/>
                    <w:jc w:val="left"/>
                    <w:jc w:val="center"/>
                  </w:pPr>
                  <w:r>
                    <w:t xml:space="preserve">CBT - pharmacological</w:t>
                  </w:r>
                </w:p>
              </w:tc>
              <w:tc>
                <w:tcPr/>
                <w:p>
                  <w:pPr>
                    <w:pStyle w:val="Compact"/>
                    <w:jc w:val="right"/>
                    <w:jc w:val="center"/>
                  </w:pPr>
                  <w:r>
                    <w:t xml:space="preserve">-1.936</w:t>
                  </w:r>
                </w:p>
              </w:tc>
              <w:tc>
                <w:tcPr/>
                <w:p>
                  <w:pPr>
                    <w:pStyle w:val="Compact"/>
                    <w:jc w:val="right"/>
                    <w:jc w:val="center"/>
                  </w:pPr>
                  <w:r>
                    <w:t xml:space="preserve">0.381</w:t>
                  </w:r>
                </w:p>
              </w:tc>
              <w:tc>
                <w:tcPr/>
                <w:p>
                  <w:pPr>
                    <w:pStyle w:val="Compact"/>
                    <w:jc w:val="left"/>
                    <w:jc w:val="center"/>
                  </w:pPr>
                  <w:r>
                    <w:t xml:space="preserve">&lt;0.001</w:t>
                  </w:r>
                </w:p>
              </w:tc>
            </w:tr>
            <w:tr>
              <w:tc>
                <w:tcPr/>
                <w:p>
                  <w:pPr>
                    <w:pStyle w:val="Compact"/>
                    <w:jc w:val="left"/>
                    <w:jc w:val="center"/>
                  </w:pPr>
                  <w:r>
                    <w:t xml:space="preserve">After</w:t>
                  </w:r>
                </w:p>
              </w:tc>
              <w:tc>
                <w:tcPr/>
                <w:p>
                  <w:pPr>
                    <w:pStyle w:val="Compact"/>
                    <w:jc w:val="left"/>
                    <w:jc w:val="center"/>
                  </w:pPr>
                  <w:r>
                    <w:t xml:space="preserve">control - pharmacological</w:t>
                  </w:r>
                </w:p>
              </w:tc>
              <w:tc>
                <w:tcPr/>
                <w:p>
                  <w:pPr>
                    <w:pStyle w:val="Compact"/>
                    <w:jc w:val="right"/>
                    <w:jc w:val="center"/>
                  </w:pPr>
                  <w:r>
                    <w:t xml:space="preserve">2.457</w:t>
                  </w:r>
                </w:p>
              </w:tc>
              <w:tc>
                <w:tcPr/>
                <w:p>
                  <w:pPr>
                    <w:pStyle w:val="Compact"/>
                    <w:jc w:val="right"/>
                    <w:jc w:val="center"/>
                  </w:pPr>
                  <w:r>
                    <w:t xml:space="preserve">0.381</w:t>
                  </w:r>
                </w:p>
              </w:tc>
              <w:tc>
                <w:tcPr/>
                <w:p>
                  <w:pPr>
                    <w:pStyle w:val="Compact"/>
                    <w:jc w:val="left"/>
                    <w:jc w:val="center"/>
                  </w:pPr>
                  <w:r>
                    <w:t xml:space="preserve">&lt;0.001</w:t>
                  </w:r>
                </w:p>
              </w:tc>
            </w:tr>
          </w:tbl>
          <w:bookmarkEnd w:id="25"/>
          <w:p/>
        </w:tc>
      </w:tr>
    </w:tbl>
    <w:p>
      <w:pPr>
        <w:pStyle w:val="BodyText"/>
      </w:pPr>
      <w:r>
        <w:t xml:space="preserve">Anxiety fell by 4.3 points in the CBT group and by 2.9 points in the pharmacological group, against 0.6 points in the control group (</w:t>
      </w:r>
      <w:hyperlink w:anchor="tbl-cambio">
        <w:r>
          <w:rPr>
            <w:rStyle w:val="Hyperlink"/>
          </w:rPr>
          <w:t xml:space="preserve">Table 2</w:t>
        </w:r>
      </w:hyperlink>
      <w:r>
        <w:t xml:space="preserve">). Before treatment, no group differed from another; after treatment, all three pairwise differences were significant (</w:t>
      </w:r>
      <w:hyperlink w:anchor="tbl-grupos">
        <w:r>
          <w:rPr>
            <w:rStyle w:val="Hyperlink"/>
          </w:rPr>
          <w:t xml:space="preserve">Table 3</w:t>
        </w:r>
      </w:hyperlink>
      <w:r>
        <w:t xml:space="preserve">).</w:t>
      </w:r>
    </w:p>
    <w:bookmarkEnd w:id="26"/>
    <w:bookmarkEnd w:id="27"/>
    <w:bookmarkStart w:id="28" w:name="conclusion"/>
    <w:p>
      <w:pPr>
        <w:pStyle w:val="Heading2"/>
      </w:pPr>
      <w:r>
        <w:t xml:space="preserve">Conclusion</w:t>
      </w:r>
    </w:p>
    <w:p>
      <w:pPr>
        <w:pStyle w:val="FirstParagraph"/>
      </w:pPr>
      <w:r>
        <w:t xml:space="preserve">After treatment, mean anxiety was 10.8 points in the CBT group, 12.7 in the pharmacological group and 15.2 in the control group. Both treatments reduced anxiety more than the control condition did, CBT somewhat more than medication, as the group × time interaction shows; the three-month follow-up is not yet included in this report.</w:t>
      </w:r>
    </w:p>
    <w:bookmarkEnd w:id="28"/>
    <w:bookmarkStart w:id="45" w:name="references"/>
    <w:p>
      <w:pPr>
        <w:pStyle w:val="Heading2"/>
      </w:pPr>
      <w:r>
        <w:t xml:space="preserve">References</w:t>
      </w:r>
    </w:p>
    <w:bookmarkStart w:id="44" w:name="refs"/>
    <w:bookmarkStart w:id="30" w:name="ref-beck1988"/>
    <w:p>
      <w:pPr>
        <w:pStyle w:val="Bibliography"/>
      </w:pPr>
      <w:r>
        <w:t xml:space="preserve">Beck, A. T., Epstein, N., Brown, G., &amp; Steer, R. A. (1988). An inventory for measuring clinical anxiety: Psychometric properties.</w:t>
      </w:r>
      <w:r>
        <w:t xml:space="preserve"> </w:t>
      </w:r>
      <w:r>
        <w:rPr>
          <w:i/>
          <w:iCs/>
        </w:rPr>
        <w:t xml:space="preserve">Journal of Consulting and Clinical Psychology</w:t>
      </w:r>
      <w:r>
        <w:t xml:space="preserve">,</w:t>
      </w:r>
      <w:r>
        <w:t xml:space="preserve"> </w:t>
      </w:r>
      <w:r>
        <w:rPr>
          <w:i/>
          <w:iCs/>
        </w:rPr>
        <w:t xml:space="preserve">56</w:t>
      </w:r>
      <w:r>
        <w:t xml:space="preserve">(6), 893–897.</w:t>
      </w:r>
      <w:r>
        <w:t xml:space="preserve"> </w:t>
      </w:r>
      <w:hyperlink r:id="rId29">
        <w:r>
          <w:rPr>
            <w:rStyle w:val="Hyperlink"/>
          </w:rPr>
          <w:t xml:space="preserve">https://doi.org/10.1037/0022-006X.56.6.893</w:t>
        </w:r>
      </w:hyperlink>
    </w:p>
    <w:bookmarkEnd w:id="30"/>
    <w:bookmarkStart w:id="31" w:name="ref-holm1979"/>
    <w:p>
      <w:pPr>
        <w:pStyle w:val="Bibliography"/>
      </w:pPr>
      <w:r>
        <w:t xml:space="preserve">Holm, S. (1979). A simple sequentially rejective multiple test procedure.</w:t>
      </w:r>
      <w:r>
        <w:t xml:space="preserve"> </w:t>
      </w:r>
      <w:r>
        <w:rPr>
          <w:i/>
          <w:iCs/>
        </w:rPr>
        <w:t xml:space="preserve">Scandinavian Journal of Statistics</w:t>
      </w:r>
      <w:r>
        <w:t xml:space="preserve">,</w:t>
      </w:r>
      <w:r>
        <w:t xml:space="preserve"> </w:t>
      </w:r>
      <w:r>
        <w:rPr>
          <w:i/>
          <w:iCs/>
        </w:rPr>
        <w:t xml:space="preserve">6</w:t>
      </w:r>
      <w:r>
        <w:t xml:space="preserve">(2), 65–70.</w:t>
      </w:r>
    </w:p>
    <w:bookmarkEnd w:id="31"/>
    <w:bookmarkStart w:id="33" w:name="ref-emmeans"/>
    <w:p>
      <w:pPr>
        <w:pStyle w:val="Bibliography"/>
      </w:pPr>
      <w:r>
        <w:t xml:space="preserve">Lenth, R. V., &amp; Piaskowski, J. (2026).</w:t>
      </w:r>
      <w:r>
        <w:t xml:space="preserve"> </w:t>
      </w:r>
      <w:r>
        <w:rPr>
          <w:i/>
          <w:iCs/>
        </w:rPr>
        <w:t xml:space="preserve">Emmeans: Estimated marginal means, aka least-squares means</w:t>
      </w:r>
      <w:r>
        <w:t xml:space="preserve">.</w:t>
      </w:r>
      <w:r>
        <w:t xml:space="preserve"> </w:t>
      </w:r>
      <w:hyperlink r:id="rId32">
        <w:r>
          <w:rPr>
            <w:rStyle w:val="Hyperlink"/>
          </w:rPr>
          <w:t xml:space="preserve">https://doi.org/10.32614/CRAN.package.emmeans</w:t>
        </w:r>
      </w:hyperlink>
    </w:p>
    <w:bookmarkEnd w:id="33"/>
    <w:bookmarkStart w:id="35" w:name="ref-rstudio"/>
    <w:p>
      <w:pPr>
        <w:pStyle w:val="Bibliography"/>
      </w:pPr>
      <w:r>
        <w:t xml:space="preserve">Posit team. (2026).</w:t>
      </w:r>
      <w:r>
        <w:t xml:space="preserve"> </w:t>
      </w:r>
      <w:r>
        <w:rPr>
          <w:i/>
          <w:iCs/>
        </w:rPr>
        <w:t xml:space="preserve">RStudio: Integrated development environment for r</w:t>
      </w:r>
      <w:r>
        <w:t xml:space="preserve">. Posit Software, PBC.</w:t>
      </w:r>
      <w:r>
        <w:t xml:space="preserve"> </w:t>
      </w:r>
      <w:hyperlink r:id="rId34">
        <w:r>
          <w:rPr>
            <w:rStyle w:val="Hyperlink"/>
          </w:rPr>
          <w:t xml:space="preserve">https://posit.co/</w:t>
        </w:r>
      </w:hyperlink>
    </w:p>
    <w:bookmarkEnd w:id="35"/>
    <w:bookmarkStart w:id="37" w:name="ref-rcore"/>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36">
        <w:r>
          <w:rPr>
            <w:rStyle w:val="Hyperlink"/>
          </w:rPr>
          <w:t xml:space="preserve">https://doi.org/10.32614/R.manuals</w:t>
        </w:r>
      </w:hyperlink>
    </w:p>
    <w:bookmarkEnd w:id="37"/>
    <w:bookmarkStart w:id="39" w:name="ref-afex"/>
    <w:p>
      <w:pPr>
        <w:pStyle w:val="Bibliography"/>
      </w:pPr>
      <w:r>
        <w:t xml:space="preserve">Singmann, H., Bolker, B., Westfall, J., Aust, F., &amp; Ben-Shachar, M. S. (2025).</w:t>
      </w:r>
      <w:r>
        <w:t xml:space="preserve"> </w:t>
      </w:r>
      <w:r>
        <w:rPr>
          <w:i/>
          <w:iCs/>
        </w:rPr>
        <w:t xml:space="preserve">Afex: Analysis of factorial experiments</w:t>
      </w:r>
      <w:r>
        <w:t xml:space="preserve">.</w:t>
      </w:r>
      <w:r>
        <w:t xml:space="preserve"> </w:t>
      </w:r>
      <w:hyperlink r:id="rId38">
        <w:r>
          <w:rPr>
            <w:rStyle w:val="Hyperlink"/>
          </w:rPr>
          <w:t xml:space="preserve">https://doi.org/10.32614/CRAN.package.afex</w:t>
        </w:r>
      </w:hyperlink>
    </w:p>
    <w:bookmarkEnd w:id="39"/>
    <w:bookmarkStart w:id="41" w:name="ref-gtsummary"/>
    <w:p>
      <w:pPr>
        <w:pStyle w:val="Bibliography"/>
      </w:pPr>
      <w:r>
        <w:t xml:space="preserve">Sjoberg, D. D., Whiting, K., Curry, M., Lavery, J. A., &amp; Larmarange, J. (2021). Reproducible summary tables with the gtsummary package.</w:t>
      </w:r>
      <w:r>
        <w:t xml:space="preserve"> </w:t>
      </w:r>
      <w:r>
        <w:rPr>
          <w:i/>
          <w:iCs/>
        </w:rPr>
        <w:t xml:space="preserve">The R Journal</w:t>
      </w:r>
      <w:r>
        <w:t xml:space="preserve">,</w:t>
      </w:r>
      <w:r>
        <w:t xml:space="preserve"> </w:t>
      </w:r>
      <w:r>
        <w:rPr>
          <w:i/>
          <w:iCs/>
        </w:rPr>
        <w:t xml:space="preserve">13</w:t>
      </w:r>
      <w:r>
        <w:t xml:space="preserve">, 570–580.</w:t>
      </w:r>
      <w:r>
        <w:t xml:space="preserve"> </w:t>
      </w:r>
      <w:hyperlink r:id="rId40">
        <w:r>
          <w:rPr>
            <w:rStyle w:val="Hyperlink"/>
          </w:rPr>
          <w:t xml:space="preserve">https://doi.org/10.32614/RJ-2021-053</w:t>
        </w:r>
      </w:hyperlink>
    </w:p>
    <w:bookmarkEnd w:id="41"/>
    <w:bookmarkStart w:id="43" w:name="ref-ggplot2"/>
    <w:p>
      <w:pPr>
        <w:pStyle w:val="Bibliography"/>
      </w:pPr>
      <w:r>
        <w:t xml:space="preserve">Wickham, H. (2016).</w:t>
      </w:r>
      <w:r>
        <w:t xml:space="preserve"> </w:t>
      </w:r>
      <w:r>
        <w:rPr>
          <w:i/>
          <w:iCs/>
        </w:rPr>
        <w:t xml:space="preserve">ggplot2: Elegant graphics for data analysis</w:t>
      </w:r>
      <w:r>
        <w:t xml:space="preserve">. Springer-Verlag New York.</w:t>
      </w:r>
      <w:r>
        <w:t xml:space="preserve"> </w:t>
      </w:r>
      <w:hyperlink r:id="rId42">
        <w:r>
          <w:rPr>
            <w:rStyle w:val="Hyperlink"/>
          </w:rPr>
          <w:t xml:space="preserve">https://ggplot2.tidyverse.org</w:t>
        </w:r>
      </w:hyperlink>
    </w:p>
    <w:bookmarkEnd w:id="43"/>
    <w:bookmarkEnd w:id="44"/>
    <w:bookmarkEnd w:id="45"/>
    <w:bookmarkStart w:id="46" w:name="session-information-for-reproducibility"/>
    <w:p>
      <w:pPr>
        <w:pStyle w:val="Heading2"/>
      </w:pPr>
      <w:r>
        <w:t xml:space="preserve">Session information for reproducibility</w:t>
      </w:r>
    </w:p>
    <w:p>
      <w:pPr>
        <w:pStyle w:val="FirstParagraph"/>
      </w:pPr>
      <w:r>
        <w:t xml:space="preserve">Which R, which packages and which versions produced this report: anyone can check them if a result does not reproduce.</w:t>
      </w:r>
    </w:p>
    <w:p>
      <w:pPr>
        <w:pStyle w:val="SourceCode"/>
      </w:pPr>
      <w:r>
        <w:rPr>
          <w:rStyle w:val="VerbatimChar"/>
        </w:rPr>
        <w:t xml:space="preserve">R version 4.6.1 (2026-06-24)</w:t>
      </w:r>
      <w:r>
        <w:br/>
      </w:r>
      <w:r>
        <w:rPr>
          <w:rStyle w:val="VerbatimChar"/>
        </w:rPr>
        <w:t xml:space="preserve">Platform: aarch64-apple-darwin23</w:t>
      </w:r>
      <w:r>
        <w:br/>
      </w:r>
      <w:r>
        <w:rPr>
          <w:rStyle w:val="VerbatimChar"/>
        </w:rPr>
        <w:t xml:space="preserve">Running under: macOS Tahoe 26.4.1</w:t>
      </w:r>
      <w:r>
        <w:br/>
      </w:r>
      <w:r>
        <w:br/>
      </w:r>
      <w:r>
        <w:rPr>
          <w:rStyle w:val="VerbatimChar"/>
        </w:rPr>
        <w:t xml:space="preserve">Matrix products: default</w:t>
      </w:r>
      <w:r>
        <w:br/>
      </w:r>
      <w:r>
        <w:rPr>
          <w:rStyle w:val="VerbatimChar"/>
        </w:rPr>
        <w:t xml:space="preserve">BLAS:   /Library/Frameworks/R.framework/Versions/4.6/Resources/lib/libRblas.0.dylib </w:t>
      </w:r>
      <w:r>
        <w:br/>
      </w:r>
      <w:r>
        <w:rPr>
          <w:rStyle w:val="VerbatimChar"/>
        </w:rPr>
        <w:t xml:space="preserve">LAPACK: /Library/Frameworks/R.framework/Versions/4.6/Resources/lib/libRlapack.dylib;  LAPACK version 3.12.1</w:t>
      </w:r>
      <w:r>
        <w:br/>
      </w:r>
      <w:r>
        <w:br/>
      </w:r>
      <w:r>
        <w:rPr>
          <w:rStyle w:val="VerbatimChar"/>
        </w:rPr>
        <w:t xml:space="preserve">locale:</w:t>
      </w:r>
      <w:r>
        <w:br/>
      </w:r>
      <w:r>
        <w:rPr>
          <w:rStyle w:val="VerbatimChar"/>
        </w:rPr>
        <w:t xml:space="preserve">[1] C</w:t>
      </w:r>
      <w:r>
        <w:br/>
      </w:r>
      <w:r>
        <w:br/>
      </w:r>
      <w:r>
        <w:rPr>
          <w:rStyle w:val="VerbatimChar"/>
        </w:rPr>
        <w:t xml:space="preserve">time zone: Europe/Madrid</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 [1] ggdist_3.3.3    emmeans_2.0.4   afex_1.5-1      lme4_2.0-6      Matrix_1.7-6    here_1.0.2      lubridate_1.9.5</w:t>
      </w:r>
      <w:r>
        <w:br/>
      </w:r>
      <w:r>
        <w:rPr>
          <w:rStyle w:val="VerbatimChar"/>
        </w:rPr>
        <w:t xml:space="preserve"> [8] forcats_1.0.1   stringr_1.6.0   dplyr_1.2.1     purrr_1.2.2     readr_2.2.0     tidyr_1.3.2     tibble_3.3.1   </w:t>
      </w:r>
      <w:r>
        <w:br/>
      </w:r>
      <w:r>
        <w:rPr>
          <w:rStyle w:val="VerbatimChar"/>
        </w:rPr>
        <w:t xml:space="preserve">[15] ggplot2_4.0.3   tidyverse_2.0.0</w:t>
      </w:r>
      <w:r>
        <w:br/>
      </w:r>
      <w:r>
        <w:br/>
      </w:r>
      <w:r>
        <w:rPr>
          <w:rStyle w:val="VerbatimChar"/>
        </w:rPr>
        <w:t xml:space="preserve">loaded via a namespace (and not attached):</w:t>
      </w:r>
      <w:r>
        <w:br/>
      </w:r>
      <w:r>
        <w:rPr>
          <w:rStyle w:val="VerbatimChar"/>
        </w:rPr>
        <w:t xml:space="preserve"> [1] tidyselect_1.2.1     farver_2.1.2         S7_0.2.2             fastmap_1.2.0        TH.data_1.1-5       </w:t>
      </w:r>
      <w:r>
        <w:br/>
      </w:r>
      <w:r>
        <w:rPr>
          <w:rStyle w:val="VerbatimChar"/>
        </w:rPr>
        <w:t xml:space="preserve"> [6] digest_0.6.39        estimability_2.0.0   timechange_0.4.0     lifecycle_1.0.5      survival_3.8-12     </w:t>
      </w:r>
      <w:r>
        <w:br/>
      </w:r>
      <w:r>
        <w:rPr>
          <w:rStyle w:val="VerbatimChar"/>
        </w:rPr>
        <w:t xml:space="preserve">[11] magrittr_2.0.5       compiler_4.6.1       rlang_1.3.0          tools_4.6.1          yaml_2.3.12         </w:t>
      </w:r>
      <w:r>
        <w:br/>
      </w:r>
      <w:r>
        <w:rPr>
          <w:rStyle w:val="VerbatimChar"/>
        </w:rPr>
        <w:t xml:space="preserve">[16] knitr_1.52           labeling_0.4.3       bit_4.6.0            plyr_1.8.9           RColorBrewer_1.1-3  </w:t>
      </w:r>
      <w:r>
        <w:br/>
      </w:r>
      <w:r>
        <w:rPr>
          <w:rStyle w:val="VerbatimChar"/>
        </w:rPr>
        <w:t xml:space="preserve">[21] abind_1.4-8          multcomp_1.4-32      withr_3.0.3          numDeriv_2016.8-1.1  grid_4.6.1          </w:t>
      </w:r>
      <w:r>
        <w:br/>
      </w:r>
      <w:r>
        <w:rPr>
          <w:rStyle w:val="VerbatimChar"/>
        </w:rPr>
        <w:t xml:space="preserve">[26] xtable_1.8-8         scales_1.4.0         MASS_7.3-66          cli_3.6.6            mvtnorm_1.4-2       </w:t>
      </w:r>
      <w:r>
        <w:br/>
      </w:r>
      <w:r>
        <w:rPr>
          <w:rStyle w:val="VerbatimChar"/>
        </w:rPr>
        <w:t xml:space="preserve">[31] rmarkdown_2.32       crayon_1.5.3         reformulas_0.4.4     generics_0.1.4       otel_0.2.0          </w:t>
      </w:r>
      <w:r>
        <w:br/>
      </w:r>
      <w:r>
        <w:rPr>
          <w:rStyle w:val="VerbatimChar"/>
        </w:rPr>
        <w:t xml:space="preserve">[36] reshape2_1.4.5       tzdb_0.5.0           minqa_1.2.8          splines_4.6.1        parallel_4.6.1      </w:t>
      </w:r>
      <w:r>
        <w:br/>
      </w:r>
      <w:r>
        <w:rPr>
          <w:rStyle w:val="VerbatimChar"/>
        </w:rPr>
        <w:t xml:space="preserve">[41] vctrs_0.7.3          boot_1.3-32          sandwich_3.1-3       jsonlite_2.0.0       carData_3.0-6       </w:t>
      </w:r>
      <w:r>
        <w:br/>
      </w:r>
      <w:r>
        <w:rPr>
          <w:rStyle w:val="VerbatimChar"/>
        </w:rPr>
        <w:t xml:space="preserve">[46] car_3.1-5            hms_1.1.4            bit64_4.8.6          Formula_1.2-6        glue_1.8.1          </w:t>
      </w:r>
      <w:r>
        <w:br/>
      </w:r>
      <w:r>
        <w:rPr>
          <w:rStyle w:val="VerbatimChar"/>
        </w:rPr>
        <w:t xml:space="preserve">[51] nloptr_2.2.1         codetools_0.2-20     distributional_0.9.0 stringi_1.8.9        gtable_0.3.6        </w:t>
      </w:r>
      <w:r>
        <w:br/>
      </w:r>
      <w:r>
        <w:rPr>
          <w:rStyle w:val="VerbatimChar"/>
        </w:rPr>
        <w:t xml:space="preserve">[56] quadprog_1.5-8       lmerTest_3.2-1       pillar_1.11.1        htmltools_0.5.9      R6_2.6.1            </w:t>
      </w:r>
      <w:r>
        <w:br/>
      </w:r>
      <w:r>
        <w:rPr>
          <w:rStyle w:val="VerbatimChar"/>
        </w:rPr>
        <w:t xml:space="preserve">[61] Rdpack_2.6.6         rprojroot_2.1.1      vroom_1.7.1          evaluate_1.0.5       lattice_0.23-1      </w:t>
      </w:r>
      <w:r>
        <w:br/>
      </w:r>
      <w:r>
        <w:rPr>
          <w:rStyle w:val="VerbatimChar"/>
        </w:rPr>
        <w:t xml:space="preserve">[66] rbibutils_2.4.1      Rcpp_1.1.2           coda_0.19-4.1        nlme_3.1-171         xfun_0.61           </w:t>
      </w:r>
      <w:r>
        <w:br/>
      </w:r>
      <w:r>
        <w:rPr>
          <w:rStyle w:val="VerbatimChar"/>
        </w:rPr>
        <w:t xml:space="preserve">[71] zoo_1.9-1            pkgconfig_2.0.3     </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hyperlink" Id="rId29" Target="https://doi.org/10.1037/0022-006X.56.6.893" TargetMode="External" /><Relationship Type="http://schemas.openxmlformats.org/officeDocument/2006/relationships/hyperlink" Id="rId38" Target="https://doi.org/10.32614/CRAN.package.afex" TargetMode="External" /><Relationship Type="http://schemas.openxmlformats.org/officeDocument/2006/relationships/hyperlink" Id="rId32" Target="https://doi.org/10.32614/CRAN.package.emmeans" TargetMode="External" /><Relationship Type="http://schemas.openxmlformats.org/officeDocument/2006/relationships/hyperlink" Id="rId36" Target="https://doi.org/10.32614/R.manuals" TargetMode="External" /><Relationship Type="http://schemas.openxmlformats.org/officeDocument/2006/relationships/hyperlink" Id="rId40" Target="https://doi.org/10.32614/RJ-2021-053" TargetMode="External" /><Relationship Type="http://schemas.openxmlformats.org/officeDocument/2006/relationships/hyperlink" Id="rId42" Target="https://ggplot2.tidyverse.org" TargetMode="External" /><Relationship Type="http://schemas.openxmlformats.org/officeDocument/2006/relationships/hyperlink" Id="rId34" Target="https://posit.co/"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037/0022-006X.56.6.893" TargetMode="External" /><Relationship Type="http://schemas.openxmlformats.org/officeDocument/2006/relationships/hyperlink" Id="rId38" Target="https://doi.org/10.32614/CRAN.package.afex" TargetMode="External" /><Relationship Type="http://schemas.openxmlformats.org/officeDocument/2006/relationships/hyperlink" Id="rId32" Target="https://doi.org/10.32614/CRAN.package.emmeans" TargetMode="External" /><Relationship Type="http://schemas.openxmlformats.org/officeDocument/2006/relationships/hyperlink" Id="rId36" Target="https://doi.org/10.32614/R.manuals" TargetMode="External" /><Relationship Type="http://schemas.openxmlformats.org/officeDocument/2006/relationships/hyperlink" Id="rId40" Target="https://doi.org/10.32614/RJ-2021-053" TargetMode="External" /><Relationship Type="http://schemas.openxmlformats.org/officeDocument/2006/relationships/hyperlink" Id="rId42" Target="https://ggplot2.tidyverse.org" TargetMode="External" /><Relationship Type="http://schemas.openxmlformats.org/officeDocument/2006/relationships/hyperlink" Id="rId34" Target="https://posit.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trial report: three treatments for anxiety</dc:title>
  <dc:creator>Filip Andras - CIMCYC, Universidad de Granada</dc:creator>
  <dc:language>en</dc:language>
  <cp:keywords/>
  <dcterms:created xsi:type="dcterms:W3CDTF">2026-10-15T10:09:06Z</dcterms:created>
  <dcterms:modified xsi:type="dcterms:W3CDTF">2026-10-15T10:09:06Z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date">
    <vt:lpwstr>2026-10-15</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Día 4 · Bloque 2 — Ejercicio 3 (SOLUCIONES)</vt:lpwstr>
  </property>
  <property fmtid="{D5CDD505-2E9C-101B-9397-08002B2CF9AE}" pid="14" name="toc-title">
    <vt:lpwstr>Table of contents</vt:lpwstr>
  </property>
</Properties>
</file>