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7528F660" w:rsidR="00831603" w:rsidRDefault="00FE709E" w:rsidP="00A779B4">
      <w:pPr>
        <w:pStyle w:val="Heading1"/>
        <w:rPr>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F37E53" w:rsidRPr="00664247">
        <w:rPr>
          <w:lang w:val="en-US"/>
        </w:rPr>
        <w:t>Enterprise-Wide</w:t>
      </w:r>
      <w:r w:rsidR="00664247" w:rsidRPr="00664247">
        <w:rPr>
          <w:lang w:val="en-US"/>
        </w:rPr>
        <w:t xml:space="preserve"> Management</w:t>
      </w:r>
      <w:r w:rsidR="00C46771">
        <w:rPr>
          <w:lang w:val="en-US"/>
        </w:rPr>
        <w:t xml:space="preserve"> </w:t>
      </w:r>
    </w:p>
    <w:p w14:paraId="415A3E0D" w14:textId="77777777" w:rsidR="00F37E53" w:rsidRDefault="00F37E53">
      <w:pPr>
        <w:rPr>
          <w:lang w:val="en-US"/>
        </w:rPr>
      </w:pPr>
      <w:r>
        <w:rPr>
          <w:lang w:val="en-US"/>
        </w:rPr>
        <w:t xml:space="preserve">Assessor’s Note: </w:t>
      </w:r>
    </w:p>
    <w:p w14:paraId="45B80C79" w14:textId="746D0E54" w:rsidR="002A5381" w:rsidRDefault="00F37E53" w:rsidP="00F37E53">
      <w:pPr>
        <w:pStyle w:val="ListParagraph"/>
        <w:numPr>
          <w:ilvl w:val="0"/>
          <w:numId w:val="5"/>
        </w:numPr>
        <w:rPr>
          <w:lang w:val="en-US"/>
        </w:rPr>
      </w:pPr>
      <w:r w:rsidRPr="00F37E53">
        <w:rPr>
          <w:lang w:val="en-US"/>
        </w:rPr>
        <w:t xml:space="preserve">Enterprise-wide requirements are </w:t>
      </w:r>
      <w:r>
        <w:rPr>
          <w:lang w:val="en-US"/>
        </w:rPr>
        <w:t>PSP-PCTF only and are not</w:t>
      </w:r>
      <w:r w:rsidRPr="00F37E53">
        <w:rPr>
          <w:lang w:val="en-US"/>
        </w:rPr>
        <w:t xml:space="preserve"> specified in CAN/CIOSC 103-1</w:t>
      </w:r>
    </w:p>
    <w:p w14:paraId="16CBA8AD" w14:textId="77777777" w:rsidR="00F37E53" w:rsidRPr="00F37E53" w:rsidRDefault="00F37E53" w:rsidP="00F37E53">
      <w:pPr>
        <w:pStyle w:val="ListParagraph"/>
        <w:numPr>
          <w:ilvl w:val="0"/>
          <w:numId w:val="5"/>
        </w:numPr>
        <w:rPr>
          <w:lang w:val="en-US"/>
        </w:rPr>
      </w:pPr>
    </w:p>
    <w:tbl>
      <w:tblPr>
        <w:tblStyle w:val="TableGrid"/>
        <w:tblW w:w="13036" w:type="dxa"/>
        <w:tblLook w:val="04A0" w:firstRow="1" w:lastRow="0" w:firstColumn="1" w:lastColumn="0" w:noHBand="0" w:noVBand="1"/>
      </w:tblPr>
      <w:tblGrid>
        <w:gridCol w:w="1436"/>
        <w:gridCol w:w="1240"/>
        <w:gridCol w:w="10360"/>
      </w:tblGrid>
      <w:tr w:rsidR="00BA0FB9" w14:paraId="5FDD8A27" w14:textId="77777777" w:rsidTr="00CD691B">
        <w:trPr>
          <w:tblHeader/>
        </w:trPr>
        <w:tc>
          <w:tcPr>
            <w:tcW w:w="1436" w:type="dxa"/>
            <w:vAlign w:val="bottom"/>
          </w:tcPr>
          <w:p w14:paraId="5847F898" w14:textId="43670A4C" w:rsidR="00BA0FB9" w:rsidRDefault="00EF3486" w:rsidP="00517BC0">
            <w:pPr>
              <w:jc w:val="center"/>
              <w:rPr>
                <w:b/>
                <w:bCs/>
                <w:lang w:val="en-US"/>
              </w:rPr>
            </w:pPr>
            <w:r w:rsidRPr="00EF3486">
              <w:rPr>
                <w:b/>
                <w:bCs/>
                <w:lang w:val="en-US"/>
              </w:rPr>
              <w:t>ID</w:t>
            </w:r>
          </w:p>
          <w:p w14:paraId="1B715260" w14:textId="745ABE6B" w:rsidR="00EA1194" w:rsidRPr="002A5381" w:rsidRDefault="00EA1194" w:rsidP="00517BC0">
            <w:pPr>
              <w:jc w:val="center"/>
              <w:rPr>
                <w:b/>
                <w:bCs/>
                <w:lang w:val="en-US"/>
              </w:rPr>
            </w:pPr>
          </w:p>
        </w:tc>
        <w:tc>
          <w:tcPr>
            <w:tcW w:w="1240" w:type="dxa"/>
          </w:tcPr>
          <w:p w14:paraId="63DADDF8" w14:textId="00B8BAD6" w:rsidR="00BA0FB9" w:rsidRDefault="00BA0FB9" w:rsidP="00517BC0">
            <w:pPr>
              <w:jc w:val="center"/>
              <w:rPr>
                <w:b/>
                <w:bCs/>
                <w:lang w:val="en-US"/>
              </w:rPr>
            </w:pPr>
            <w:r>
              <w:rPr>
                <w:b/>
                <w:bCs/>
                <w:lang w:val="en-US"/>
              </w:rPr>
              <w:t>Qualifier(s)</w:t>
            </w:r>
          </w:p>
        </w:tc>
        <w:tc>
          <w:tcPr>
            <w:tcW w:w="10360" w:type="dxa"/>
          </w:tcPr>
          <w:p w14:paraId="15C4CC23" w14:textId="7B0C79F0" w:rsidR="00520069" w:rsidRPr="00520069" w:rsidRDefault="00520069">
            <w:pPr>
              <w:pBdr>
                <w:bottom w:val="single" w:sz="6" w:space="1" w:color="auto"/>
              </w:pBdr>
              <w:rPr>
                <w:b/>
                <w:bCs/>
                <w:i/>
                <w:iCs/>
                <w:lang w:val="en-US"/>
              </w:rPr>
            </w:pPr>
            <w:r w:rsidRPr="00520069">
              <w:rPr>
                <w:b/>
                <w:bCs/>
                <w:i/>
                <w:iCs/>
                <w:lang w:val="en-US"/>
              </w:rPr>
              <w:t>Conformance Criteria</w:t>
            </w:r>
          </w:p>
          <w:p w14:paraId="6571F554" w14:textId="10DD52F9" w:rsidR="00BA0FB9" w:rsidRPr="002A5381" w:rsidRDefault="00BA0FB9">
            <w:pPr>
              <w:rPr>
                <w:b/>
                <w:bCs/>
                <w:lang w:val="en-US"/>
              </w:rPr>
            </w:pPr>
            <w:r>
              <w:rPr>
                <w:b/>
                <w:bCs/>
                <w:lang w:val="en-US"/>
              </w:rPr>
              <w:t>Evidence</w:t>
            </w:r>
          </w:p>
        </w:tc>
      </w:tr>
      <w:tr w:rsidR="00BA0FB9" w14:paraId="1D0B652B" w14:textId="77777777" w:rsidTr="00CD691B">
        <w:tc>
          <w:tcPr>
            <w:tcW w:w="1436" w:type="dxa"/>
            <w:shd w:val="clear" w:color="auto" w:fill="E7E6E6" w:themeFill="background2"/>
          </w:tcPr>
          <w:p w14:paraId="2628CD64" w14:textId="242FDD1D" w:rsidR="00BA0FB9" w:rsidRDefault="00BA0FB9" w:rsidP="00517BC0">
            <w:pPr>
              <w:jc w:val="center"/>
              <w:rPr>
                <w:lang w:val="en-US"/>
              </w:rPr>
            </w:pPr>
            <w:r>
              <w:rPr>
                <w:lang w:val="en-US"/>
              </w:rPr>
              <w:t>EWMG</w:t>
            </w:r>
          </w:p>
        </w:tc>
        <w:tc>
          <w:tcPr>
            <w:tcW w:w="1240" w:type="dxa"/>
            <w:shd w:val="clear" w:color="auto" w:fill="E7E6E6" w:themeFill="background2"/>
          </w:tcPr>
          <w:p w14:paraId="5CE6C3BE" w14:textId="77777777" w:rsidR="00BA0FB9" w:rsidRPr="00BB138F" w:rsidRDefault="00BA0FB9" w:rsidP="00517BC0">
            <w:pPr>
              <w:pStyle w:val="Default"/>
              <w:jc w:val="center"/>
              <w:rPr>
                <w:i/>
                <w:iCs/>
                <w:sz w:val="20"/>
                <w:szCs w:val="20"/>
              </w:rPr>
            </w:pPr>
          </w:p>
        </w:tc>
        <w:tc>
          <w:tcPr>
            <w:tcW w:w="10360" w:type="dxa"/>
            <w:shd w:val="clear" w:color="auto" w:fill="E7E6E6" w:themeFill="background2"/>
          </w:tcPr>
          <w:p w14:paraId="065C468E" w14:textId="4F09E4E5" w:rsidR="00BA0FB9" w:rsidRPr="00C70A59" w:rsidRDefault="00BA0FB9" w:rsidP="00C70A59">
            <w:pPr>
              <w:pStyle w:val="Default"/>
              <w:rPr>
                <w:i/>
                <w:iCs/>
                <w:sz w:val="20"/>
                <w:szCs w:val="20"/>
              </w:rPr>
            </w:pPr>
            <w:r w:rsidRPr="00BB138F">
              <w:rPr>
                <w:i/>
                <w:iCs/>
                <w:sz w:val="20"/>
                <w:szCs w:val="20"/>
              </w:rPr>
              <w:t xml:space="preserve">General requirements for </w:t>
            </w:r>
            <w:r w:rsidR="00F37E53" w:rsidRPr="00BB138F">
              <w:rPr>
                <w:i/>
                <w:iCs/>
                <w:sz w:val="20"/>
                <w:szCs w:val="20"/>
              </w:rPr>
              <w:t>enterprise-wide</w:t>
            </w:r>
            <w:r w:rsidRPr="00BB138F">
              <w:rPr>
                <w:i/>
                <w:iCs/>
                <w:sz w:val="20"/>
                <w:szCs w:val="20"/>
              </w:rPr>
              <w:t xml:space="preserve"> management that are applicable to all atomic and compound processes identified in the PCTF</w:t>
            </w:r>
          </w:p>
        </w:tc>
      </w:tr>
      <w:tr w:rsidR="00BA0FB9" w14:paraId="7E2235AB" w14:textId="77777777" w:rsidTr="005C763F">
        <w:tc>
          <w:tcPr>
            <w:tcW w:w="1436" w:type="dxa"/>
            <w:shd w:val="clear" w:color="auto" w:fill="auto"/>
          </w:tcPr>
          <w:p w14:paraId="6BA5A29A" w14:textId="6C151FE9" w:rsidR="00BA0FB9" w:rsidRDefault="00BA0FB9" w:rsidP="00517BC0">
            <w:pPr>
              <w:jc w:val="center"/>
              <w:rPr>
                <w:lang w:val="en-US"/>
              </w:rPr>
            </w:pPr>
            <w:r>
              <w:rPr>
                <w:lang w:val="en-US"/>
              </w:rPr>
              <w:t>EWMG.01</w:t>
            </w:r>
          </w:p>
        </w:tc>
        <w:tc>
          <w:tcPr>
            <w:tcW w:w="1240" w:type="dxa"/>
            <w:shd w:val="clear" w:color="auto" w:fill="auto"/>
          </w:tcPr>
          <w:p w14:paraId="38C62A64" w14:textId="01FA461E" w:rsidR="00BA0FB9" w:rsidRPr="00BA0FB9" w:rsidRDefault="00BA0FB9" w:rsidP="00517BC0">
            <w:pPr>
              <w:pStyle w:val="Default"/>
              <w:jc w:val="center"/>
              <w:rPr>
                <w:sz w:val="20"/>
                <w:szCs w:val="20"/>
              </w:rPr>
            </w:pPr>
            <w:r w:rsidRPr="00BA0FB9">
              <w:rPr>
                <w:sz w:val="20"/>
                <w:szCs w:val="20"/>
              </w:rPr>
              <w:t>GEN</w:t>
            </w:r>
          </w:p>
        </w:tc>
        <w:tc>
          <w:tcPr>
            <w:tcW w:w="10360" w:type="dxa"/>
          </w:tcPr>
          <w:p w14:paraId="4FB25AEC" w14:textId="77777777" w:rsidR="00EA1194" w:rsidRPr="00EA1194" w:rsidRDefault="00EA1194" w:rsidP="00EA1194">
            <w:pPr>
              <w:pStyle w:val="Default"/>
              <w:rPr>
                <w:i/>
                <w:iCs/>
                <w:sz w:val="20"/>
                <w:szCs w:val="20"/>
              </w:rPr>
            </w:pPr>
            <w:r w:rsidRPr="00EA1194">
              <w:rPr>
                <w:i/>
                <w:iCs/>
                <w:sz w:val="20"/>
                <w:szCs w:val="20"/>
              </w:rPr>
              <w:t xml:space="preserve">The entity under assessment MUST ensure that policies and plans are developed, documented, and disseminated within the organization that address, at an enterprise level: </w:t>
            </w:r>
          </w:p>
          <w:p w14:paraId="0856FB43" w14:textId="2C7F336C" w:rsidR="00EA1194" w:rsidRPr="00EA1194" w:rsidRDefault="00EA1194" w:rsidP="009E66BC">
            <w:pPr>
              <w:pStyle w:val="Default"/>
              <w:numPr>
                <w:ilvl w:val="0"/>
                <w:numId w:val="2"/>
              </w:numPr>
              <w:rPr>
                <w:i/>
                <w:iCs/>
                <w:sz w:val="20"/>
                <w:szCs w:val="20"/>
              </w:rPr>
            </w:pPr>
            <w:r w:rsidRPr="00EA1194">
              <w:rPr>
                <w:i/>
                <w:iCs/>
                <w:sz w:val="20"/>
                <w:szCs w:val="20"/>
              </w:rPr>
              <w:t xml:space="preserve">Risk </w:t>
            </w:r>
            <w:proofErr w:type="gramStart"/>
            <w:r w:rsidRPr="00EA1194">
              <w:rPr>
                <w:i/>
                <w:iCs/>
                <w:sz w:val="20"/>
                <w:szCs w:val="20"/>
              </w:rPr>
              <w:t>assessment;</w:t>
            </w:r>
            <w:proofErr w:type="gramEnd"/>
            <w:r w:rsidRPr="00EA1194">
              <w:rPr>
                <w:i/>
                <w:iCs/>
                <w:sz w:val="20"/>
                <w:szCs w:val="20"/>
              </w:rPr>
              <w:t xml:space="preserve"> </w:t>
            </w:r>
          </w:p>
          <w:p w14:paraId="0BF1DF8F" w14:textId="6948CD46" w:rsidR="00EA1194" w:rsidRPr="00EA1194" w:rsidRDefault="00EA1194" w:rsidP="009E66BC">
            <w:pPr>
              <w:pStyle w:val="Default"/>
              <w:numPr>
                <w:ilvl w:val="0"/>
                <w:numId w:val="2"/>
              </w:numPr>
              <w:rPr>
                <w:i/>
                <w:iCs/>
                <w:sz w:val="20"/>
                <w:szCs w:val="20"/>
              </w:rPr>
            </w:pPr>
            <w:r w:rsidRPr="00EA1194">
              <w:rPr>
                <w:i/>
                <w:iCs/>
                <w:sz w:val="20"/>
                <w:szCs w:val="20"/>
              </w:rPr>
              <w:t xml:space="preserve">Audit and </w:t>
            </w:r>
            <w:proofErr w:type="gramStart"/>
            <w:r w:rsidRPr="00EA1194">
              <w:rPr>
                <w:i/>
                <w:iCs/>
                <w:sz w:val="20"/>
                <w:szCs w:val="20"/>
              </w:rPr>
              <w:t>accountability;</w:t>
            </w:r>
            <w:proofErr w:type="gramEnd"/>
            <w:r w:rsidRPr="00EA1194">
              <w:rPr>
                <w:i/>
                <w:iCs/>
                <w:sz w:val="20"/>
                <w:szCs w:val="20"/>
              </w:rPr>
              <w:t xml:space="preserve"> </w:t>
            </w:r>
          </w:p>
          <w:p w14:paraId="591A167D" w14:textId="28F7E759" w:rsidR="00EA1194" w:rsidRPr="00EA1194" w:rsidRDefault="00EA1194" w:rsidP="009E66BC">
            <w:pPr>
              <w:pStyle w:val="Default"/>
              <w:numPr>
                <w:ilvl w:val="0"/>
                <w:numId w:val="2"/>
              </w:numPr>
              <w:rPr>
                <w:i/>
                <w:iCs/>
                <w:sz w:val="20"/>
                <w:szCs w:val="20"/>
              </w:rPr>
            </w:pPr>
            <w:r w:rsidRPr="00EA1194">
              <w:rPr>
                <w:i/>
                <w:iCs/>
                <w:sz w:val="20"/>
                <w:szCs w:val="20"/>
              </w:rPr>
              <w:t xml:space="preserve">Security </w:t>
            </w:r>
            <w:proofErr w:type="gramStart"/>
            <w:r w:rsidRPr="00EA1194">
              <w:rPr>
                <w:i/>
                <w:iCs/>
                <w:sz w:val="20"/>
                <w:szCs w:val="20"/>
              </w:rPr>
              <w:t>assessment;</w:t>
            </w:r>
            <w:proofErr w:type="gramEnd"/>
            <w:r w:rsidRPr="00EA1194">
              <w:rPr>
                <w:i/>
                <w:iCs/>
                <w:sz w:val="20"/>
                <w:szCs w:val="20"/>
              </w:rPr>
              <w:t xml:space="preserve"> </w:t>
            </w:r>
          </w:p>
          <w:p w14:paraId="58DD9353" w14:textId="497310E8" w:rsidR="00EA1194" w:rsidRPr="00EA1194" w:rsidRDefault="00EA1194" w:rsidP="009E66BC">
            <w:pPr>
              <w:pStyle w:val="Default"/>
              <w:numPr>
                <w:ilvl w:val="0"/>
                <w:numId w:val="2"/>
              </w:numPr>
              <w:rPr>
                <w:i/>
                <w:iCs/>
                <w:sz w:val="20"/>
                <w:szCs w:val="20"/>
              </w:rPr>
            </w:pPr>
            <w:r w:rsidRPr="00EA1194">
              <w:rPr>
                <w:i/>
                <w:iCs/>
                <w:sz w:val="20"/>
                <w:szCs w:val="20"/>
              </w:rPr>
              <w:t xml:space="preserve">Disaster or contingency </w:t>
            </w:r>
            <w:proofErr w:type="gramStart"/>
            <w:r w:rsidRPr="00EA1194">
              <w:rPr>
                <w:i/>
                <w:iCs/>
                <w:sz w:val="20"/>
                <w:szCs w:val="20"/>
              </w:rPr>
              <w:t>planning;</w:t>
            </w:r>
            <w:proofErr w:type="gramEnd"/>
            <w:r w:rsidRPr="00EA1194">
              <w:rPr>
                <w:i/>
                <w:iCs/>
                <w:sz w:val="20"/>
                <w:szCs w:val="20"/>
              </w:rPr>
              <w:t xml:space="preserve"> </w:t>
            </w:r>
          </w:p>
          <w:p w14:paraId="4769AFCB" w14:textId="5E5C6A5F" w:rsidR="00EA1194" w:rsidRPr="00EA1194" w:rsidRDefault="00EA1194" w:rsidP="009E66BC">
            <w:pPr>
              <w:pStyle w:val="Default"/>
              <w:numPr>
                <w:ilvl w:val="0"/>
                <w:numId w:val="2"/>
              </w:numPr>
              <w:rPr>
                <w:i/>
                <w:iCs/>
                <w:sz w:val="20"/>
                <w:szCs w:val="20"/>
              </w:rPr>
            </w:pPr>
            <w:r w:rsidRPr="00EA1194">
              <w:rPr>
                <w:i/>
                <w:iCs/>
                <w:sz w:val="20"/>
                <w:szCs w:val="20"/>
              </w:rPr>
              <w:t xml:space="preserve">Identification and </w:t>
            </w:r>
            <w:proofErr w:type="gramStart"/>
            <w:r w:rsidRPr="00EA1194">
              <w:rPr>
                <w:i/>
                <w:iCs/>
                <w:sz w:val="20"/>
                <w:szCs w:val="20"/>
              </w:rPr>
              <w:t>authorization;</w:t>
            </w:r>
            <w:proofErr w:type="gramEnd"/>
            <w:r w:rsidRPr="00EA1194">
              <w:rPr>
                <w:i/>
                <w:iCs/>
                <w:sz w:val="20"/>
                <w:szCs w:val="20"/>
              </w:rPr>
              <w:t xml:space="preserve"> </w:t>
            </w:r>
          </w:p>
          <w:p w14:paraId="3C89D404" w14:textId="1A69B367" w:rsidR="00EA1194" w:rsidRPr="00EA1194" w:rsidRDefault="00EA1194" w:rsidP="009E66BC">
            <w:pPr>
              <w:pStyle w:val="Default"/>
              <w:numPr>
                <w:ilvl w:val="0"/>
                <w:numId w:val="2"/>
              </w:numPr>
              <w:rPr>
                <w:i/>
                <w:iCs/>
                <w:sz w:val="20"/>
                <w:szCs w:val="20"/>
              </w:rPr>
            </w:pPr>
            <w:r w:rsidRPr="00EA1194">
              <w:rPr>
                <w:i/>
                <w:iCs/>
                <w:sz w:val="20"/>
                <w:szCs w:val="20"/>
              </w:rPr>
              <w:t xml:space="preserve">Systems and communication </w:t>
            </w:r>
            <w:proofErr w:type="gramStart"/>
            <w:r w:rsidRPr="00EA1194">
              <w:rPr>
                <w:i/>
                <w:iCs/>
                <w:sz w:val="20"/>
                <w:szCs w:val="20"/>
              </w:rPr>
              <w:t>protection;</w:t>
            </w:r>
            <w:proofErr w:type="gramEnd"/>
            <w:r w:rsidRPr="00EA1194">
              <w:rPr>
                <w:i/>
                <w:iCs/>
                <w:sz w:val="20"/>
                <w:szCs w:val="20"/>
              </w:rPr>
              <w:t xml:space="preserve"> </w:t>
            </w:r>
          </w:p>
          <w:p w14:paraId="0E976C0E" w14:textId="641437AE" w:rsidR="00EA1194" w:rsidRPr="00EA1194" w:rsidRDefault="00EA1194" w:rsidP="009E66BC">
            <w:pPr>
              <w:pStyle w:val="Default"/>
              <w:numPr>
                <w:ilvl w:val="0"/>
                <w:numId w:val="2"/>
              </w:numPr>
              <w:rPr>
                <w:i/>
                <w:iCs/>
                <w:sz w:val="20"/>
                <w:szCs w:val="20"/>
              </w:rPr>
            </w:pPr>
            <w:r w:rsidRPr="00EA1194">
              <w:rPr>
                <w:i/>
                <w:iCs/>
                <w:sz w:val="20"/>
                <w:szCs w:val="20"/>
              </w:rPr>
              <w:t xml:space="preserve">Incident </w:t>
            </w:r>
            <w:proofErr w:type="gramStart"/>
            <w:r w:rsidRPr="00EA1194">
              <w:rPr>
                <w:i/>
                <w:iCs/>
                <w:sz w:val="20"/>
                <w:szCs w:val="20"/>
              </w:rPr>
              <w:t>response;</w:t>
            </w:r>
            <w:proofErr w:type="gramEnd"/>
            <w:r w:rsidRPr="00EA1194">
              <w:rPr>
                <w:i/>
                <w:iCs/>
                <w:sz w:val="20"/>
                <w:szCs w:val="20"/>
              </w:rPr>
              <w:t xml:space="preserve"> </w:t>
            </w:r>
          </w:p>
          <w:p w14:paraId="62191D51" w14:textId="76A8F010" w:rsidR="00EA1194" w:rsidRPr="00EA1194" w:rsidRDefault="00EA1194" w:rsidP="009E66BC">
            <w:pPr>
              <w:pStyle w:val="Default"/>
              <w:numPr>
                <w:ilvl w:val="0"/>
                <w:numId w:val="2"/>
              </w:numPr>
              <w:rPr>
                <w:i/>
                <w:iCs/>
                <w:sz w:val="20"/>
                <w:szCs w:val="20"/>
              </w:rPr>
            </w:pPr>
            <w:r w:rsidRPr="00EA1194">
              <w:rPr>
                <w:i/>
                <w:iCs/>
                <w:sz w:val="20"/>
                <w:szCs w:val="20"/>
              </w:rPr>
              <w:t xml:space="preserve">System and information </w:t>
            </w:r>
            <w:proofErr w:type="gramStart"/>
            <w:r w:rsidRPr="00EA1194">
              <w:rPr>
                <w:i/>
                <w:iCs/>
                <w:sz w:val="20"/>
                <w:szCs w:val="20"/>
              </w:rPr>
              <w:t>integrity;</w:t>
            </w:r>
            <w:proofErr w:type="gramEnd"/>
            <w:r w:rsidRPr="00EA1194">
              <w:rPr>
                <w:i/>
                <w:iCs/>
                <w:sz w:val="20"/>
                <w:szCs w:val="20"/>
              </w:rPr>
              <w:t xml:space="preserve"> </w:t>
            </w:r>
          </w:p>
          <w:p w14:paraId="78868A28" w14:textId="4A0E9E8E" w:rsidR="00EA1194" w:rsidRPr="00EA1194" w:rsidRDefault="00EA1194" w:rsidP="009E66BC">
            <w:pPr>
              <w:pStyle w:val="Default"/>
              <w:numPr>
                <w:ilvl w:val="0"/>
                <w:numId w:val="2"/>
              </w:numPr>
              <w:rPr>
                <w:i/>
                <w:iCs/>
                <w:sz w:val="20"/>
                <w:szCs w:val="20"/>
              </w:rPr>
            </w:pPr>
            <w:r w:rsidRPr="00EA1194">
              <w:rPr>
                <w:i/>
                <w:iCs/>
                <w:sz w:val="20"/>
                <w:szCs w:val="20"/>
              </w:rPr>
              <w:t xml:space="preserve">Information management and privacy </w:t>
            </w:r>
            <w:proofErr w:type="gramStart"/>
            <w:r w:rsidRPr="00EA1194">
              <w:rPr>
                <w:i/>
                <w:iCs/>
                <w:sz w:val="20"/>
                <w:szCs w:val="20"/>
              </w:rPr>
              <w:t>protection;</w:t>
            </w:r>
            <w:proofErr w:type="gramEnd"/>
            <w:r w:rsidRPr="00EA1194">
              <w:rPr>
                <w:i/>
                <w:iCs/>
                <w:sz w:val="20"/>
                <w:szCs w:val="20"/>
              </w:rPr>
              <w:t xml:space="preserve"> </w:t>
            </w:r>
          </w:p>
          <w:p w14:paraId="5C6F29A6" w14:textId="2DE59A75" w:rsidR="00EA1194" w:rsidRPr="00EA1194" w:rsidRDefault="00EA1194" w:rsidP="009E66BC">
            <w:pPr>
              <w:pStyle w:val="Default"/>
              <w:numPr>
                <w:ilvl w:val="0"/>
                <w:numId w:val="2"/>
              </w:numPr>
              <w:rPr>
                <w:i/>
                <w:iCs/>
                <w:sz w:val="20"/>
                <w:szCs w:val="20"/>
              </w:rPr>
            </w:pPr>
            <w:r w:rsidRPr="00EA1194">
              <w:rPr>
                <w:i/>
                <w:iCs/>
                <w:sz w:val="20"/>
                <w:szCs w:val="20"/>
              </w:rPr>
              <w:t xml:space="preserve">System </w:t>
            </w:r>
            <w:proofErr w:type="gramStart"/>
            <w:r w:rsidRPr="00EA1194">
              <w:rPr>
                <w:i/>
                <w:iCs/>
                <w:sz w:val="20"/>
                <w:szCs w:val="20"/>
              </w:rPr>
              <w:t>maintenance;</w:t>
            </w:r>
            <w:proofErr w:type="gramEnd"/>
            <w:r w:rsidRPr="00EA1194">
              <w:rPr>
                <w:i/>
                <w:iCs/>
                <w:sz w:val="20"/>
                <w:szCs w:val="20"/>
              </w:rPr>
              <w:t xml:space="preserve"> </w:t>
            </w:r>
          </w:p>
          <w:p w14:paraId="2F9DAEBB" w14:textId="5C63516B" w:rsidR="00EA1194" w:rsidRPr="00EA1194" w:rsidRDefault="00EA1194" w:rsidP="009E66BC">
            <w:pPr>
              <w:pStyle w:val="Default"/>
              <w:numPr>
                <w:ilvl w:val="0"/>
                <w:numId w:val="2"/>
              </w:numPr>
              <w:rPr>
                <w:i/>
                <w:iCs/>
                <w:sz w:val="20"/>
                <w:szCs w:val="20"/>
              </w:rPr>
            </w:pPr>
            <w:r w:rsidRPr="00EA1194">
              <w:rPr>
                <w:i/>
                <w:iCs/>
                <w:sz w:val="20"/>
                <w:szCs w:val="20"/>
              </w:rPr>
              <w:t>Technical access control (</w:t>
            </w:r>
            <w:proofErr w:type="gramStart"/>
            <w:r w:rsidRPr="00EA1194">
              <w:rPr>
                <w:i/>
                <w:iCs/>
                <w:sz w:val="20"/>
                <w:szCs w:val="20"/>
              </w:rPr>
              <w:t>e.g.</w:t>
            </w:r>
            <w:proofErr w:type="gramEnd"/>
            <w:r w:rsidRPr="00EA1194">
              <w:rPr>
                <w:i/>
                <w:iCs/>
                <w:sz w:val="20"/>
                <w:szCs w:val="20"/>
              </w:rPr>
              <w:t xml:space="preserve"> lockdown of operating systems, intrusion detection, password management, encryption, and network access management); and</w:t>
            </w:r>
          </w:p>
          <w:p w14:paraId="7E16697F" w14:textId="69376AAF" w:rsidR="00BA0FB9" w:rsidRDefault="00EA1194" w:rsidP="009E66BC">
            <w:pPr>
              <w:pStyle w:val="Default"/>
              <w:numPr>
                <w:ilvl w:val="0"/>
                <w:numId w:val="2"/>
              </w:numPr>
              <w:rPr>
                <w:i/>
                <w:iCs/>
                <w:sz w:val="20"/>
                <w:szCs w:val="20"/>
              </w:rPr>
            </w:pPr>
            <w:r w:rsidRPr="00EA1194">
              <w:rPr>
                <w:i/>
                <w:iCs/>
                <w:sz w:val="20"/>
                <w:szCs w:val="20"/>
              </w:rPr>
              <w:t>Physical access to technology assets.</w:t>
            </w:r>
          </w:p>
          <w:p w14:paraId="1663D2E0" w14:textId="762D892B" w:rsidR="00EA1194" w:rsidRDefault="00EA1194" w:rsidP="00EA1194">
            <w:pPr>
              <w:pStyle w:val="Default"/>
              <w:pBdr>
                <w:bottom w:val="single" w:sz="6" w:space="1" w:color="auto"/>
              </w:pBdr>
              <w:rPr>
                <w:i/>
                <w:iCs/>
                <w:sz w:val="20"/>
                <w:szCs w:val="20"/>
              </w:rPr>
            </w:pPr>
          </w:p>
          <w:p w14:paraId="4A60591A" w14:textId="77777777" w:rsidR="00076D43" w:rsidRPr="00076D43" w:rsidRDefault="00076D43" w:rsidP="00EA1194">
            <w:pPr>
              <w:pStyle w:val="Default"/>
              <w:rPr>
                <w:sz w:val="20"/>
                <w:szCs w:val="20"/>
              </w:rPr>
            </w:pPr>
          </w:p>
          <w:p w14:paraId="4C5BF065" w14:textId="3CDA1BA8" w:rsidR="00EA1194" w:rsidRPr="00B52EA2" w:rsidRDefault="00EA1194" w:rsidP="00EA1194">
            <w:pPr>
              <w:pStyle w:val="Default"/>
              <w:rPr>
                <w:sz w:val="20"/>
                <w:szCs w:val="20"/>
              </w:rPr>
            </w:pPr>
          </w:p>
        </w:tc>
      </w:tr>
      <w:tr w:rsidR="00BA0FB9" w14:paraId="261892FF" w14:textId="77777777" w:rsidTr="005C763F">
        <w:tc>
          <w:tcPr>
            <w:tcW w:w="1436" w:type="dxa"/>
            <w:shd w:val="clear" w:color="auto" w:fill="auto"/>
          </w:tcPr>
          <w:p w14:paraId="0171DF4E" w14:textId="64DAB6A4" w:rsidR="00BA0FB9" w:rsidRDefault="00BA0FB9" w:rsidP="00517BC0">
            <w:pPr>
              <w:jc w:val="center"/>
              <w:rPr>
                <w:lang w:val="en-US"/>
              </w:rPr>
            </w:pPr>
            <w:r>
              <w:rPr>
                <w:lang w:val="en-US"/>
              </w:rPr>
              <w:t>EWMG.02</w:t>
            </w:r>
          </w:p>
        </w:tc>
        <w:tc>
          <w:tcPr>
            <w:tcW w:w="1240" w:type="dxa"/>
            <w:shd w:val="clear" w:color="auto" w:fill="auto"/>
          </w:tcPr>
          <w:p w14:paraId="7FB60C74" w14:textId="4F97D5F6" w:rsidR="00EA1194" w:rsidRPr="00EA1194" w:rsidRDefault="00EA1194" w:rsidP="00517BC0">
            <w:pPr>
              <w:pStyle w:val="Default"/>
              <w:jc w:val="center"/>
              <w:rPr>
                <w:sz w:val="20"/>
                <w:szCs w:val="20"/>
              </w:rPr>
            </w:pPr>
            <w:r w:rsidRPr="00EA1194">
              <w:rPr>
                <w:sz w:val="20"/>
                <w:szCs w:val="20"/>
              </w:rPr>
              <w:t>GEN</w:t>
            </w:r>
          </w:p>
        </w:tc>
        <w:tc>
          <w:tcPr>
            <w:tcW w:w="10360" w:type="dxa"/>
          </w:tcPr>
          <w:p w14:paraId="00A30699" w14:textId="77777777" w:rsidR="008C3F80" w:rsidRPr="008C3F80" w:rsidRDefault="008C3F80" w:rsidP="008C3F80">
            <w:pPr>
              <w:pStyle w:val="Default"/>
              <w:rPr>
                <w:i/>
                <w:iCs/>
                <w:sz w:val="20"/>
                <w:szCs w:val="20"/>
              </w:rPr>
            </w:pPr>
            <w:r w:rsidRPr="008C3F80">
              <w:rPr>
                <w:i/>
                <w:iCs/>
                <w:sz w:val="20"/>
                <w:szCs w:val="20"/>
              </w:rPr>
              <w:t xml:space="preserve">The entity under assessment MUST ensure that the formal operational policy and procedures, identified in EWMG.01, are reviewed and updated regularly on a fixed schedule appropriate to the context of the program/service being delivered. </w:t>
            </w:r>
          </w:p>
          <w:p w14:paraId="0940D1C2" w14:textId="77777777" w:rsidR="008C3F80" w:rsidRPr="008C3F80" w:rsidRDefault="008C3F80" w:rsidP="008C3F80">
            <w:pPr>
              <w:pStyle w:val="Default"/>
              <w:rPr>
                <w:i/>
                <w:iCs/>
                <w:sz w:val="20"/>
                <w:szCs w:val="20"/>
              </w:rPr>
            </w:pPr>
          </w:p>
          <w:p w14:paraId="7C068256" w14:textId="77777777" w:rsidR="00BA0FB9" w:rsidRDefault="008C3F80" w:rsidP="008C3F80">
            <w:pPr>
              <w:pStyle w:val="Default"/>
              <w:pBdr>
                <w:bottom w:val="single" w:sz="6" w:space="1" w:color="auto"/>
              </w:pBdr>
              <w:rPr>
                <w:i/>
                <w:iCs/>
                <w:sz w:val="20"/>
                <w:szCs w:val="20"/>
              </w:rPr>
            </w:pPr>
            <w:r w:rsidRPr="008C3F80">
              <w:rPr>
                <w:i/>
                <w:iCs/>
                <w:sz w:val="20"/>
                <w:szCs w:val="20"/>
              </w:rPr>
              <w:t>Policies/plans may also require update on an ad hoc basis based on operational events or extraordinary need.</w:t>
            </w:r>
          </w:p>
          <w:p w14:paraId="0051CD3F" w14:textId="77777777" w:rsidR="00076D43" w:rsidRDefault="00076D43" w:rsidP="008C3F80">
            <w:pPr>
              <w:pStyle w:val="Default"/>
              <w:rPr>
                <w:i/>
                <w:iCs/>
                <w:sz w:val="20"/>
                <w:szCs w:val="20"/>
              </w:rPr>
            </w:pPr>
          </w:p>
          <w:p w14:paraId="08906252" w14:textId="20C32A69" w:rsidR="008C3F80" w:rsidRPr="00C31307" w:rsidRDefault="008C3F80" w:rsidP="008C3F80">
            <w:pPr>
              <w:pStyle w:val="Default"/>
              <w:rPr>
                <w:sz w:val="20"/>
                <w:szCs w:val="20"/>
              </w:rPr>
            </w:pPr>
          </w:p>
        </w:tc>
      </w:tr>
      <w:tr w:rsidR="00EA1194" w14:paraId="0B1BF297" w14:textId="77777777" w:rsidTr="005C763F">
        <w:tc>
          <w:tcPr>
            <w:tcW w:w="1436" w:type="dxa"/>
            <w:shd w:val="clear" w:color="auto" w:fill="auto"/>
          </w:tcPr>
          <w:p w14:paraId="17CC1040" w14:textId="78DA8F74" w:rsidR="00EA1194" w:rsidRDefault="00EA1194" w:rsidP="00517BC0">
            <w:pPr>
              <w:jc w:val="center"/>
              <w:rPr>
                <w:lang w:val="en-US"/>
              </w:rPr>
            </w:pPr>
            <w:r>
              <w:rPr>
                <w:lang w:val="en-US"/>
              </w:rPr>
              <w:t>EWMG.03</w:t>
            </w:r>
          </w:p>
        </w:tc>
        <w:tc>
          <w:tcPr>
            <w:tcW w:w="1240" w:type="dxa"/>
            <w:shd w:val="clear" w:color="auto" w:fill="auto"/>
          </w:tcPr>
          <w:p w14:paraId="2B439EA4" w14:textId="021DCE16" w:rsidR="00EA1194" w:rsidRPr="00C70A59" w:rsidRDefault="00EA1194" w:rsidP="00517BC0">
            <w:pPr>
              <w:pStyle w:val="Default"/>
              <w:jc w:val="center"/>
              <w:rPr>
                <w:i/>
                <w:iCs/>
                <w:sz w:val="20"/>
                <w:szCs w:val="20"/>
              </w:rPr>
            </w:pPr>
            <w:r w:rsidRPr="00D4424E">
              <w:rPr>
                <w:sz w:val="20"/>
                <w:szCs w:val="20"/>
              </w:rPr>
              <w:t>GEN</w:t>
            </w:r>
          </w:p>
        </w:tc>
        <w:tc>
          <w:tcPr>
            <w:tcW w:w="10360" w:type="dxa"/>
          </w:tcPr>
          <w:p w14:paraId="02B55B38" w14:textId="77777777" w:rsidR="006A7FCB" w:rsidRPr="006A7FCB" w:rsidRDefault="006A7FCB" w:rsidP="006A7FCB">
            <w:pPr>
              <w:pStyle w:val="Default"/>
              <w:rPr>
                <w:i/>
                <w:iCs/>
                <w:sz w:val="20"/>
                <w:szCs w:val="20"/>
              </w:rPr>
            </w:pPr>
            <w:r w:rsidRPr="006A7FCB">
              <w:rPr>
                <w:i/>
                <w:iCs/>
                <w:sz w:val="20"/>
                <w:szCs w:val="20"/>
              </w:rPr>
              <w:t>The entity under assessment MUST have active procedures that reflect the operational policy requirements for:</w:t>
            </w:r>
          </w:p>
          <w:p w14:paraId="02791990" w14:textId="53C252D8" w:rsidR="006A7FCB" w:rsidRPr="006A7FCB" w:rsidRDefault="006A7FCB" w:rsidP="0017118A">
            <w:pPr>
              <w:pStyle w:val="Default"/>
              <w:numPr>
                <w:ilvl w:val="0"/>
                <w:numId w:val="2"/>
              </w:numPr>
              <w:rPr>
                <w:i/>
                <w:iCs/>
                <w:sz w:val="20"/>
                <w:szCs w:val="20"/>
              </w:rPr>
            </w:pPr>
            <w:r w:rsidRPr="006A7FCB">
              <w:rPr>
                <w:i/>
                <w:iCs/>
                <w:sz w:val="20"/>
                <w:szCs w:val="20"/>
              </w:rPr>
              <w:t>provision of notice,</w:t>
            </w:r>
          </w:p>
          <w:p w14:paraId="7AD64EDA" w14:textId="176B73F6" w:rsidR="006A7FCB" w:rsidRPr="006A7FCB" w:rsidRDefault="006A7FCB" w:rsidP="0017118A">
            <w:pPr>
              <w:pStyle w:val="Default"/>
              <w:numPr>
                <w:ilvl w:val="0"/>
                <w:numId w:val="2"/>
              </w:numPr>
              <w:rPr>
                <w:i/>
                <w:iCs/>
                <w:sz w:val="20"/>
                <w:szCs w:val="20"/>
              </w:rPr>
            </w:pPr>
            <w:r w:rsidRPr="006A7FCB">
              <w:rPr>
                <w:i/>
                <w:iCs/>
                <w:sz w:val="20"/>
                <w:szCs w:val="20"/>
              </w:rPr>
              <w:lastRenderedPageBreak/>
              <w:t>activity audit,</w:t>
            </w:r>
          </w:p>
          <w:p w14:paraId="0A9BF21C" w14:textId="5F426391" w:rsidR="006A7FCB" w:rsidRPr="006A7FCB" w:rsidRDefault="006A7FCB" w:rsidP="0017118A">
            <w:pPr>
              <w:pStyle w:val="Default"/>
              <w:numPr>
                <w:ilvl w:val="0"/>
                <w:numId w:val="2"/>
              </w:numPr>
              <w:rPr>
                <w:i/>
                <w:iCs/>
                <w:sz w:val="20"/>
                <w:szCs w:val="20"/>
              </w:rPr>
            </w:pPr>
            <w:r w:rsidRPr="006A7FCB">
              <w:rPr>
                <w:i/>
                <w:iCs/>
                <w:sz w:val="20"/>
                <w:szCs w:val="20"/>
              </w:rPr>
              <w:t>information maintenance</w:t>
            </w:r>
          </w:p>
          <w:p w14:paraId="1BA3E42E" w14:textId="448B90DE" w:rsidR="006A7FCB" w:rsidRPr="006A7FCB" w:rsidRDefault="006A7FCB" w:rsidP="0017118A">
            <w:pPr>
              <w:pStyle w:val="Default"/>
              <w:numPr>
                <w:ilvl w:val="0"/>
                <w:numId w:val="2"/>
              </w:numPr>
              <w:rPr>
                <w:i/>
                <w:iCs/>
                <w:sz w:val="20"/>
                <w:szCs w:val="20"/>
              </w:rPr>
            </w:pPr>
            <w:r w:rsidRPr="006A7FCB">
              <w:rPr>
                <w:i/>
                <w:iCs/>
                <w:sz w:val="20"/>
                <w:szCs w:val="20"/>
              </w:rPr>
              <w:t>information protection</w:t>
            </w:r>
          </w:p>
          <w:p w14:paraId="7975818A" w14:textId="1B97E159" w:rsidR="006A7FCB" w:rsidRPr="006A7FCB" w:rsidRDefault="006A7FCB" w:rsidP="0017118A">
            <w:pPr>
              <w:pStyle w:val="Default"/>
              <w:numPr>
                <w:ilvl w:val="0"/>
                <w:numId w:val="2"/>
              </w:numPr>
              <w:rPr>
                <w:i/>
                <w:iCs/>
                <w:sz w:val="20"/>
                <w:szCs w:val="20"/>
              </w:rPr>
            </w:pPr>
            <w:r w:rsidRPr="006A7FCB">
              <w:rPr>
                <w:i/>
                <w:iCs/>
                <w:sz w:val="20"/>
                <w:szCs w:val="20"/>
              </w:rPr>
              <w:t>information archiving and destruction, and</w:t>
            </w:r>
          </w:p>
          <w:p w14:paraId="085600B6" w14:textId="7C0BBC97" w:rsidR="00EA1194" w:rsidRDefault="006A7FCB" w:rsidP="0017118A">
            <w:pPr>
              <w:pStyle w:val="Default"/>
              <w:numPr>
                <w:ilvl w:val="0"/>
                <w:numId w:val="2"/>
              </w:numPr>
              <w:pBdr>
                <w:bottom w:val="single" w:sz="6" w:space="1" w:color="auto"/>
              </w:pBdr>
              <w:rPr>
                <w:i/>
                <w:iCs/>
                <w:sz w:val="20"/>
                <w:szCs w:val="20"/>
              </w:rPr>
            </w:pPr>
            <w:r w:rsidRPr="006A7FCB">
              <w:rPr>
                <w:i/>
                <w:iCs/>
                <w:sz w:val="20"/>
                <w:szCs w:val="20"/>
              </w:rPr>
              <w:t>provision of redress or dispute resolution.</w:t>
            </w:r>
          </w:p>
          <w:p w14:paraId="7CD64637" w14:textId="77777777" w:rsidR="00BE32C3" w:rsidRDefault="00BE32C3" w:rsidP="006A7FCB">
            <w:pPr>
              <w:pStyle w:val="Default"/>
              <w:rPr>
                <w:i/>
                <w:iCs/>
                <w:sz w:val="20"/>
                <w:szCs w:val="20"/>
              </w:rPr>
            </w:pPr>
          </w:p>
          <w:p w14:paraId="0A982DA6" w14:textId="68F7932E" w:rsidR="00C31307" w:rsidRPr="00C31307" w:rsidRDefault="00C31307" w:rsidP="006A7FCB">
            <w:pPr>
              <w:pStyle w:val="Default"/>
              <w:rPr>
                <w:sz w:val="20"/>
                <w:szCs w:val="20"/>
              </w:rPr>
            </w:pPr>
          </w:p>
        </w:tc>
      </w:tr>
      <w:tr w:rsidR="00EA1194" w14:paraId="27276343" w14:textId="77777777" w:rsidTr="005C763F">
        <w:tc>
          <w:tcPr>
            <w:tcW w:w="1436" w:type="dxa"/>
            <w:shd w:val="clear" w:color="auto" w:fill="auto"/>
          </w:tcPr>
          <w:p w14:paraId="4A364C4E" w14:textId="63832A42" w:rsidR="00EA1194" w:rsidRDefault="00EA1194" w:rsidP="00517BC0">
            <w:pPr>
              <w:jc w:val="center"/>
              <w:rPr>
                <w:lang w:val="en-US"/>
              </w:rPr>
            </w:pPr>
            <w:r>
              <w:rPr>
                <w:lang w:val="en-US"/>
              </w:rPr>
              <w:lastRenderedPageBreak/>
              <w:t>EWMG.04</w:t>
            </w:r>
          </w:p>
        </w:tc>
        <w:tc>
          <w:tcPr>
            <w:tcW w:w="1240" w:type="dxa"/>
            <w:shd w:val="clear" w:color="auto" w:fill="auto"/>
          </w:tcPr>
          <w:p w14:paraId="727F2AF0" w14:textId="4C77E068" w:rsidR="00EA1194" w:rsidRPr="00C70A59" w:rsidRDefault="00EA1194" w:rsidP="00517BC0">
            <w:pPr>
              <w:pStyle w:val="Default"/>
              <w:jc w:val="center"/>
              <w:rPr>
                <w:i/>
                <w:iCs/>
                <w:sz w:val="20"/>
                <w:szCs w:val="20"/>
              </w:rPr>
            </w:pPr>
            <w:r w:rsidRPr="00D4424E">
              <w:rPr>
                <w:sz w:val="20"/>
                <w:szCs w:val="20"/>
              </w:rPr>
              <w:t>GEN</w:t>
            </w:r>
          </w:p>
        </w:tc>
        <w:tc>
          <w:tcPr>
            <w:tcW w:w="10360" w:type="dxa"/>
          </w:tcPr>
          <w:p w14:paraId="543CFA55" w14:textId="77777777" w:rsidR="00EA1194" w:rsidRDefault="006A7FCB" w:rsidP="00EA1194">
            <w:pPr>
              <w:pStyle w:val="Default"/>
              <w:pBdr>
                <w:bottom w:val="single" w:sz="6" w:space="1" w:color="auto"/>
              </w:pBdr>
              <w:rPr>
                <w:i/>
                <w:iCs/>
                <w:sz w:val="20"/>
                <w:szCs w:val="20"/>
              </w:rPr>
            </w:pPr>
            <w:r w:rsidRPr="006A7FCB">
              <w:rPr>
                <w:i/>
                <w:iCs/>
                <w:sz w:val="20"/>
                <w:szCs w:val="20"/>
              </w:rPr>
              <w:t>The entity under assessment MUST ensure that automated procedures fulfilling service delivery comply with the relevant policy as identified in EWMG.01.</w:t>
            </w:r>
          </w:p>
          <w:p w14:paraId="5B77814C" w14:textId="77777777" w:rsidR="00BE32C3" w:rsidRDefault="00BE32C3" w:rsidP="00EA1194">
            <w:pPr>
              <w:pStyle w:val="Default"/>
              <w:rPr>
                <w:i/>
                <w:iCs/>
                <w:sz w:val="20"/>
                <w:szCs w:val="20"/>
              </w:rPr>
            </w:pPr>
          </w:p>
          <w:p w14:paraId="201A2C6F" w14:textId="425C67F8" w:rsidR="006A7FCB" w:rsidRPr="00C70A59" w:rsidRDefault="006A7FCB" w:rsidP="00EA1194">
            <w:pPr>
              <w:pStyle w:val="Default"/>
              <w:rPr>
                <w:i/>
                <w:iCs/>
                <w:sz w:val="20"/>
                <w:szCs w:val="20"/>
              </w:rPr>
            </w:pPr>
          </w:p>
        </w:tc>
      </w:tr>
      <w:tr w:rsidR="00EA1194" w14:paraId="5A45FBD9" w14:textId="77777777" w:rsidTr="005C763F">
        <w:tc>
          <w:tcPr>
            <w:tcW w:w="1436" w:type="dxa"/>
            <w:shd w:val="clear" w:color="auto" w:fill="auto"/>
          </w:tcPr>
          <w:p w14:paraId="2D17B903" w14:textId="21ED95EB" w:rsidR="00EA1194" w:rsidRDefault="00EA1194" w:rsidP="00517BC0">
            <w:pPr>
              <w:jc w:val="center"/>
              <w:rPr>
                <w:lang w:val="en-US"/>
              </w:rPr>
            </w:pPr>
            <w:r>
              <w:rPr>
                <w:lang w:val="en-US"/>
              </w:rPr>
              <w:t>EWMG.05</w:t>
            </w:r>
          </w:p>
        </w:tc>
        <w:tc>
          <w:tcPr>
            <w:tcW w:w="1240" w:type="dxa"/>
            <w:shd w:val="clear" w:color="auto" w:fill="auto"/>
          </w:tcPr>
          <w:p w14:paraId="6D55C0F2" w14:textId="2DE8DB63" w:rsidR="00EA1194" w:rsidRPr="00C70A59" w:rsidRDefault="00EA1194" w:rsidP="00517BC0">
            <w:pPr>
              <w:pStyle w:val="Default"/>
              <w:jc w:val="center"/>
              <w:rPr>
                <w:i/>
                <w:iCs/>
                <w:sz w:val="20"/>
                <w:szCs w:val="20"/>
              </w:rPr>
            </w:pPr>
            <w:r w:rsidRPr="00D4424E">
              <w:rPr>
                <w:sz w:val="20"/>
                <w:szCs w:val="20"/>
              </w:rPr>
              <w:t>GEN</w:t>
            </w:r>
          </w:p>
        </w:tc>
        <w:tc>
          <w:tcPr>
            <w:tcW w:w="10360" w:type="dxa"/>
          </w:tcPr>
          <w:p w14:paraId="3278F99A" w14:textId="74479B08" w:rsidR="00EA1194" w:rsidRDefault="00616D92" w:rsidP="00EA1194">
            <w:pPr>
              <w:pStyle w:val="Default"/>
              <w:pBdr>
                <w:bottom w:val="single" w:sz="6" w:space="1" w:color="auto"/>
              </w:pBdr>
              <w:rPr>
                <w:i/>
                <w:iCs/>
                <w:sz w:val="20"/>
                <w:szCs w:val="20"/>
              </w:rPr>
            </w:pPr>
            <w:r w:rsidRPr="00616D92">
              <w:rPr>
                <w:i/>
                <w:iCs/>
                <w:sz w:val="20"/>
                <w:szCs w:val="20"/>
              </w:rPr>
              <w:t>The entity under assessment MUST specify its mandate and authority as these relate to the identification of entities and to the relationships between entities.</w:t>
            </w:r>
          </w:p>
          <w:p w14:paraId="6AB48402" w14:textId="77777777" w:rsidR="005E2DD8" w:rsidRDefault="005E2DD8" w:rsidP="00EA1194">
            <w:pPr>
              <w:pStyle w:val="Default"/>
              <w:rPr>
                <w:i/>
                <w:iCs/>
                <w:sz w:val="20"/>
                <w:szCs w:val="20"/>
              </w:rPr>
            </w:pPr>
          </w:p>
          <w:p w14:paraId="37452CA6" w14:textId="77777777" w:rsidR="005E2DD8" w:rsidRPr="00C31307" w:rsidRDefault="005E2DD8" w:rsidP="00EA1194">
            <w:pPr>
              <w:pStyle w:val="Default"/>
              <w:rPr>
                <w:sz w:val="20"/>
                <w:szCs w:val="20"/>
              </w:rPr>
            </w:pPr>
          </w:p>
          <w:p w14:paraId="0221805C" w14:textId="6B122742" w:rsidR="00616D92" w:rsidRPr="00C70A59" w:rsidRDefault="00616D92" w:rsidP="00EA1194">
            <w:pPr>
              <w:pStyle w:val="Default"/>
              <w:rPr>
                <w:i/>
                <w:iCs/>
                <w:sz w:val="20"/>
                <w:szCs w:val="20"/>
              </w:rPr>
            </w:pPr>
          </w:p>
        </w:tc>
      </w:tr>
      <w:tr w:rsidR="00EA1194" w14:paraId="55F6F18D" w14:textId="77777777" w:rsidTr="005C763F">
        <w:tc>
          <w:tcPr>
            <w:tcW w:w="1436" w:type="dxa"/>
            <w:shd w:val="clear" w:color="auto" w:fill="auto"/>
          </w:tcPr>
          <w:p w14:paraId="49DB970A" w14:textId="4E9CECD7" w:rsidR="00EA1194" w:rsidRDefault="00EA1194" w:rsidP="00517BC0">
            <w:pPr>
              <w:jc w:val="center"/>
              <w:rPr>
                <w:lang w:val="en-US"/>
              </w:rPr>
            </w:pPr>
            <w:r>
              <w:rPr>
                <w:lang w:val="en-US"/>
              </w:rPr>
              <w:t>EWMG.06</w:t>
            </w:r>
          </w:p>
        </w:tc>
        <w:tc>
          <w:tcPr>
            <w:tcW w:w="1240" w:type="dxa"/>
            <w:shd w:val="clear" w:color="auto" w:fill="auto"/>
          </w:tcPr>
          <w:p w14:paraId="5F7B8B85" w14:textId="59353B22" w:rsidR="00EA1194" w:rsidRPr="00C70A59" w:rsidRDefault="00EA1194" w:rsidP="00517BC0">
            <w:pPr>
              <w:pStyle w:val="Default"/>
              <w:jc w:val="center"/>
              <w:rPr>
                <w:i/>
                <w:iCs/>
                <w:sz w:val="20"/>
                <w:szCs w:val="20"/>
              </w:rPr>
            </w:pPr>
            <w:r w:rsidRPr="00D4424E">
              <w:rPr>
                <w:sz w:val="20"/>
                <w:szCs w:val="20"/>
              </w:rPr>
              <w:t>GEN</w:t>
            </w:r>
          </w:p>
        </w:tc>
        <w:tc>
          <w:tcPr>
            <w:tcW w:w="10360" w:type="dxa"/>
          </w:tcPr>
          <w:p w14:paraId="557A4443" w14:textId="77777777" w:rsidR="00616D92" w:rsidRPr="00616D92" w:rsidRDefault="00616D92" w:rsidP="00616D92">
            <w:pPr>
              <w:pStyle w:val="Default"/>
              <w:rPr>
                <w:i/>
                <w:iCs/>
                <w:sz w:val="20"/>
                <w:szCs w:val="20"/>
              </w:rPr>
            </w:pPr>
            <w:r w:rsidRPr="00616D92">
              <w:rPr>
                <w:i/>
                <w:iCs/>
                <w:sz w:val="20"/>
                <w:szCs w:val="20"/>
              </w:rPr>
              <w:t>The entity under assessment MUST provide a description of the program or service, including:</w:t>
            </w:r>
          </w:p>
          <w:p w14:paraId="4E99AD9C" w14:textId="77777777" w:rsidR="00616D92" w:rsidRPr="00616D92" w:rsidRDefault="00616D92" w:rsidP="00616D92">
            <w:pPr>
              <w:pStyle w:val="Default"/>
              <w:rPr>
                <w:i/>
                <w:iCs/>
                <w:sz w:val="20"/>
                <w:szCs w:val="20"/>
              </w:rPr>
            </w:pPr>
            <w:r w:rsidRPr="00616D92">
              <w:rPr>
                <w:i/>
                <w:iCs/>
                <w:sz w:val="20"/>
                <w:szCs w:val="20"/>
              </w:rPr>
              <w:t xml:space="preserve">1. The type and nature of the program or </w:t>
            </w:r>
            <w:proofErr w:type="gramStart"/>
            <w:r w:rsidRPr="00616D92">
              <w:rPr>
                <w:i/>
                <w:iCs/>
                <w:sz w:val="20"/>
                <w:szCs w:val="20"/>
              </w:rPr>
              <w:t>service;</w:t>
            </w:r>
            <w:proofErr w:type="gramEnd"/>
          </w:p>
          <w:p w14:paraId="78A60964" w14:textId="77777777" w:rsidR="00616D92" w:rsidRPr="00616D92" w:rsidRDefault="00616D92" w:rsidP="00616D92">
            <w:pPr>
              <w:pStyle w:val="Default"/>
              <w:rPr>
                <w:i/>
                <w:iCs/>
                <w:sz w:val="20"/>
                <w:szCs w:val="20"/>
              </w:rPr>
            </w:pPr>
            <w:r w:rsidRPr="00616D92">
              <w:rPr>
                <w:i/>
                <w:iCs/>
                <w:sz w:val="20"/>
                <w:szCs w:val="20"/>
              </w:rPr>
              <w:t>2. The intended clients of the program or service; AND</w:t>
            </w:r>
          </w:p>
          <w:p w14:paraId="6C6789A7" w14:textId="77777777" w:rsidR="00EA1194" w:rsidRDefault="00616D92" w:rsidP="00616D92">
            <w:pPr>
              <w:pStyle w:val="Default"/>
              <w:pBdr>
                <w:bottom w:val="single" w:sz="6" w:space="1" w:color="auto"/>
              </w:pBdr>
              <w:rPr>
                <w:i/>
                <w:iCs/>
                <w:sz w:val="20"/>
                <w:szCs w:val="20"/>
              </w:rPr>
            </w:pPr>
            <w:r w:rsidRPr="00616D92">
              <w:rPr>
                <w:i/>
                <w:iCs/>
                <w:sz w:val="20"/>
                <w:szCs w:val="20"/>
              </w:rPr>
              <w:t>3. The approximate size, characteristics, and composition of the client population.</w:t>
            </w:r>
          </w:p>
          <w:p w14:paraId="36CDB70C" w14:textId="77777777" w:rsidR="005E2DD8" w:rsidRDefault="005E2DD8" w:rsidP="00616D92">
            <w:pPr>
              <w:pStyle w:val="Default"/>
              <w:rPr>
                <w:i/>
                <w:iCs/>
                <w:sz w:val="20"/>
                <w:szCs w:val="20"/>
              </w:rPr>
            </w:pPr>
          </w:p>
          <w:p w14:paraId="083E37FF" w14:textId="5B18C8B9" w:rsidR="00616D92" w:rsidRPr="00C70A59" w:rsidRDefault="00616D92" w:rsidP="00616D92">
            <w:pPr>
              <w:pStyle w:val="Default"/>
              <w:rPr>
                <w:i/>
                <w:iCs/>
                <w:sz w:val="20"/>
                <w:szCs w:val="20"/>
              </w:rPr>
            </w:pPr>
          </w:p>
        </w:tc>
      </w:tr>
      <w:tr w:rsidR="00EA1194" w14:paraId="3D615EE7" w14:textId="77777777" w:rsidTr="005C763F">
        <w:tc>
          <w:tcPr>
            <w:tcW w:w="1436" w:type="dxa"/>
            <w:shd w:val="clear" w:color="auto" w:fill="auto"/>
          </w:tcPr>
          <w:p w14:paraId="7D9D85BC" w14:textId="5153FC6C" w:rsidR="00EA1194" w:rsidRDefault="00EA1194" w:rsidP="00517BC0">
            <w:pPr>
              <w:jc w:val="center"/>
              <w:rPr>
                <w:lang w:val="en-US"/>
              </w:rPr>
            </w:pPr>
            <w:r>
              <w:rPr>
                <w:lang w:val="en-US"/>
              </w:rPr>
              <w:t>EWMG.07</w:t>
            </w:r>
          </w:p>
        </w:tc>
        <w:tc>
          <w:tcPr>
            <w:tcW w:w="1240" w:type="dxa"/>
            <w:shd w:val="clear" w:color="auto" w:fill="auto"/>
          </w:tcPr>
          <w:p w14:paraId="47D18CD7" w14:textId="6A2A5CD8" w:rsidR="00EA1194" w:rsidRPr="00C70A59" w:rsidRDefault="00EA1194" w:rsidP="00517BC0">
            <w:pPr>
              <w:pStyle w:val="Default"/>
              <w:jc w:val="center"/>
              <w:rPr>
                <w:i/>
                <w:iCs/>
                <w:sz w:val="20"/>
                <w:szCs w:val="20"/>
              </w:rPr>
            </w:pPr>
            <w:r w:rsidRPr="00D4424E">
              <w:rPr>
                <w:sz w:val="20"/>
                <w:szCs w:val="20"/>
              </w:rPr>
              <w:t>GEN</w:t>
            </w:r>
          </w:p>
        </w:tc>
        <w:tc>
          <w:tcPr>
            <w:tcW w:w="10360" w:type="dxa"/>
          </w:tcPr>
          <w:p w14:paraId="77B34DF4" w14:textId="77777777" w:rsidR="00EA1194" w:rsidRDefault="00A24478" w:rsidP="00EA1194">
            <w:pPr>
              <w:pStyle w:val="Default"/>
              <w:pBdr>
                <w:bottom w:val="single" w:sz="6" w:space="1" w:color="auto"/>
              </w:pBdr>
              <w:rPr>
                <w:i/>
                <w:iCs/>
                <w:sz w:val="20"/>
                <w:szCs w:val="20"/>
              </w:rPr>
            </w:pPr>
            <w:r w:rsidRPr="00A24478">
              <w:rPr>
                <w:i/>
                <w:iCs/>
                <w:sz w:val="20"/>
                <w:szCs w:val="20"/>
              </w:rPr>
              <w:t>The entity under assessment MUST ensure that personal information, organizational information, and relationship information are collected and managed under relevant law, regulation, and policy.</w:t>
            </w:r>
          </w:p>
          <w:p w14:paraId="7352C01C" w14:textId="77777777" w:rsidR="005E2DD8" w:rsidRDefault="005E2DD8" w:rsidP="00EA1194">
            <w:pPr>
              <w:pStyle w:val="Default"/>
              <w:rPr>
                <w:i/>
                <w:iCs/>
                <w:sz w:val="20"/>
                <w:szCs w:val="20"/>
              </w:rPr>
            </w:pPr>
          </w:p>
          <w:p w14:paraId="1F20837F" w14:textId="34C27D08" w:rsidR="00A24478" w:rsidRPr="00C70A59" w:rsidRDefault="00A24478" w:rsidP="00EA1194">
            <w:pPr>
              <w:pStyle w:val="Default"/>
              <w:rPr>
                <w:i/>
                <w:iCs/>
                <w:sz w:val="20"/>
                <w:szCs w:val="20"/>
              </w:rPr>
            </w:pPr>
          </w:p>
        </w:tc>
      </w:tr>
      <w:tr w:rsidR="00EA1194" w14:paraId="21E8E1EC" w14:textId="77777777" w:rsidTr="005C763F">
        <w:tc>
          <w:tcPr>
            <w:tcW w:w="1436" w:type="dxa"/>
            <w:shd w:val="clear" w:color="auto" w:fill="auto"/>
          </w:tcPr>
          <w:p w14:paraId="5B828D7F" w14:textId="26B7AB81" w:rsidR="00EA1194" w:rsidRDefault="00EA1194" w:rsidP="00517BC0">
            <w:pPr>
              <w:jc w:val="center"/>
              <w:rPr>
                <w:lang w:val="en-US"/>
              </w:rPr>
            </w:pPr>
            <w:r>
              <w:rPr>
                <w:lang w:val="en-US"/>
              </w:rPr>
              <w:t>EWMG.08</w:t>
            </w:r>
          </w:p>
        </w:tc>
        <w:tc>
          <w:tcPr>
            <w:tcW w:w="1240" w:type="dxa"/>
            <w:shd w:val="clear" w:color="auto" w:fill="auto"/>
          </w:tcPr>
          <w:p w14:paraId="525C04B8" w14:textId="040F2DA8"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FCC793A" w14:textId="77777777" w:rsidR="00EA1194" w:rsidRDefault="00A24478" w:rsidP="00EA1194">
            <w:pPr>
              <w:pStyle w:val="Default"/>
              <w:pBdr>
                <w:bottom w:val="single" w:sz="6" w:space="1" w:color="auto"/>
              </w:pBdr>
              <w:rPr>
                <w:i/>
                <w:iCs/>
                <w:sz w:val="20"/>
                <w:szCs w:val="20"/>
              </w:rPr>
            </w:pPr>
            <w:r w:rsidRPr="00A24478">
              <w:rPr>
                <w:i/>
                <w:iCs/>
                <w:sz w:val="20"/>
                <w:szCs w:val="20"/>
              </w:rPr>
              <w:t>For all PCTF governed activities, the entity under assessment MUST identify the authorized operational roles, access management processes, and modification processes pertaining to the collection and management of information.</w:t>
            </w:r>
          </w:p>
          <w:p w14:paraId="02074B01" w14:textId="77777777" w:rsidR="005E2DD8" w:rsidRDefault="005E2DD8" w:rsidP="00EA1194">
            <w:pPr>
              <w:pStyle w:val="Default"/>
              <w:rPr>
                <w:i/>
                <w:iCs/>
                <w:sz w:val="20"/>
                <w:szCs w:val="20"/>
              </w:rPr>
            </w:pPr>
          </w:p>
          <w:p w14:paraId="3A7B2936" w14:textId="32535CB2" w:rsidR="00A24478" w:rsidRPr="00C70A59" w:rsidRDefault="00A24478" w:rsidP="00EA1194">
            <w:pPr>
              <w:pStyle w:val="Default"/>
              <w:rPr>
                <w:i/>
                <w:iCs/>
                <w:sz w:val="20"/>
                <w:szCs w:val="20"/>
              </w:rPr>
            </w:pPr>
          </w:p>
        </w:tc>
      </w:tr>
      <w:tr w:rsidR="00EA1194" w14:paraId="1E4FC310" w14:textId="77777777" w:rsidTr="005C763F">
        <w:tc>
          <w:tcPr>
            <w:tcW w:w="1436" w:type="dxa"/>
            <w:shd w:val="clear" w:color="auto" w:fill="auto"/>
          </w:tcPr>
          <w:p w14:paraId="7E2FE463" w14:textId="4D60AF42" w:rsidR="00EA1194" w:rsidRDefault="00EA1194" w:rsidP="00517BC0">
            <w:pPr>
              <w:jc w:val="center"/>
              <w:rPr>
                <w:lang w:val="en-US"/>
              </w:rPr>
            </w:pPr>
            <w:r>
              <w:rPr>
                <w:lang w:val="en-US"/>
              </w:rPr>
              <w:t>EWMG.09</w:t>
            </w:r>
          </w:p>
        </w:tc>
        <w:tc>
          <w:tcPr>
            <w:tcW w:w="1240" w:type="dxa"/>
            <w:shd w:val="clear" w:color="auto" w:fill="auto"/>
          </w:tcPr>
          <w:p w14:paraId="5B9CC52C" w14:textId="55573B9B"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B0E11FA" w14:textId="77777777" w:rsidR="00031003" w:rsidRPr="00031003" w:rsidRDefault="00031003" w:rsidP="00031003">
            <w:pPr>
              <w:pStyle w:val="Default"/>
              <w:rPr>
                <w:i/>
                <w:iCs/>
                <w:sz w:val="20"/>
                <w:szCs w:val="20"/>
              </w:rPr>
            </w:pPr>
            <w:r w:rsidRPr="00031003">
              <w:rPr>
                <w:i/>
                <w:iCs/>
                <w:sz w:val="20"/>
                <w:szCs w:val="20"/>
              </w:rPr>
              <w:t xml:space="preserve">For all PCTF governed activities, the entity under assessment MUST have quality assurance processes (e.g., monitoring, measurement) in place to ensure consistent execution of operational tasks. </w:t>
            </w:r>
          </w:p>
          <w:p w14:paraId="65D49675" w14:textId="77777777" w:rsidR="00031003" w:rsidRPr="00031003" w:rsidRDefault="00031003" w:rsidP="00031003">
            <w:pPr>
              <w:pStyle w:val="Default"/>
              <w:rPr>
                <w:i/>
                <w:iCs/>
                <w:sz w:val="20"/>
                <w:szCs w:val="20"/>
              </w:rPr>
            </w:pPr>
            <w:r w:rsidRPr="00031003">
              <w:rPr>
                <w:i/>
                <w:iCs/>
                <w:sz w:val="20"/>
                <w:szCs w:val="20"/>
              </w:rPr>
              <w:t xml:space="preserve"> </w:t>
            </w:r>
          </w:p>
          <w:p w14:paraId="279D0369" w14:textId="77777777" w:rsidR="00031003" w:rsidRPr="00031003" w:rsidRDefault="00031003" w:rsidP="00031003">
            <w:pPr>
              <w:pStyle w:val="Default"/>
              <w:rPr>
                <w:i/>
                <w:iCs/>
                <w:sz w:val="20"/>
                <w:szCs w:val="20"/>
              </w:rPr>
            </w:pPr>
            <w:r w:rsidRPr="00031003">
              <w:rPr>
                <w:i/>
                <w:iCs/>
                <w:sz w:val="20"/>
                <w:szCs w:val="20"/>
              </w:rPr>
              <w:t xml:space="preserve"> Specifically, this pertains to operational activities such as:</w:t>
            </w:r>
          </w:p>
          <w:p w14:paraId="4D98A51E" w14:textId="0344C39E" w:rsidR="00031003" w:rsidRPr="00031003" w:rsidRDefault="00031003" w:rsidP="00237B37">
            <w:pPr>
              <w:pStyle w:val="Default"/>
              <w:numPr>
                <w:ilvl w:val="0"/>
                <w:numId w:val="2"/>
              </w:numPr>
              <w:rPr>
                <w:i/>
                <w:iCs/>
                <w:sz w:val="20"/>
                <w:szCs w:val="20"/>
              </w:rPr>
            </w:pPr>
            <w:r w:rsidRPr="00031003">
              <w:rPr>
                <w:i/>
                <w:iCs/>
                <w:sz w:val="20"/>
                <w:szCs w:val="20"/>
              </w:rPr>
              <w:lastRenderedPageBreak/>
              <w:t xml:space="preserve">front counter </w:t>
            </w:r>
            <w:proofErr w:type="gramStart"/>
            <w:r w:rsidRPr="00031003">
              <w:rPr>
                <w:i/>
                <w:iCs/>
                <w:sz w:val="20"/>
                <w:szCs w:val="20"/>
              </w:rPr>
              <w:t>activities;</w:t>
            </w:r>
            <w:proofErr w:type="gramEnd"/>
            <w:r w:rsidRPr="00031003">
              <w:rPr>
                <w:i/>
                <w:iCs/>
                <w:sz w:val="20"/>
                <w:szCs w:val="20"/>
              </w:rPr>
              <w:t xml:space="preserve"> </w:t>
            </w:r>
          </w:p>
          <w:p w14:paraId="74033ECC" w14:textId="31E3C3AB" w:rsidR="00031003" w:rsidRPr="00031003" w:rsidRDefault="00031003" w:rsidP="00237B37">
            <w:pPr>
              <w:pStyle w:val="Default"/>
              <w:numPr>
                <w:ilvl w:val="0"/>
                <w:numId w:val="2"/>
              </w:numPr>
              <w:rPr>
                <w:i/>
                <w:iCs/>
                <w:sz w:val="20"/>
                <w:szCs w:val="20"/>
              </w:rPr>
            </w:pPr>
            <w:proofErr w:type="gramStart"/>
            <w:r w:rsidRPr="00031003">
              <w:rPr>
                <w:i/>
                <w:iCs/>
                <w:sz w:val="20"/>
                <w:szCs w:val="20"/>
              </w:rPr>
              <w:t>back office</w:t>
            </w:r>
            <w:proofErr w:type="gramEnd"/>
            <w:r w:rsidRPr="00031003">
              <w:rPr>
                <w:i/>
                <w:iCs/>
                <w:sz w:val="20"/>
                <w:szCs w:val="20"/>
              </w:rPr>
              <w:t xml:space="preserve"> activities such as information processing and adjudication; and, </w:t>
            </w:r>
          </w:p>
          <w:p w14:paraId="6D1A96AF" w14:textId="7C0C7D4C" w:rsidR="00EA1194" w:rsidRDefault="00031003" w:rsidP="00237B37">
            <w:pPr>
              <w:pStyle w:val="Default"/>
              <w:numPr>
                <w:ilvl w:val="0"/>
                <w:numId w:val="2"/>
              </w:numPr>
              <w:pBdr>
                <w:bottom w:val="single" w:sz="6" w:space="1" w:color="auto"/>
              </w:pBdr>
              <w:rPr>
                <w:i/>
                <w:iCs/>
                <w:sz w:val="20"/>
                <w:szCs w:val="20"/>
              </w:rPr>
            </w:pPr>
            <w:r w:rsidRPr="00031003">
              <w:rPr>
                <w:i/>
                <w:iCs/>
                <w:sz w:val="20"/>
                <w:szCs w:val="20"/>
              </w:rPr>
              <w:t>information maintenance and modification activities.</w:t>
            </w:r>
          </w:p>
          <w:p w14:paraId="32E87527" w14:textId="77777777" w:rsidR="005E2DD8" w:rsidRDefault="005E2DD8" w:rsidP="00031003">
            <w:pPr>
              <w:pStyle w:val="Default"/>
              <w:rPr>
                <w:i/>
                <w:iCs/>
                <w:sz w:val="20"/>
                <w:szCs w:val="20"/>
              </w:rPr>
            </w:pPr>
          </w:p>
          <w:p w14:paraId="0E599903" w14:textId="3013B920" w:rsidR="00031003" w:rsidRPr="001C7115" w:rsidRDefault="00031003" w:rsidP="00031003">
            <w:pPr>
              <w:pStyle w:val="Default"/>
              <w:rPr>
                <w:sz w:val="20"/>
                <w:szCs w:val="20"/>
              </w:rPr>
            </w:pPr>
          </w:p>
        </w:tc>
      </w:tr>
      <w:tr w:rsidR="00EA1194" w14:paraId="669781C8" w14:textId="77777777" w:rsidTr="005C763F">
        <w:tc>
          <w:tcPr>
            <w:tcW w:w="1436" w:type="dxa"/>
            <w:shd w:val="clear" w:color="auto" w:fill="auto"/>
          </w:tcPr>
          <w:p w14:paraId="74FAEE6A" w14:textId="733FC9E4" w:rsidR="00EA1194" w:rsidRDefault="00EA1194" w:rsidP="00517BC0">
            <w:pPr>
              <w:jc w:val="center"/>
              <w:rPr>
                <w:lang w:val="en-US"/>
              </w:rPr>
            </w:pPr>
            <w:r>
              <w:rPr>
                <w:lang w:val="en-US"/>
              </w:rPr>
              <w:lastRenderedPageBreak/>
              <w:t>EWMG.10</w:t>
            </w:r>
          </w:p>
        </w:tc>
        <w:tc>
          <w:tcPr>
            <w:tcW w:w="1240" w:type="dxa"/>
            <w:shd w:val="clear" w:color="auto" w:fill="auto"/>
          </w:tcPr>
          <w:p w14:paraId="72262B9A" w14:textId="0E967E48"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EA148D4" w14:textId="77777777" w:rsidR="00EA1194" w:rsidRDefault="00031003" w:rsidP="00EA1194">
            <w:pPr>
              <w:pStyle w:val="Default"/>
              <w:pBdr>
                <w:bottom w:val="single" w:sz="6" w:space="1" w:color="auto"/>
              </w:pBdr>
              <w:rPr>
                <w:i/>
                <w:iCs/>
                <w:sz w:val="20"/>
                <w:szCs w:val="20"/>
              </w:rPr>
            </w:pPr>
            <w:r w:rsidRPr="00031003">
              <w:rPr>
                <w:i/>
                <w:iCs/>
                <w:sz w:val="20"/>
                <w:szCs w:val="20"/>
              </w:rPr>
              <w:t>The entity under assessment MUST have clearly communicated dispute resolution processes in place to allow affected parties (i.e., Subjects, Agents, Verifiers, Issuers) to challenge decisions taken during ongoing service provision.</w:t>
            </w:r>
          </w:p>
          <w:p w14:paraId="6E02835B" w14:textId="77777777" w:rsidR="007C2A73" w:rsidRDefault="007C2A73" w:rsidP="00EA1194">
            <w:pPr>
              <w:pStyle w:val="Default"/>
              <w:rPr>
                <w:i/>
                <w:iCs/>
                <w:sz w:val="20"/>
                <w:szCs w:val="20"/>
              </w:rPr>
            </w:pPr>
          </w:p>
          <w:p w14:paraId="59993BC9" w14:textId="3C73D312" w:rsidR="00031003" w:rsidRPr="00C70A59" w:rsidRDefault="00031003" w:rsidP="00EA1194">
            <w:pPr>
              <w:pStyle w:val="Default"/>
              <w:rPr>
                <w:i/>
                <w:iCs/>
                <w:sz w:val="20"/>
                <w:szCs w:val="20"/>
              </w:rPr>
            </w:pPr>
          </w:p>
        </w:tc>
      </w:tr>
      <w:tr w:rsidR="00EA1194" w14:paraId="7FBE890D" w14:textId="77777777" w:rsidTr="005C763F">
        <w:tc>
          <w:tcPr>
            <w:tcW w:w="1436" w:type="dxa"/>
            <w:shd w:val="clear" w:color="auto" w:fill="auto"/>
          </w:tcPr>
          <w:p w14:paraId="5D5AC7D8" w14:textId="19EB6D2C" w:rsidR="00EA1194" w:rsidRDefault="00EA1194" w:rsidP="00517BC0">
            <w:pPr>
              <w:jc w:val="center"/>
              <w:rPr>
                <w:lang w:val="en-US"/>
              </w:rPr>
            </w:pPr>
            <w:r>
              <w:rPr>
                <w:lang w:val="en-US"/>
              </w:rPr>
              <w:t>EWMG.11</w:t>
            </w:r>
          </w:p>
        </w:tc>
        <w:tc>
          <w:tcPr>
            <w:tcW w:w="1240" w:type="dxa"/>
            <w:shd w:val="clear" w:color="auto" w:fill="auto"/>
          </w:tcPr>
          <w:p w14:paraId="5A75F72F" w14:textId="3E7742E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70DA8D4" w14:textId="621B21B7" w:rsidR="00EA1194" w:rsidRDefault="00530EC7" w:rsidP="00EA1194">
            <w:pPr>
              <w:pStyle w:val="Default"/>
              <w:pBdr>
                <w:bottom w:val="single" w:sz="6" w:space="1" w:color="auto"/>
              </w:pBdr>
              <w:rPr>
                <w:i/>
                <w:iCs/>
                <w:sz w:val="20"/>
                <w:szCs w:val="20"/>
              </w:rPr>
            </w:pPr>
            <w:r w:rsidRPr="00530EC7">
              <w:rPr>
                <w:i/>
                <w:iCs/>
                <w:sz w:val="20"/>
                <w:szCs w:val="20"/>
              </w:rPr>
              <w:t>The entity under assessment MUST provide notice to entities providing identity evidence or relationship evidence that false or misleading statements may result in violation of the terms and conditions of the program or service.</w:t>
            </w:r>
          </w:p>
          <w:p w14:paraId="3D555F31" w14:textId="77777777" w:rsidR="007C2A73" w:rsidRDefault="007C2A73" w:rsidP="00EA1194">
            <w:pPr>
              <w:pStyle w:val="Default"/>
              <w:rPr>
                <w:i/>
                <w:iCs/>
                <w:sz w:val="20"/>
                <w:szCs w:val="20"/>
              </w:rPr>
            </w:pPr>
          </w:p>
          <w:p w14:paraId="7EB1A2C6" w14:textId="12A60B56" w:rsidR="00530EC7" w:rsidRPr="001C7115" w:rsidRDefault="00530EC7" w:rsidP="00EA1194">
            <w:pPr>
              <w:pStyle w:val="Default"/>
              <w:rPr>
                <w:sz w:val="20"/>
                <w:szCs w:val="20"/>
              </w:rPr>
            </w:pPr>
          </w:p>
        </w:tc>
      </w:tr>
      <w:tr w:rsidR="00EA1194" w14:paraId="30E655D3" w14:textId="77777777" w:rsidTr="005C763F">
        <w:tc>
          <w:tcPr>
            <w:tcW w:w="1436" w:type="dxa"/>
            <w:shd w:val="clear" w:color="auto" w:fill="auto"/>
          </w:tcPr>
          <w:p w14:paraId="4B9CB321" w14:textId="5A0B7B61" w:rsidR="00EA1194" w:rsidRDefault="00EA1194" w:rsidP="00517BC0">
            <w:pPr>
              <w:jc w:val="center"/>
              <w:rPr>
                <w:lang w:val="en-US"/>
              </w:rPr>
            </w:pPr>
            <w:r>
              <w:rPr>
                <w:lang w:val="en-US"/>
              </w:rPr>
              <w:t>EWMG.12</w:t>
            </w:r>
          </w:p>
        </w:tc>
        <w:tc>
          <w:tcPr>
            <w:tcW w:w="1240" w:type="dxa"/>
            <w:shd w:val="clear" w:color="auto" w:fill="auto"/>
          </w:tcPr>
          <w:p w14:paraId="12C18715" w14:textId="004DB0D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FB903F3" w14:textId="77777777" w:rsidR="00530EC7" w:rsidRPr="00530EC7" w:rsidRDefault="00530EC7" w:rsidP="00530EC7">
            <w:pPr>
              <w:pStyle w:val="Default"/>
              <w:rPr>
                <w:i/>
                <w:iCs/>
                <w:sz w:val="20"/>
                <w:szCs w:val="20"/>
              </w:rPr>
            </w:pPr>
            <w:r w:rsidRPr="00530EC7">
              <w:rPr>
                <w:i/>
                <w:iCs/>
                <w:sz w:val="20"/>
                <w:szCs w:val="20"/>
              </w:rPr>
              <w:t xml:space="preserve">The entity under assessment MAY </w:t>
            </w:r>
            <w:proofErr w:type="gramStart"/>
            <w:r w:rsidRPr="00530EC7">
              <w:rPr>
                <w:i/>
                <w:iCs/>
                <w:sz w:val="20"/>
                <w:szCs w:val="20"/>
              </w:rPr>
              <w:t>rely</w:t>
            </w:r>
            <w:proofErr w:type="gramEnd"/>
            <w:r w:rsidRPr="00530EC7">
              <w:rPr>
                <w:i/>
                <w:iCs/>
                <w:sz w:val="20"/>
                <w:szCs w:val="20"/>
              </w:rPr>
              <w:t xml:space="preserve"> on another entity to carry out program or service activities that are subject to these conformance criteria. In such cases, the entity under assessment MUST:</w:t>
            </w:r>
          </w:p>
          <w:p w14:paraId="17D93EB9" w14:textId="77777777" w:rsidR="00530EC7" w:rsidRPr="00530EC7" w:rsidRDefault="00530EC7" w:rsidP="00530EC7">
            <w:pPr>
              <w:pStyle w:val="Default"/>
              <w:rPr>
                <w:i/>
                <w:iCs/>
                <w:sz w:val="20"/>
                <w:szCs w:val="20"/>
              </w:rPr>
            </w:pPr>
            <w:r w:rsidRPr="00530EC7">
              <w:rPr>
                <w:i/>
                <w:iCs/>
                <w:sz w:val="20"/>
                <w:szCs w:val="20"/>
              </w:rPr>
              <w:t>1. Provide documentation of the written agreement for the arrangement in effect; AND</w:t>
            </w:r>
          </w:p>
          <w:p w14:paraId="3C5AB657" w14:textId="77777777" w:rsidR="00EA1194" w:rsidRDefault="00530EC7" w:rsidP="00530EC7">
            <w:pPr>
              <w:pStyle w:val="Default"/>
              <w:pBdr>
                <w:bottom w:val="single" w:sz="6" w:space="1" w:color="auto"/>
              </w:pBdr>
              <w:rPr>
                <w:i/>
                <w:iCs/>
                <w:sz w:val="20"/>
                <w:szCs w:val="20"/>
              </w:rPr>
            </w:pPr>
            <w:r w:rsidRPr="00530EC7">
              <w:rPr>
                <w:i/>
                <w:iCs/>
                <w:sz w:val="20"/>
                <w:szCs w:val="20"/>
              </w:rPr>
              <w:t>2. Provide documentation of the agreed upon conformance criteria.</w:t>
            </w:r>
          </w:p>
          <w:p w14:paraId="64EC5D9F" w14:textId="77777777" w:rsidR="007C2A73" w:rsidRDefault="007C2A73" w:rsidP="00530EC7">
            <w:pPr>
              <w:pStyle w:val="Default"/>
              <w:rPr>
                <w:i/>
                <w:iCs/>
                <w:sz w:val="20"/>
                <w:szCs w:val="20"/>
              </w:rPr>
            </w:pPr>
          </w:p>
          <w:p w14:paraId="5590D91F" w14:textId="7F11EB56" w:rsidR="00530EC7" w:rsidRPr="001C7115" w:rsidRDefault="00530EC7" w:rsidP="00530EC7">
            <w:pPr>
              <w:pStyle w:val="Default"/>
              <w:rPr>
                <w:sz w:val="20"/>
                <w:szCs w:val="20"/>
              </w:rPr>
            </w:pPr>
          </w:p>
        </w:tc>
      </w:tr>
      <w:tr w:rsidR="00D36433" w14:paraId="7C6601B4" w14:textId="77777777" w:rsidTr="005C763F">
        <w:tc>
          <w:tcPr>
            <w:tcW w:w="1436" w:type="dxa"/>
            <w:shd w:val="clear" w:color="auto" w:fill="auto"/>
          </w:tcPr>
          <w:p w14:paraId="5496057A" w14:textId="1E7204D0" w:rsidR="00D36433" w:rsidRDefault="00D36433" w:rsidP="00517BC0">
            <w:pPr>
              <w:jc w:val="center"/>
              <w:rPr>
                <w:lang w:val="en-US"/>
              </w:rPr>
            </w:pPr>
            <w:r>
              <w:rPr>
                <w:lang w:val="en-US"/>
              </w:rPr>
              <w:t>E</w:t>
            </w:r>
            <w:r w:rsidR="004F097D">
              <w:rPr>
                <w:lang w:val="en-US"/>
              </w:rPr>
              <w:t>WMG.13</w:t>
            </w:r>
          </w:p>
        </w:tc>
        <w:tc>
          <w:tcPr>
            <w:tcW w:w="1240" w:type="dxa"/>
            <w:shd w:val="clear" w:color="auto" w:fill="auto"/>
          </w:tcPr>
          <w:p w14:paraId="1A5CF6D5" w14:textId="557E0DC4" w:rsidR="00D36433" w:rsidRPr="00D57825" w:rsidRDefault="004F097D" w:rsidP="00517BC0">
            <w:pPr>
              <w:pStyle w:val="Default"/>
              <w:jc w:val="center"/>
              <w:rPr>
                <w:sz w:val="20"/>
                <w:szCs w:val="20"/>
              </w:rPr>
            </w:pPr>
            <w:r>
              <w:rPr>
                <w:sz w:val="20"/>
                <w:szCs w:val="20"/>
              </w:rPr>
              <w:t>GEN</w:t>
            </w:r>
          </w:p>
        </w:tc>
        <w:tc>
          <w:tcPr>
            <w:tcW w:w="10360" w:type="dxa"/>
          </w:tcPr>
          <w:p w14:paraId="1FA60A98" w14:textId="07CEA010" w:rsidR="00D36433" w:rsidRDefault="004F097D" w:rsidP="00EA1194">
            <w:pPr>
              <w:pStyle w:val="Default"/>
              <w:rPr>
                <w:i/>
                <w:iCs/>
                <w:sz w:val="20"/>
                <w:szCs w:val="20"/>
              </w:rPr>
            </w:pPr>
            <w:r w:rsidRPr="004F097D">
              <w:rPr>
                <w:i/>
                <w:iCs/>
                <w:sz w:val="20"/>
                <w:szCs w:val="20"/>
              </w:rPr>
              <w:t>The entity under assessment MUST ensure that service providers to whom they have delegated service provision tasks adhere to applicable identity management controls, standards, and guidelines.</w:t>
            </w:r>
          </w:p>
          <w:p w14:paraId="00C21B02" w14:textId="58B45277" w:rsidR="00057469" w:rsidRDefault="00057469" w:rsidP="00EA1194">
            <w:pPr>
              <w:pStyle w:val="Default"/>
              <w:pBdr>
                <w:top w:val="single" w:sz="6" w:space="1" w:color="auto"/>
                <w:bottom w:val="single" w:sz="6" w:space="1" w:color="auto"/>
              </w:pBdr>
              <w:rPr>
                <w:i/>
                <w:iCs/>
                <w:sz w:val="20"/>
                <w:szCs w:val="20"/>
              </w:rPr>
            </w:pPr>
          </w:p>
          <w:p w14:paraId="5F8A538E" w14:textId="77777777" w:rsidR="00057469" w:rsidRDefault="00057469" w:rsidP="00EA1194">
            <w:pPr>
              <w:pStyle w:val="Default"/>
              <w:pBdr>
                <w:bottom w:val="single" w:sz="6" w:space="1" w:color="auto"/>
              </w:pBdr>
              <w:rPr>
                <w:i/>
                <w:iCs/>
                <w:sz w:val="20"/>
                <w:szCs w:val="20"/>
              </w:rPr>
            </w:pPr>
          </w:p>
          <w:p w14:paraId="6A123951" w14:textId="77777777" w:rsidR="00057469" w:rsidRDefault="00057469" w:rsidP="00EA1194">
            <w:pPr>
              <w:pStyle w:val="Default"/>
              <w:pBdr>
                <w:bottom w:val="single" w:sz="6" w:space="1" w:color="auto"/>
              </w:pBdr>
              <w:rPr>
                <w:i/>
                <w:iCs/>
                <w:sz w:val="20"/>
                <w:szCs w:val="20"/>
              </w:rPr>
            </w:pPr>
          </w:p>
          <w:p w14:paraId="70C706AD" w14:textId="77777777" w:rsidR="00057469" w:rsidRDefault="00057469" w:rsidP="00EA1194">
            <w:pPr>
              <w:pStyle w:val="Default"/>
              <w:pBdr>
                <w:bottom w:val="single" w:sz="6" w:space="1" w:color="auto"/>
              </w:pBdr>
              <w:rPr>
                <w:i/>
                <w:iCs/>
                <w:sz w:val="20"/>
                <w:szCs w:val="20"/>
              </w:rPr>
            </w:pPr>
          </w:p>
          <w:p w14:paraId="31E23833" w14:textId="77777777" w:rsidR="00057469" w:rsidRDefault="00057469" w:rsidP="00EA1194">
            <w:pPr>
              <w:pStyle w:val="Default"/>
              <w:pBdr>
                <w:bottom w:val="single" w:sz="6" w:space="1" w:color="auto"/>
              </w:pBdr>
              <w:rPr>
                <w:i/>
                <w:iCs/>
                <w:sz w:val="20"/>
                <w:szCs w:val="20"/>
              </w:rPr>
            </w:pPr>
          </w:p>
          <w:p w14:paraId="7B76173A" w14:textId="1E5805C6" w:rsidR="00057469" w:rsidRPr="00A74909" w:rsidRDefault="00057469" w:rsidP="00EA1194">
            <w:pPr>
              <w:pStyle w:val="Default"/>
              <w:pBdr>
                <w:bottom w:val="single" w:sz="6" w:space="1" w:color="auto"/>
              </w:pBdr>
              <w:rPr>
                <w:i/>
                <w:iCs/>
                <w:sz w:val="20"/>
                <w:szCs w:val="20"/>
              </w:rPr>
            </w:pPr>
          </w:p>
        </w:tc>
      </w:tr>
      <w:tr w:rsidR="00EA1194" w14:paraId="11AA64C6" w14:textId="77777777" w:rsidTr="005C763F">
        <w:tc>
          <w:tcPr>
            <w:tcW w:w="1436" w:type="dxa"/>
            <w:shd w:val="clear" w:color="auto" w:fill="auto"/>
          </w:tcPr>
          <w:p w14:paraId="0F775825" w14:textId="56830139" w:rsidR="00EA1194" w:rsidRDefault="00EA1194" w:rsidP="00517BC0">
            <w:pPr>
              <w:jc w:val="center"/>
              <w:rPr>
                <w:lang w:val="en-US"/>
              </w:rPr>
            </w:pPr>
            <w:r>
              <w:rPr>
                <w:lang w:val="en-US"/>
              </w:rPr>
              <w:t>EWMG.1</w:t>
            </w:r>
            <w:r w:rsidR="004F097D">
              <w:rPr>
                <w:lang w:val="en-US"/>
              </w:rPr>
              <w:t>4</w:t>
            </w:r>
          </w:p>
        </w:tc>
        <w:tc>
          <w:tcPr>
            <w:tcW w:w="1240" w:type="dxa"/>
            <w:shd w:val="clear" w:color="auto" w:fill="auto"/>
          </w:tcPr>
          <w:p w14:paraId="2D2B12AC" w14:textId="3F851E2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F6F029E" w14:textId="2B073184" w:rsidR="00EA1194" w:rsidRDefault="00A74909" w:rsidP="00EA1194">
            <w:pPr>
              <w:pStyle w:val="Default"/>
              <w:pBdr>
                <w:bottom w:val="single" w:sz="6" w:space="1" w:color="auto"/>
              </w:pBdr>
              <w:rPr>
                <w:i/>
                <w:iCs/>
                <w:sz w:val="20"/>
                <w:szCs w:val="20"/>
              </w:rPr>
            </w:pPr>
            <w:r w:rsidRPr="00A74909">
              <w:rPr>
                <w:i/>
                <w:iCs/>
                <w:sz w:val="20"/>
                <w:szCs w:val="20"/>
              </w:rPr>
              <w:t>The entity under assessment MUST manage system components using its defined system development life cycle that incorporates security concerns.</w:t>
            </w:r>
          </w:p>
          <w:p w14:paraId="022EDAAF" w14:textId="77777777" w:rsidR="00042E28" w:rsidRPr="001C7115" w:rsidRDefault="00042E28" w:rsidP="00EA1194">
            <w:pPr>
              <w:pStyle w:val="Default"/>
              <w:rPr>
                <w:sz w:val="20"/>
                <w:szCs w:val="20"/>
              </w:rPr>
            </w:pPr>
          </w:p>
          <w:p w14:paraId="707D4AC5" w14:textId="48F8E4D1" w:rsidR="00A74909" w:rsidRPr="00C70A59" w:rsidRDefault="00A74909" w:rsidP="00EA1194">
            <w:pPr>
              <w:pStyle w:val="Default"/>
              <w:rPr>
                <w:i/>
                <w:iCs/>
                <w:sz w:val="20"/>
                <w:szCs w:val="20"/>
              </w:rPr>
            </w:pPr>
          </w:p>
        </w:tc>
      </w:tr>
      <w:tr w:rsidR="00EA1194" w14:paraId="7D4C0C39" w14:textId="77777777" w:rsidTr="005C763F">
        <w:tc>
          <w:tcPr>
            <w:tcW w:w="1436" w:type="dxa"/>
            <w:shd w:val="clear" w:color="auto" w:fill="auto"/>
          </w:tcPr>
          <w:p w14:paraId="50E8C77C" w14:textId="766B92AE" w:rsidR="00EA1194" w:rsidRDefault="00EA1194" w:rsidP="00517BC0">
            <w:pPr>
              <w:jc w:val="center"/>
              <w:rPr>
                <w:lang w:val="en-US"/>
              </w:rPr>
            </w:pPr>
            <w:r>
              <w:rPr>
                <w:lang w:val="en-US"/>
              </w:rPr>
              <w:t>EWMG.1</w:t>
            </w:r>
            <w:r w:rsidR="00666588">
              <w:rPr>
                <w:lang w:val="en-US"/>
              </w:rPr>
              <w:t>5</w:t>
            </w:r>
          </w:p>
        </w:tc>
        <w:tc>
          <w:tcPr>
            <w:tcW w:w="1240" w:type="dxa"/>
            <w:shd w:val="clear" w:color="auto" w:fill="auto"/>
          </w:tcPr>
          <w:p w14:paraId="1A8958A0" w14:textId="70E2FBBC" w:rsidR="00EA1194" w:rsidRPr="00C70A59" w:rsidRDefault="00EA1194" w:rsidP="00517BC0">
            <w:pPr>
              <w:pStyle w:val="Default"/>
              <w:jc w:val="center"/>
              <w:rPr>
                <w:i/>
                <w:iCs/>
                <w:sz w:val="20"/>
                <w:szCs w:val="20"/>
              </w:rPr>
            </w:pPr>
            <w:r w:rsidRPr="00D57825">
              <w:rPr>
                <w:sz w:val="20"/>
                <w:szCs w:val="20"/>
              </w:rPr>
              <w:t>GEN</w:t>
            </w:r>
          </w:p>
        </w:tc>
        <w:tc>
          <w:tcPr>
            <w:tcW w:w="10360" w:type="dxa"/>
          </w:tcPr>
          <w:p w14:paraId="4E19F4C5" w14:textId="2BB0513F" w:rsidR="00EA1194" w:rsidRDefault="00A74909" w:rsidP="00EA1194">
            <w:pPr>
              <w:pStyle w:val="Default"/>
              <w:pBdr>
                <w:bottom w:val="single" w:sz="6" w:space="1" w:color="auto"/>
              </w:pBdr>
              <w:rPr>
                <w:i/>
                <w:iCs/>
                <w:sz w:val="20"/>
                <w:szCs w:val="20"/>
              </w:rPr>
            </w:pPr>
            <w:r w:rsidRPr="00A74909">
              <w:rPr>
                <w:i/>
                <w:iCs/>
                <w:sz w:val="20"/>
                <w:szCs w:val="20"/>
              </w:rPr>
              <w:t>The entity under assessment MUST have formal technology change management processes in place to evaluate and manage risk associated with technology evolution.</w:t>
            </w:r>
          </w:p>
          <w:p w14:paraId="5822EFE2" w14:textId="77777777" w:rsidR="00042E28" w:rsidRPr="001C7115" w:rsidRDefault="00042E28" w:rsidP="00EA1194">
            <w:pPr>
              <w:pStyle w:val="Default"/>
              <w:rPr>
                <w:sz w:val="20"/>
                <w:szCs w:val="20"/>
              </w:rPr>
            </w:pPr>
          </w:p>
          <w:p w14:paraId="0D39CBCC" w14:textId="77067741" w:rsidR="00A74909" w:rsidRPr="00C70A59" w:rsidRDefault="00A74909" w:rsidP="00EA1194">
            <w:pPr>
              <w:pStyle w:val="Default"/>
              <w:rPr>
                <w:i/>
                <w:iCs/>
                <w:sz w:val="20"/>
                <w:szCs w:val="20"/>
              </w:rPr>
            </w:pPr>
          </w:p>
        </w:tc>
      </w:tr>
      <w:tr w:rsidR="00EA1194" w14:paraId="4C487736" w14:textId="77777777" w:rsidTr="005C763F">
        <w:tc>
          <w:tcPr>
            <w:tcW w:w="1436" w:type="dxa"/>
            <w:shd w:val="clear" w:color="auto" w:fill="auto"/>
          </w:tcPr>
          <w:p w14:paraId="697DF2F8" w14:textId="5DEE59B9" w:rsidR="00EA1194" w:rsidRDefault="00EA1194" w:rsidP="00517BC0">
            <w:pPr>
              <w:jc w:val="center"/>
              <w:rPr>
                <w:lang w:val="en-US"/>
              </w:rPr>
            </w:pPr>
            <w:r>
              <w:rPr>
                <w:lang w:val="en-US"/>
              </w:rPr>
              <w:lastRenderedPageBreak/>
              <w:t>EWMG.1</w:t>
            </w:r>
            <w:r w:rsidR="00C13984">
              <w:rPr>
                <w:lang w:val="en-US"/>
              </w:rPr>
              <w:t>6</w:t>
            </w:r>
          </w:p>
        </w:tc>
        <w:tc>
          <w:tcPr>
            <w:tcW w:w="1240" w:type="dxa"/>
            <w:shd w:val="clear" w:color="auto" w:fill="auto"/>
          </w:tcPr>
          <w:p w14:paraId="58F2A0C0" w14:textId="4EE058A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EE2FAF5" w14:textId="77777777" w:rsidR="00EA1194" w:rsidRDefault="00A21886" w:rsidP="00EA1194">
            <w:pPr>
              <w:pStyle w:val="Default"/>
              <w:pBdr>
                <w:bottom w:val="single" w:sz="6" w:space="1" w:color="auto"/>
              </w:pBdr>
              <w:rPr>
                <w:i/>
                <w:iCs/>
                <w:sz w:val="20"/>
                <w:szCs w:val="20"/>
              </w:rPr>
            </w:pPr>
            <w:r w:rsidRPr="00A21886">
              <w:rPr>
                <w:i/>
                <w:iCs/>
                <w:sz w:val="20"/>
                <w:szCs w:val="20"/>
              </w:rPr>
              <w:t>The entity under assessment MUST ensure that its personnel responsible for operations affecting personal information, organizational information, and relationship information have received privacy and security training.</w:t>
            </w:r>
          </w:p>
          <w:p w14:paraId="684F81E0" w14:textId="77777777" w:rsidR="00042E28" w:rsidRPr="001C7115" w:rsidRDefault="00042E28" w:rsidP="00EA1194">
            <w:pPr>
              <w:pStyle w:val="Default"/>
              <w:rPr>
                <w:sz w:val="20"/>
                <w:szCs w:val="20"/>
              </w:rPr>
            </w:pPr>
          </w:p>
          <w:p w14:paraId="1FDF157F" w14:textId="04C243C0" w:rsidR="00A21886" w:rsidRPr="00C70A59" w:rsidRDefault="00A21886" w:rsidP="00EA1194">
            <w:pPr>
              <w:pStyle w:val="Default"/>
              <w:rPr>
                <w:i/>
                <w:iCs/>
                <w:sz w:val="20"/>
                <w:szCs w:val="20"/>
              </w:rPr>
            </w:pPr>
          </w:p>
        </w:tc>
      </w:tr>
      <w:tr w:rsidR="00EA1194" w14:paraId="202BEAA7" w14:textId="77777777" w:rsidTr="005C763F">
        <w:tc>
          <w:tcPr>
            <w:tcW w:w="1436" w:type="dxa"/>
            <w:shd w:val="clear" w:color="auto" w:fill="auto"/>
          </w:tcPr>
          <w:p w14:paraId="131236CD" w14:textId="1C5CD3EE" w:rsidR="00EA1194" w:rsidRDefault="00EA1194" w:rsidP="00517BC0">
            <w:pPr>
              <w:jc w:val="center"/>
              <w:rPr>
                <w:lang w:val="en-US"/>
              </w:rPr>
            </w:pPr>
            <w:r>
              <w:rPr>
                <w:lang w:val="en-US"/>
              </w:rPr>
              <w:t>EWMG.1</w:t>
            </w:r>
            <w:r w:rsidR="002322AB">
              <w:rPr>
                <w:lang w:val="en-US"/>
              </w:rPr>
              <w:t>7</w:t>
            </w:r>
          </w:p>
        </w:tc>
        <w:tc>
          <w:tcPr>
            <w:tcW w:w="1240" w:type="dxa"/>
            <w:shd w:val="clear" w:color="auto" w:fill="auto"/>
          </w:tcPr>
          <w:p w14:paraId="62C2CB51" w14:textId="0FB5D42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F3284DA" w14:textId="4761DE84" w:rsidR="00EA1194" w:rsidRDefault="00A21886" w:rsidP="00EA1194">
            <w:pPr>
              <w:pStyle w:val="Default"/>
              <w:pBdr>
                <w:bottom w:val="single" w:sz="6" w:space="1" w:color="auto"/>
              </w:pBdr>
              <w:rPr>
                <w:i/>
                <w:iCs/>
                <w:sz w:val="20"/>
                <w:szCs w:val="20"/>
              </w:rPr>
            </w:pPr>
            <w:r w:rsidRPr="00A21886">
              <w:rPr>
                <w:i/>
                <w:iCs/>
                <w:sz w:val="20"/>
                <w:szCs w:val="20"/>
              </w:rPr>
              <w:t>The entity under assessment MUST ensure the confidentiality and integrity of program/service information at rest and in transit, within the boundaries of their security and information protection context.</w:t>
            </w:r>
          </w:p>
          <w:p w14:paraId="367EFA20" w14:textId="77777777" w:rsidR="00042E28" w:rsidRPr="001C7115" w:rsidRDefault="00042E28" w:rsidP="00EA1194">
            <w:pPr>
              <w:pStyle w:val="Default"/>
              <w:rPr>
                <w:sz w:val="20"/>
                <w:szCs w:val="20"/>
              </w:rPr>
            </w:pPr>
          </w:p>
          <w:p w14:paraId="10007C23" w14:textId="77777777" w:rsidR="00A21886" w:rsidRDefault="00A21886" w:rsidP="00EA1194">
            <w:pPr>
              <w:pStyle w:val="Default"/>
              <w:rPr>
                <w:i/>
                <w:iCs/>
                <w:sz w:val="20"/>
                <w:szCs w:val="20"/>
              </w:rPr>
            </w:pPr>
          </w:p>
          <w:p w14:paraId="3CCD0454" w14:textId="401F68B3" w:rsidR="00A21886" w:rsidRPr="00C70A59" w:rsidRDefault="00A21886" w:rsidP="00EA1194">
            <w:pPr>
              <w:pStyle w:val="Default"/>
              <w:rPr>
                <w:i/>
                <w:iCs/>
                <w:sz w:val="20"/>
                <w:szCs w:val="20"/>
              </w:rPr>
            </w:pPr>
          </w:p>
        </w:tc>
      </w:tr>
      <w:tr w:rsidR="00EA1194" w14:paraId="64FE816D" w14:textId="77777777" w:rsidTr="005C763F">
        <w:tc>
          <w:tcPr>
            <w:tcW w:w="1436" w:type="dxa"/>
            <w:shd w:val="clear" w:color="auto" w:fill="auto"/>
          </w:tcPr>
          <w:p w14:paraId="667A70FB" w14:textId="65E27E35" w:rsidR="00EA1194" w:rsidRDefault="00EA1194" w:rsidP="00517BC0">
            <w:pPr>
              <w:jc w:val="center"/>
              <w:rPr>
                <w:lang w:val="en-US"/>
              </w:rPr>
            </w:pPr>
            <w:r>
              <w:rPr>
                <w:lang w:val="en-US"/>
              </w:rPr>
              <w:t>EWMG.1</w:t>
            </w:r>
            <w:r w:rsidR="002322AB">
              <w:rPr>
                <w:lang w:val="en-US"/>
              </w:rPr>
              <w:t>8</w:t>
            </w:r>
          </w:p>
        </w:tc>
        <w:tc>
          <w:tcPr>
            <w:tcW w:w="1240" w:type="dxa"/>
            <w:shd w:val="clear" w:color="auto" w:fill="auto"/>
          </w:tcPr>
          <w:p w14:paraId="4DF45122" w14:textId="4D990C66"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59570EE" w14:textId="2A866780" w:rsidR="00EA1194" w:rsidRDefault="00A63F25" w:rsidP="00EA1194">
            <w:pPr>
              <w:pStyle w:val="Default"/>
              <w:pBdr>
                <w:bottom w:val="single" w:sz="6" w:space="1" w:color="auto"/>
              </w:pBdr>
              <w:rPr>
                <w:i/>
                <w:iCs/>
                <w:sz w:val="20"/>
                <w:szCs w:val="20"/>
              </w:rPr>
            </w:pPr>
            <w:r w:rsidRPr="00A63F25">
              <w:rPr>
                <w:i/>
                <w:iCs/>
                <w:sz w:val="20"/>
                <w:szCs w:val="20"/>
              </w:rPr>
              <w:t>The entity under assessment MUST ensure that system boundary protection tools, devices, and techniques are employed.</w:t>
            </w:r>
          </w:p>
          <w:p w14:paraId="54C0BB85" w14:textId="77777777" w:rsidR="00042E28" w:rsidRDefault="00042E28" w:rsidP="00EA1194">
            <w:pPr>
              <w:pStyle w:val="Default"/>
              <w:rPr>
                <w:i/>
                <w:iCs/>
                <w:sz w:val="20"/>
                <w:szCs w:val="20"/>
              </w:rPr>
            </w:pPr>
          </w:p>
          <w:p w14:paraId="137AF4FC" w14:textId="77777777" w:rsidR="00A63F25" w:rsidRPr="001C7115" w:rsidRDefault="00A63F25" w:rsidP="00EA1194">
            <w:pPr>
              <w:pStyle w:val="Default"/>
              <w:rPr>
                <w:sz w:val="20"/>
                <w:szCs w:val="20"/>
              </w:rPr>
            </w:pPr>
          </w:p>
          <w:p w14:paraId="024D27DA" w14:textId="711A27EF" w:rsidR="00A63F25" w:rsidRPr="00C70A59" w:rsidRDefault="00A63F25" w:rsidP="00EA1194">
            <w:pPr>
              <w:pStyle w:val="Default"/>
              <w:rPr>
                <w:i/>
                <w:iCs/>
                <w:sz w:val="20"/>
                <w:szCs w:val="20"/>
              </w:rPr>
            </w:pPr>
          </w:p>
        </w:tc>
      </w:tr>
      <w:tr w:rsidR="00EA1194" w14:paraId="4C204DF4" w14:textId="77777777" w:rsidTr="005C763F">
        <w:tc>
          <w:tcPr>
            <w:tcW w:w="1436" w:type="dxa"/>
            <w:shd w:val="clear" w:color="auto" w:fill="auto"/>
          </w:tcPr>
          <w:p w14:paraId="12B82B63" w14:textId="42A61458" w:rsidR="00EA1194" w:rsidRDefault="00EA1194" w:rsidP="00517BC0">
            <w:pPr>
              <w:jc w:val="center"/>
              <w:rPr>
                <w:lang w:val="en-US"/>
              </w:rPr>
            </w:pPr>
            <w:r>
              <w:rPr>
                <w:lang w:val="en-US"/>
              </w:rPr>
              <w:t>EWMG.1</w:t>
            </w:r>
            <w:r w:rsidR="002322AB">
              <w:rPr>
                <w:lang w:val="en-US"/>
              </w:rPr>
              <w:t>9</w:t>
            </w:r>
          </w:p>
        </w:tc>
        <w:tc>
          <w:tcPr>
            <w:tcW w:w="1240" w:type="dxa"/>
            <w:shd w:val="clear" w:color="auto" w:fill="auto"/>
          </w:tcPr>
          <w:p w14:paraId="65917088" w14:textId="037D874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B7E2C58" w14:textId="13AD0056" w:rsidR="00EA1194" w:rsidRDefault="00A63F25" w:rsidP="00EA1194">
            <w:pPr>
              <w:pStyle w:val="Default"/>
              <w:pBdr>
                <w:bottom w:val="single" w:sz="6" w:space="1" w:color="auto"/>
              </w:pBdr>
              <w:rPr>
                <w:i/>
                <w:iCs/>
                <w:sz w:val="20"/>
                <w:szCs w:val="20"/>
              </w:rPr>
            </w:pPr>
            <w:r w:rsidRPr="00A63F25">
              <w:rPr>
                <w:i/>
                <w:iCs/>
                <w:sz w:val="20"/>
                <w:szCs w:val="20"/>
              </w:rPr>
              <w:t xml:space="preserve">The entity under assessment MUST uniquely identify and authenticate nonorganizational personnel or users, or processes acting on behalf of non-organizational </w:t>
            </w:r>
            <w:proofErr w:type="spellStart"/>
            <w:r w:rsidRPr="00A63F25">
              <w:rPr>
                <w:i/>
                <w:iCs/>
                <w:sz w:val="20"/>
                <w:szCs w:val="20"/>
              </w:rPr>
              <w:t>personnnel</w:t>
            </w:r>
            <w:proofErr w:type="spellEnd"/>
            <w:r w:rsidRPr="00A63F25">
              <w:rPr>
                <w:i/>
                <w:iCs/>
                <w:sz w:val="20"/>
                <w:szCs w:val="20"/>
              </w:rPr>
              <w:t xml:space="preserve"> or users, where authentication is appropriate.</w:t>
            </w:r>
          </w:p>
          <w:p w14:paraId="08128787" w14:textId="77777777" w:rsidR="00042E28" w:rsidRDefault="00042E28" w:rsidP="00EA1194">
            <w:pPr>
              <w:pStyle w:val="Default"/>
              <w:rPr>
                <w:i/>
                <w:iCs/>
                <w:sz w:val="20"/>
                <w:szCs w:val="20"/>
              </w:rPr>
            </w:pPr>
          </w:p>
          <w:p w14:paraId="3E6537F3" w14:textId="0D045D5B" w:rsidR="00A63F25" w:rsidRPr="001C7115" w:rsidRDefault="00A63F25" w:rsidP="00EA1194">
            <w:pPr>
              <w:pStyle w:val="Default"/>
              <w:rPr>
                <w:sz w:val="20"/>
                <w:szCs w:val="20"/>
              </w:rPr>
            </w:pPr>
          </w:p>
        </w:tc>
      </w:tr>
      <w:tr w:rsidR="00EA1194" w14:paraId="7EDDEF55" w14:textId="77777777" w:rsidTr="005C763F">
        <w:tc>
          <w:tcPr>
            <w:tcW w:w="1436" w:type="dxa"/>
            <w:shd w:val="clear" w:color="auto" w:fill="auto"/>
          </w:tcPr>
          <w:p w14:paraId="0E5B59F8" w14:textId="23D990FA" w:rsidR="00EA1194" w:rsidRDefault="00EA1194" w:rsidP="00517BC0">
            <w:pPr>
              <w:jc w:val="center"/>
              <w:rPr>
                <w:lang w:val="en-US"/>
              </w:rPr>
            </w:pPr>
            <w:r>
              <w:rPr>
                <w:lang w:val="en-US"/>
              </w:rPr>
              <w:t>EWMG.</w:t>
            </w:r>
            <w:r w:rsidR="00131110">
              <w:rPr>
                <w:lang w:val="en-US"/>
              </w:rPr>
              <w:t>20</w:t>
            </w:r>
          </w:p>
        </w:tc>
        <w:tc>
          <w:tcPr>
            <w:tcW w:w="1240" w:type="dxa"/>
            <w:shd w:val="clear" w:color="auto" w:fill="auto"/>
          </w:tcPr>
          <w:p w14:paraId="0546C232" w14:textId="01BBDA6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4D8ABD03" w14:textId="118FBD47" w:rsidR="005E593C" w:rsidRDefault="00131110" w:rsidP="00EA1194">
            <w:pPr>
              <w:pStyle w:val="Default"/>
              <w:rPr>
                <w:i/>
                <w:iCs/>
                <w:sz w:val="20"/>
                <w:szCs w:val="20"/>
              </w:rPr>
            </w:pPr>
            <w:r w:rsidRPr="00131110">
              <w:rPr>
                <w:i/>
                <w:iCs/>
                <w:sz w:val="20"/>
                <w:szCs w:val="20"/>
              </w:rPr>
              <w:t>The entity under assessment MUST adhere the principle of least privilege, allowing only authorized accesses for users (or processes acting on behalf of users) which are necessary to accomplish assigned tasks for the management of secure or privacy-protected information.</w:t>
            </w:r>
          </w:p>
          <w:p w14:paraId="4AB6C2FE" w14:textId="77777777" w:rsidR="00A63F25" w:rsidRPr="001C7115" w:rsidRDefault="00A63F25" w:rsidP="00EA1194">
            <w:pPr>
              <w:pStyle w:val="Default"/>
              <w:rPr>
                <w:sz w:val="20"/>
                <w:szCs w:val="20"/>
              </w:rPr>
            </w:pPr>
          </w:p>
          <w:p w14:paraId="619727C7" w14:textId="50C5AE26" w:rsidR="00A63F25" w:rsidRPr="00C70A59" w:rsidRDefault="00A63F25" w:rsidP="00EA1194">
            <w:pPr>
              <w:pStyle w:val="Default"/>
              <w:rPr>
                <w:i/>
                <w:iCs/>
                <w:sz w:val="20"/>
                <w:szCs w:val="20"/>
              </w:rPr>
            </w:pPr>
          </w:p>
        </w:tc>
      </w:tr>
      <w:tr w:rsidR="00EA1194" w14:paraId="32E710A1" w14:textId="77777777" w:rsidTr="005C763F">
        <w:tc>
          <w:tcPr>
            <w:tcW w:w="1436" w:type="dxa"/>
            <w:shd w:val="clear" w:color="auto" w:fill="auto"/>
          </w:tcPr>
          <w:p w14:paraId="23337B41" w14:textId="63946A64" w:rsidR="00EA1194" w:rsidRDefault="00EA1194" w:rsidP="00517BC0">
            <w:pPr>
              <w:jc w:val="center"/>
              <w:rPr>
                <w:lang w:val="en-US"/>
              </w:rPr>
            </w:pPr>
            <w:r>
              <w:rPr>
                <w:lang w:val="en-US"/>
              </w:rPr>
              <w:t>EWMG.2</w:t>
            </w:r>
            <w:r w:rsidR="001C6E76">
              <w:rPr>
                <w:lang w:val="en-US"/>
              </w:rPr>
              <w:t>1</w:t>
            </w:r>
          </w:p>
        </w:tc>
        <w:tc>
          <w:tcPr>
            <w:tcW w:w="1240" w:type="dxa"/>
            <w:shd w:val="clear" w:color="auto" w:fill="auto"/>
          </w:tcPr>
          <w:p w14:paraId="53F59F18" w14:textId="1EB5936E"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FED4B26" w14:textId="540EFFF6" w:rsidR="00EA1194" w:rsidRDefault="00FB2B9A" w:rsidP="00EA1194">
            <w:pPr>
              <w:pStyle w:val="Default"/>
              <w:pBdr>
                <w:bottom w:val="single" w:sz="6" w:space="1" w:color="auto"/>
              </w:pBdr>
              <w:rPr>
                <w:i/>
                <w:iCs/>
                <w:sz w:val="20"/>
                <w:szCs w:val="20"/>
              </w:rPr>
            </w:pPr>
            <w:r w:rsidRPr="00FB2B9A">
              <w:rPr>
                <w:i/>
                <w:iCs/>
                <w:sz w:val="20"/>
                <w:szCs w:val="20"/>
              </w:rPr>
              <w:t>The entity under assessment MUST enforce access controls to ensure that only authorized personnel can update identity information or relationship information.</w:t>
            </w:r>
          </w:p>
          <w:p w14:paraId="3D87C671" w14:textId="77777777" w:rsidR="005E593C" w:rsidRPr="001C7115" w:rsidRDefault="005E593C" w:rsidP="00EA1194">
            <w:pPr>
              <w:pStyle w:val="Default"/>
              <w:rPr>
                <w:sz w:val="20"/>
                <w:szCs w:val="20"/>
              </w:rPr>
            </w:pPr>
          </w:p>
          <w:p w14:paraId="090C2B55" w14:textId="668F3B92" w:rsidR="00FB2B9A" w:rsidRPr="00C70A59" w:rsidRDefault="00FB2B9A" w:rsidP="00EA1194">
            <w:pPr>
              <w:pStyle w:val="Default"/>
              <w:rPr>
                <w:i/>
                <w:iCs/>
                <w:sz w:val="20"/>
                <w:szCs w:val="20"/>
              </w:rPr>
            </w:pPr>
          </w:p>
        </w:tc>
      </w:tr>
      <w:tr w:rsidR="00EA1194" w14:paraId="7CC1F3D2" w14:textId="77777777" w:rsidTr="005C763F">
        <w:tc>
          <w:tcPr>
            <w:tcW w:w="1436" w:type="dxa"/>
            <w:shd w:val="clear" w:color="auto" w:fill="auto"/>
          </w:tcPr>
          <w:p w14:paraId="6575C588" w14:textId="7F6B14B2" w:rsidR="00EA1194" w:rsidRDefault="00EA1194" w:rsidP="00517BC0">
            <w:pPr>
              <w:jc w:val="center"/>
              <w:rPr>
                <w:lang w:val="en-US"/>
              </w:rPr>
            </w:pPr>
            <w:r>
              <w:rPr>
                <w:lang w:val="en-US"/>
              </w:rPr>
              <w:t>EWMG.2</w:t>
            </w:r>
            <w:r w:rsidR="001C6E76">
              <w:rPr>
                <w:lang w:val="en-US"/>
              </w:rPr>
              <w:t>2</w:t>
            </w:r>
          </w:p>
        </w:tc>
        <w:tc>
          <w:tcPr>
            <w:tcW w:w="1240" w:type="dxa"/>
            <w:shd w:val="clear" w:color="auto" w:fill="auto"/>
          </w:tcPr>
          <w:p w14:paraId="043E367A" w14:textId="36E5B4C9"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06016DA" w14:textId="77777777" w:rsidR="00FB2B9A" w:rsidRPr="00FB2B9A" w:rsidRDefault="00FB2B9A" w:rsidP="00FB2B9A">
            <w:pPr>
              <w:pStyle w:val="Default"/>
              <w:rPr>
                <w:i/>
                <w:iCs/>
                <w:sz w:val="20"/>
                <w:szCs w:val="20"/>
              </w:rPr>
            </w:pPr>
            <w:r w:rsidRPr="00FB2B9A">
              <w:rPr>
                <w:i/>
                <w:iCs/>
                <w:sz w:val="20"/>
                <w:szCs w:val="20"/>
              </w:rPr>
              <w:t xml:space="preserve">The entity under assessment MUST employ tools and techniques to protect against or limit the effects of common external system attacks (e.g., </w:t>
            </w:r>
            <w:proofErr w:type="gramStart"/>
            <w:r w:rsidRPr="00FB2B9A">
              <w:rPr>
                <w:i/>
                <w:iCs/>
                <w:sz w:val="20"/>
                <w:szCs w:val="20"/>
              </w:rPr>
              <w:t>network based</w:t>
            </w:r>
            <w:proofErr w:type="gramEnd"/>
            <w:r w:rsidRPr="00FB2B9A">
              <w:rPr>
                <w:i/>
                <w:iCs/>
                <w:sz w:val="20"/>
                <w:szCs w:val="20"/>
              </w:rPr>
              <w:t xml:space="preserve"> attacks such as denial of service attacks, network access based attacks such as authentication replay</w:t>
            </w:r>
          </w:p>
          <w:p w14:paraId="2B0EA0E7" w14:textId="62780591" w:rsidR="00EA1194" w:rsidRDefault="00FB2B9A" w:rsidP="00FB2B9A">
            <w:pPr>
              <w:pStyle w:val="Default"/>
              <w:pBdr>
                <w:bottom w:val="single" w:sz="6" w:space="1" w:color="auto"/>
              </w:pBdr>
              <w:rPr>
                <w:i/>
                <w:iCs/>
                <w:sz w:val="20"/>
                <w:szCs w:val="20"/>
              </w:rPr>
            </w:pPr>
            <w:r w:rsidRPr="00FB2B9A">
              <w:rPr>
                <w:i/>
                <w:iCs/>
                <w:sz w:val="20"/>
                <w:szCs w:val="20"/>
              </w:rPr>
              <w:t>and secret guessing).</w:t>
            </w:r>
          </w:p>
          <w:p w14:paraId="1A149635" w14:textId="77777777" w:rsidR="005E593C" w:rsidRDefault="005E593C" w:rsidP="00FB2B9A">
            <w:pPr>
              <w:pStyle w:val="Default"/>
              <w:rPr>
                <w:i/>
                <w:iCs/>
                <w:sz w:val="20"/>
                <w:szCs w:val="20"/>
              </w:rPr>
            </w:pPr>
          </w:p>
          <w:p w14:paraId="7227D276" w14:textId="6ABB35DF" w:rsidR="00FB2B9A" w:rsidRPr="001C7115" w:rsidRDefault="00FB2B9A" w:rsidP="00FB2B9A">
            <w:pPr>
              <w:pStyle w:val="Default"/>
              <w:rPr>
                <w:sz w:val="20"/>
                <w:szCs w:val="20"/>
              </w:rPr>
            </w:pPr>
          </w:p>
        </w:tc>
      </w:tr>
      <w:tr w:rsidR="00EA1194" w14:paraId="79CE8484" w14:textId="77777777" w:rsidTr="005C763F">
        <w:tc>
          <w:tcPr>
            <w:tcW w:w="1436" w:type="dxa"/>
            <w:shd w:val="clear" w:color="auto" w:fill="auto"/>
          </w:tcPr>
          <w:p w14:paraId="37B3C257" w14:textId="61BC9D65" w:rsidR="00EA1194" w:rsidRDefault="00EA1194" w:rsidP="00517BC0">
            <w:pPr>
              <w:jc w:val="center"/>
              <w:rPr>
                <w:lang w:val="en-US"/>
              </w:rPr>
            </w:pPr>
            <w:r>
              <w:rPr>
                <w:lang w:val="en-US"/>
              </w:rPr>
              <w:t>EWMG.2</w:t>
            </w:r>
            <w:r w:rsidR="001C6E76">
              <w:rPr>
                <w:lang w:val="en-US"/>
              </w:rPr>
              <w:t>3</w:t>
            </w:r>
          </w:p>
        </w:tc>
        <w:tc>
          <w:tcPr>
            <w:tcW w:w="1240" w:type="dxa"/>
            <w:shd w:val="clear" w:color="auto" w:fill="auto"/>
          </w:tcPr>
          <w:p w14:paraId="4012FA85" w14:textId="25555AFD"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0D98363" w14:textId="5F1BC132" w:rsidR="00EA1194" w:rsidRDefault="008F2FC6" w:rsidP="00EA1194">
            <w:pPr>
              <w:pStyle w:val="Default"/>
              <w:pBdr>
                <w:bottom w:val="single" w:sz="6" w:space="1" w:color="auto"/>
              </w:pBdr>
              <w:rPr>
                <w:i/>
                <w:iCs/>
                <w:sz w:val="20"/>
                <w:szCs w:val="20"/>
              </w:rPr>
            </w:pPr>
            <w:r w:rsidRPr="008F2FC6">
              <w:rPr>
                <w:i/>
                <w:iCs/>
                <w:sz w:val="20"/>
                <w:szCs w:val="20"/>
              </w:rPr>
              <w:t>The entity under assessment MUST have automated intrusion detection and alerting technology in place.</w:t>
            </w:r>
          </w:p>
          <w:p w14:paraId="569C48AF" w14:textId="77777777" w:rsidR="005E593C" w:rsidRPr="001C7115" w:rsidRDefault="005E593C" w:rsidP="00EA1194">
            <w:pPr>
              <w:pStyle w:val="Default"/>
              <w:rPr>
                <w:sz w:val="20"/>
                <w:szCs w:val="20"/>
              </w:rPr>
            </w:pPr>
          </w:p>
          <w:p w14:paraId="0633519C" w14:textId="24D09464" w:rsidR="008F2FC6" w:rsidRPr="00C70A59" w:rsidRDefault="008F2FC6" w:rsidP="00EA1194">
            <w:pPr>
              <w:pStyle w:val="Default"/>
              <w:rPr>
                <w:i/>
                <w:iCs/>
                <w:sz w:val="20"/>
                <w:szCs w:val="20"/>
              </w:rPr>
            </w:pPr>
          </w:p>
        </w:tc>
      </w:tr>
      <w:tr w:rsidR="00EA1194" w14:paraId="5ADA6A57" w14:textId="77777777" w:rsidTr="005C763F">
        <w:tc>
          <w:tcPr>
            <w:tcW w:w="1436" w:type="dxa"/>
            <w:shd w:val="clear" w:color="auto" w:fill="auto"/>
          </w:tcPr>
          <w:p w14:paraId="02BEBAA9" w14:textId="66C63623" w:rsidR="00EA1194" w:rsidRDefault="00EA1194" w:rsidP="00517BC0">
            <w:pPr>
              <w:jc w:val="center"/>
              <w:rPr>
                <w:lang w:val="en-US"/>
              </w:rPr>
            </w:pPr>
            <w:r>
              <w:rPr>
                <w:lang w:val="en-US"/>
              </w:rPr>
              <w:lastRenderedPageBreak/>
              <w:t>EWMG.2</w:t>
            </w:r>
            <w:r w:rsidR="00E148BA">
              <w:rPr>
                <w:lang w:val="en-US"/>
              </w:rPr>
              <w:t>4</w:t>
            </w:r>
          </w:p>
        </w:tc>
        <w:tc>
          <w:tcPr>
            <w:tcW w:w="1240" w:type="dxa"/>
            <w:shd w:val="clear" w:color="auto" w:fill="auto"/>
          </w:tcPr>
          <w:p w14:paraId="6195440F" w14:textId="569058D3"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2A06DE3" w14:textId="77777777" w:rsidR="00EA1194" w:rsidRDefault="008F2FC6" w:rsidP="00EA1194">
            <w:pPr>
              <w:pStyle w:val="Default"/>
              <w:pBdr>
                <w:bottom w:val="single" w:sz="6" w:space="1" w:color="auto"/>
              </w:pBdr>
              <w:rPr>
                <w:i/>
                <w:iCs/>
                <w:sz w:val="20"/>
                <w:szCs w:val="20"/>
              </w:rPr>
            </w:pPr>
            <w:r w:rsidRPr="008F2FC6">
              <w:rPr>
                <w:i/>
                <w:iCs/>
                <w:sz w:val="20"/>
                <w:szCs w:val="20"/>
              </w:rPr>
              <w:t>The entity under assessment MUST have a program of continuous vulnerability testing of system and software components leveraged in the delivery of services.</w:t>
            </w:r>
          </w:p>
          <w:p w14:paraId="6A0B9EDD" w14:textId="17DFF228" w:rsidR="00E41C10" w:rsidRPr="001C7115" w:rsidRDefault="00E41C10" w:rsidP="00EA1194">
            <w:pPr>
              <w:pStyle w:val="Default"/>
              <w:rPr>
                <w:sz w:val="20"/>
                <w:szCs w:val="20"/>
              </w:rPr>
            </w:pPr>
          </w:p>
        </w:tc>
      </w:tr>
      <w:tr w:rsidR="00EA1194" w14:paraId="22621FB6" w14:textId="77777777" w:rsidTr="005C763F">
        <w:tc>
          <w:tcPr>
            <w:tcW w:w="1436" w:type="dxa"/>
            <w:shd w:val="clear" w:color="auto" w:fill="auto"/>
          </w:tcPr>
          <w:p w14:paraId="082E6539" w14:textId="72950DD0" w:rsidR="00EA1194" w:rsidRDefault="00EA1194" w:rsidP="00517BC0">
            <w:pPr>
              <w:jc w:val="center"/>
              <w:rPr>
                <w:lang w:val="en-US"/>
              </w:rPr>
            </w:pPr>
            <w:r>
              <w:rPr>
                <w:lang w:val="en-US"/>
              </w:rPr>
              <w:t>EWMG.2</w:t>
            </w:r>
            <w:r w:rsidR="00E148BA">
              <w:rPr>
                <w:lang w:val="en-US"/>
              </w:rPr>
              <w:t>5</w:t>
            </w:r>
          </w:p>
        </w:tc>
        <w:tc>
          <w:tcPr>
            <w:tcW w:w="1240" w:type="dxa"/>
            <w:shd w:val="clear" w:color="auto" w:fill="auto"/>
          </w:tcPr>
          <w:p w14:paraId="1BFB1489" w14:textId="7AAC8A5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25D5621" w14:textId="34138032" w:rsidR="00EA1194" w:rsidRDefault="00D54EEE" w:rsidP="00EA1194">
            <w:pPr>
              <w:pStyle w:val="Default"/>
              <w:pBdr>
                <w:bottom w:val="single" w:sz="6" w:space="1" w:color="auto"/>
              </w:pBdr>
              <w:rPr>
                <w:i/>
                <w:iCs/>
                <w:sz w:val="20"/>
                <w:szCs w:val="20"/>
              </w:rPr>
            </w:pPr>
            <w:r w:rsidRPr="00D54EEE">
              <w:rPr>
                <w:i/>
                <w:iCs/>
                <w:sz w:val="20"/>
                <w:szCs w:val="20"/>
              </w:rPr>
              <w:t>The entity under assessment MUST conduct regular penetration testing of all components leveraged in the delivery of services.</w:t>
            </w:r>
          </w:p>
          <w:p w14:paraId="31671124" w14:textId="77777777" w:rsidR="00E41C10" w:rsidRDefault="00E41C10" w:rsidP="00EA1194">
            <w:pPr>
              <w:pStyle w:val="Default"/>
              <w:rPr>
                <w:i/>
                <w:iCs/>
                <w:sz w:val="20"/>
                <w:szCs w:val="20"/>
              </w:rPr>
            </w:pPr>
          </w:p>
          <w:p w14:paraId="76EDF879" w14:textId="424CAB88" w:rsidR="00D54EEE" w:rsidRPr="001C7115" w:rsidRDefault="00D54EEE" w:rsidP="00EA1194">
            <w:pPr>
              <w:pStyle w:val="Default"/>
              <w:rPr>
                <w:sz w:val="20"/>
                <w:szCs w:val="20"/>
              </w:rPr>
            </w:pPr>
          </w:p>
        </w:tc>
      </w:tr>
      <w:tr w:rsidR="00EA1194" w14:paraId="1A81B2E1" w14:textId="77777777" w:rsidTr="005C763F">
        <w:tc>
          <w:tcPr>
            <w:tcW w:w="1436" w:type="dxa"/>
            <w:shd w:val="clear" w:color="auto" w:fill="auto"/>
          </w:tcPr>
          <w:p w14:paraId="316BD5AF" w14:textId="3E0F9B53" w:rsidR="00EA1194" w:rsidRDefault="00EA1194" w:rsidP="00517BC0">
            <w:pPr>
              <w:jc w:val="center"/>
              <w:rPr>
                <w:lang w:val="en-US"/>
              </w:rPr>
            </w:pPr>
            <w:r>
              <w:rPr>
                <w:lang w:val="en-US"/>
              </w:rPr>
              <w:t>EWMG.2</w:t>
            </w:r>
            <w:r w:rsidR="00E148BA">
              <w:rPr>
                <w:lang w:val="en-US"/>
              </w:rPr>
              <w:t>6</w:t>
            </w:r>
          </w:p>
        </w:tc>
        <w:tc>
          <w:tcPr>
            <w:tcW w:w="1240" w:type="dxa"/>
            <w:shd w:val="clear" w:color="auto" w:fill="auto"/>
          </w:tcPr>
          <w:p w14:paraId="10307805" w14:textId="484416D4"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23D663B" w14:textId="68210891" w:rsidR="00EA1194" w:rsidRDefault="00D54EEE" w:rsidP="00EA1194">
            <w:pPr>
              <w:pStyle w:val="Default"/>
              <w:pBdr>
                <w:bottom w:val="single" w:sz="6" w:space="1" w:color="auto"/>
              </w:pBdr>
              <w:rPr>
                <w:i/>
                <w:iCs/>
                <w:sz w:val="20"/>
                <w:szCs w:val="20"/>
              </w:rPr>
            </w:pPr>
            <w:r w:rsidRPr="00D54EEE">
              <w:rPr>
                <w:i/>
                <w:iCs/>
                <w:sz w:val="20"/>
                <w:szCs w:val="20"/>
              </w:rPr>
              <w:t>The entity under assessment MUST test, evaluate, and update the contingency plan (i.e., disaster recovery) on a regular basis.</w:t>
            </w:r>
          </w:p>
          <w:p w14:paraId="7C3D8432" w14:textId="77777777" w:rsidR="00E41C10" w:rsidRDefault="00E41C10" w:rsidP="00EA1194">
            <w:pPr>
              <w:pStyle w:val="Default"/>
              <w:rPr>
                <w:i/>
                <w:iCs/>
                <w:sz w:val="20"/>
                <w:szCs w:val="20"/>
              </w:rPr>
            </w:pPr>
          </w:p>
          <w:p w14:paraId="10F1777D" w14:textId="7607BF28" w:rsidR="00D54EEE" w:rsidRPr="001C7115" w:rsidRDefault="00D54EEE" w:rsidP="00EA1194">
            <w:pPr>
              <w:pStyle w:val="Default"/>
              <w:rPr>
                <w:sz w:val="20"/>
                <w:szCs w:val="20"/>
              </w:rPr>
            </w:pPr>
          </w:p>
        </w:tc>
      </w:tr>
      <w:tr w:rsidR="00EA1194" w14:paraId="5D4D7D70" w14:textId="77777777" w:rsidTr="005C763F">
        <w:tc>
          <w:tcPr>
            <w:tcW w:w="1436" w:type="dxa"/>
            <w:shd w:val="clear" w:color="auto" w:fill="auto"/>
          </w:tcPr>
          <w:p w14:paraId="7CB82B9D" w14:textId="1A9A266B" w:rsidR="00EA1194" w:rsidRDefault="00EA1194" w:rsidP="00517BC0">
            <w:pPr>
              <w:jc w:val="center"/>
              <w:rPr>
                <w:lang w:val="en-US"/>
              </w:rPr>
            </w:pPr>
            <w:r>
              <w:rPr>
                <w:lang w:val="en-US"/>
              </w:rPr>
              <w:t>EWMG.2</w:t>
            </w:r>
            <w:r w:rsidR="00E148BA">
              <w:rPr>
                <w:lang w:val="en-US"/>
              </w:rPr>
              <w:t>7</w:t>
            </w:r>
          </w:p>
        </w:tc>
        <w:tc>
          <w:tcPr>
            <w:tcW w:w="1240" w:type="dxa"/>
            <w:shd w:val="clear" w:color="auto" w:fill="auto"/>
          </w:tcPr>
          <w:p w14:paraId="53068746" w14:textId="772C9A2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7A87AA6" w14:textId="581B02E6" w:rsidR="00EA1194" w:rsidRDefault="0005021B" w:rsidP="00EA1194">
            <w:pPr>
              <w:pStyle w:val="Default"/>
              <w:pBdr>
                <w:bottom w:val="single" w:sz="6" w:space="1" w:color="auto"/>
              </w:pBdr>
              <w:rPr>
                <w:i/>
                <w:iCs/>
                <w:sz w:val="20"/>
                <w:szCs w:val="20"/>
              </w:rPr>
            </w:pPr>
            <w:r w:rsidRPr="0005021B">
              <w:rPr>
                <w:i/>
                <w:iCs/>
                <w:sz w:val="20"/>
                <w:szCs w:val="20"/>
              </w:rPr>
              <w:t>The entity under assessment MUST have comprehensive automated backup procedures in place addressing backup of operational data, user level information, system level information, and system and security documentation.</w:t>
            </w:r>
          </w:p>
          <w:p w14:paraId="709A6A5E" w14:textId="77777777" w:rsidR="007E074A" w:rsidRDefault="007E074A" w:rsidP="00EA1194">
            <w:pPr>
              <w:pStyle w:val="Default"/>
              <w:rPr>
                <w:i/>
                <w:iCs/>
                <w:sz w:val="20"/>
                <w:szCs w:val="20"/>
              </w:rPr>
            </w:pPr>
          </w:p>
          <w:p w14:paraId="6EED400B" w14:textId="77777777" w:rsidR="0005021B" w:rsidRPr="001C7115" w:rsidRDefault="0005021B" w:rsidP="00EA1194">
            <w:pPr>
              <w:pStyle w:val="Default"/>
              <w:rPr>
                <w:sz w:val="20"/>
                <w:szCs w:val="20"/>
              </w:rPr>
            </w:pPr>
          </w:p>
          <w:p w14:paraId="406E29FC" w14:textId="15761AC2" w:rsidR="0005021B" w:rsidRPr="00C70A59" w:rsidRDefault="0005021B" w:rsidP="00EA1194">
            <w:pPr>
              <w:pStyle w:val="Default"/>
              <w:rPr>
                <w:i/>
                <w:iCs/>
                <w:sz w:val="20"/>
                <w:szCs w:val="20"/>
              </w:rPr>
            </w:pPr>
          </w:p>
        </w:tc>
      </w:tr>
      <w:tr w:rsidR="007E074A" w14:paraId="4A7150EB" w14:textId="77777777" w:rsidTr="005C763F">
        <w:tc>
          <w:tcPr>
            <w:tcW w:w="1436" w:type="dxa"/>
            <w:shd w:val="clear" w:color="auto" w:fill="auto"/>
          </w:tcPr>
          <w:p w14:paraId="118EC4A6" w14:textId="42245507" w:rsidR="007E074A" w:rsidRDefault="001C7115" w:rsidP="00517BC0">
            <w:pPr>
              <w:jc w:val="center"/>
              <w:rPr>
                <w:lang w:val="en-US"/>
              </w:rPr>
            </w:pPr>
            <w:r>
              <w:rPr>
                <w:lang w:val="en-US"/>
              </w:rPr>
              <w:t>EWMG .</w:t>
            </w:r>
            <w:r w:rsidR="006750C0">
              <w:rPr>
                <w:lang w:val="en-US"/>
              </w:rPr>
              <w:t>28</w:t>
            </w:r>
          </w:p>
        </w:tc>
        <w:tc>
          <w:tcPr>
            <w:tcW w:w="1240" w:type="dxa"/>
            <w:shd w:val="clear" w:color="auto" w:fill="auto"/>
          </w:tcPr>
          <w:p w14:paraId="2D1AC3A9" w14:textId="2A623D3D" w:rsidR="007E074A" w:rsidRPr="00D57825" w:rsidRDefault="007E074A" w:rsidP="00517BC0">
            <w:pPr>
              <w:pStyle w:val="Default"/>
              <w:jc w:val="center"/>
              <w:rPr>
                <w:sz w:val="20"/>
                <w:szCs w:val="20"/>
              </w:rPr>
            </w:pPr>
            <w:r>
              <w:rPr>
                <w:sz w:val="20"/>
                <w:szCs w:val="20"/>
              </w:rPr>
              <w:t>GEN</w:t>
            </w:r>
          </w:p>
        </w:tc>
        <w:tc>
          <w:tcPr>
            <w:tcW w:w="10360" w:type="dxa"/>
          </w:tcPr>
          <w:p w14:paraId="19260879" w14:textId="77777777" w:rsidR="007E074A" w:rsidRDefault="00512A83" w:rsidP="00EA1194">
            <w:pPr>
              <w:pStyle w:val="Default"/>
              <w:pBdr>
                <w:bottom w:val="single" w:sz="6" w:space="1" w:color="auto"/>
              </w:pBdr>
              <w:rPr>
                <w:i/>
                <w:iCs/>
                <w:sz w:val="20"/>
                <w:szCs w:val="20"/>
              </w:rPr>
            </w:pPr>
            <w:r w:rsidRPr="00512A83">
              <w:rPr>
                <w:i/>
                <w:iCs/>
                <w:sz w:val="20"/>
                <w:szCs w:val="20"/>
              </w:rPr>
              <w:t>The entity under assessment MUST ensure the integrity of backups of operational data, user level information, system level information, and system and security documentation.</w:t>
            </w:r>
          </w:p>
          <w:p w14:paraId="76D0FC70" w14:textId="49CD645F" w:rsidR="00512A83" w:rsidRPr="001C7115" w:rsidRDefault="00512A83" w:rsidP="00EA1194">
            <w:pPr>
              <w:pStyle w:val="Default"/>
              <w:rPr>
                <w:sz w:val="20"/>
                <w:szCs w:val="20"/>
              </w:rPr>
            </w:pPr>
          </w:p>
        </w:tc>
      </w:tr>
      <w:tr w:rsidR="00EA1194" w14:paraId="787A7226" w14:textId="77777777" w:rsidTr="005C763F">
        <w:tc>
          <w:tcPr>
            <w:tcW w:w="1436" w:type="dxa"/>
            <w:shd w:val="clear" w:color="auto" w:fill="auto"/>
          </w:tcPr>
          <w:p w14:paraId="00D22A2D" w14:textId="30BBA45E" w:rsidR="00EA1194" w:rsidRDefault="00EA1194" w:rsidP="00517BC0">
            <w:pPr>
              <w:jc w:val="center"/>
              <w:rPr>
                <w:lang w:val="en-US"/>
              </w:rPr>
            </w:pPr>
            <w:r>
              <w:rPr>
                <w:lang w:val="en-US"/>
              </w:rPr>
              <w:t>EWMG.</w:t>
            </w:r>
            <w:r w:rsidR="006750C0">
              <w:rPr>
                <w:lang w:val="en-US"/>
              </w:rPr>
              <w:t>29</w:t>
            </w:r>
          </w:p>
        </w:tc>
        <w:tc>
          <w:tcPr>
            <w:tcW w:w="1240" w:type="dxa"/>
            <w:shd w:val="clear" w:color="auto" w:fill="auto"/>
          </w:tcPr>
          <w:p w14:paraId="2A02E0C6" w14:textId="0522D3E4"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752120B" w14:textId="4717BB62" w:rsidR="00EA1194" w:rsidRDefault="0005021B" w:rsidP="00EA1194">
            <w:pPr>
              <w:pStyle w:val="Default"/>
              <w:pBdr>
                <w:bottom w:val="single" w:sz="6" w:space="1" w:color="auto"/>
              </w:pBdr>
              <w:rPr>
                <w:i/>
                <w:iCs/>
                <w:sz w:val="20"/>
                <w:szCs w:val="20"/>
              </w:rPr>
            </w:pPr>
            <w:r w:rsidRPr="0005021B">
              <w:rPr>
                <w:i/>
                <w:iCs/>
                <w:sz w:val="20"/>
                <w:szCs w:val="20"/>
              </w:rPr>
              <w:t>The entity under assessment SHOULD store backups of critical system software and operational data in a facility that is physically separate from the operational system.</w:t>
            </w:r>
          </w:p>
          <w:p w14:paraId="13AF8C27" w14:textId="77777777" w:rsidR="00512A83" w:rsidRPr="001C7115" w:rsidRDefault="00512A83" w:rsidP="00EA1194">
            <w:pPr>
              <w:pStyle w:val="Default"/>
              <w:rPr>
                <w:sz w:val="20"/>
                <w:szCs w:val="20"/>
              </w:rPr>
            </w:pPr>
          </w:p>
          <w:p w14:paraId="19A8B6D3" w14:textId="1A812416" w:rsidR="0005021B" w:rsidRPr="00C70A59" w:rsidRDefault="0005021B" w:rsidP="00EA1194">
            <w:pPr>
              <w:pStyle w:val="Default"/>
              <w:rPr>
                <w:i/>
                <w:iCs/>
                <w:sz w:val="20"/>
                <w:szCs w:val="20"/>
              </w:rPr>
            </w:pPr>
          </w:p>
        </w:tc>
      </w:tr>
      <w:tr w:rsidR="00EA1194" w14:paraId="47A777BE" w14:textId="77777777" w:rsidTr="005C763F">
        <w:tc>
          <w:tcPr>
            <w:tcW w:w="1436" w:type="dxa"/>
            <w:shd w:val="clear" w:color="auto" w:fill="auto"/>
          </w:tcPr>
          <w:p w14:paraId="0C7A1BAC" w14:textId="01F9ABA0" w:rsidR="00EA1194" w:rsidRDefault="00EA1194" w:rsidP="00517BC0">
            <w:pPr>
              <w:jc w:val="center"/>
              <w:rPr>
                <w:lang w:val="en-US"/>
              </w:rPr>
            </w:pPr>
            <w:r>
              <w:rPr>
                <w:lang w:val="en-US"/>
              </w:rPr>
              <w:t>EWMG.</w:t>
            </w:r>
            <w:r w:rsidR="0010261A">
              <w:rPr>
                <w:lang w:val="en-US"/>
              </w:rPr>
              <w:t>30</w:t>
            </w:r>
          </w:p>
        </w:tc>
        <w:tc>
          <w:tcPr>
            <w:tcW w:w="1240" w:type="dxa"/>
            <w:shd w:val="clear" w:color="auto" w:fill="auto"/>
          </w:tcPr>
          <w:p w14:paraId="41D89C60" w14:textId="24277FE9"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E743DAA" w14:textId="5B526DCF" w:rsidR="00EA1194" w:rsidRDefault="0039430F" w:rsidP="00EA1194">
            <w:pPr>
              <w:pStyle w:val="Default"/>
              <w:pBdr>
                <w:bottom w:val="single" w:sz="6" w:space="1" w:color="auto"/>
              </w:pBdr>
              <w:rPr>
                <w:i/>
                <w:iCs/>
                <w:sz w:val="20"/>
                <w:szCs w:val="20"/>
              </w:rPr>
            </w:pPr>
            <w:r w:rsidRPr="0039430F">
              <w:rPr>
                <w:i/>
                <w:iCs/>
                <w:sz w:val="20"/>
                <w:szCs w:val="20"/>
              </w:rPr>
              <w:t>The entity under assessment MUST have formal information retention and disposition schedules, appropriate to their program/service delivery context.</w:t>
            </w:r>
          </w:p>
          <w:p w14:paraId="53A8AAC6" w14:textId="77777777" w:rsidR="00911608" w:rsidRDefault="00911608" w:rsidP="00EA1194">
            <w:pPr>
              <w:pStyle w:val="Default"/>
              <w:rPr>
                <w:i/>
                <w:iCs/>
                <w:sz w:val="20"/>
                <w:szCs w:val="20"/>
              </w:rPr>
            </w:pPr>
          </w:p>
          <w:p w14:paraId="6483D8B4" w14:textId="77777777" w:rsidR="0039430F" w:rsidRPr="001C7115" w:rsidRDefault="0039430F" w:rsidP="00EA1194">
            <w:pPr>
              <w:pStyle w:val="Default"/>
              <w:rPr>
                <w:sz w:val="20"/>
                <w:szCs w:val="20"/>
              </w:rPr>
            </w:pPr>
          </w:p>
          <w:p w14:paraId="43845B18" w14:textId="6C6E74CD" w:rsidR="0039430F" w:rsidRPr="00C70A59" w:rsidRDefault="0039430F" w:rsidP="00EA1194">
            <w:pPr>
              <w:pStyle w:val="Default"/>
              <w:rPr>
                <w:i/>
                <w:iCs/>
                <w:sz w:val="20"/>
                <w:szCs w:val="2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351E" w14:textId="77777777" w:rsidR="00524A6D" w:rsidRDefault="00524A6D" w:rsidP="002A5381">
      <w:pPr>
        <w:spacing w:after="0" w:line="240" w:lineRule="auto"/>
      </w:pPr>
      <w:r>
        <w:separator/>
      </w:r>
    </w:p>
  </w:endnote>
  <w:endnote w:type="continuationSeparator" w:id="0">
    <w:p w14:paraId="3D6B473E" w14:textId="77777777" w:rsidR="00524A6D" w:rsidRDefault="00524A6D"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6C57" w14:textId="77777777" w:rsidR="005C763F" w:rsidRDefault="005C7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618C" w14:textId="77777777" w:rsidR="005C763F" w:rsidRDefault="005C7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F9A7" w14:textId="77777777" w:rsidR="00524A6D" w:rsidRDefault="00524A6D" w:rsidP="002A5381">
      <w:pPr>
        <w:spacing w:after="0" w:line="240" w:lineRule="auto"/>
      </w:pPr>
      <w:r>
        <w:separator/>
      </w:r>
    </w:p>
  </w:footnote>
  <w:footnote w:type="continuationSeparator" w:id="0">
    <w:p w14:paraId="672828EE" w14:textId="77777777" w:rsidR="00524A6D" w:rsidRDefault="00524A6D"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BCB1" w14:textId="77777777" w:rsidR="005C763F" w:rsidRDefault="005C76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D3C6" w14:textId="77777777" w:rsidR="004C3F7B" w:rsidRPr="00C46771" w:rsidRDefault="004C3F7B" w:rsidP="004C3F7B">
    <w:pPr>
      <w:pStyle w:val="Header"/>
      <w:jc w:val="center"/>
      <w:rPr>
        <w:lang w:val="en-US"/>
      </w:rPr>
    </w:pPr>
    <w:r>
      <w:rPr>
        <w:lang w:val="en-US"/>
      </w:rPr>
      <w:t>Conformity Assessment Scheme: Trusted Digital Identity for Use by Public Services</w:t>
    </w:r>
  </w:p>
  <w:p w14:paraId="77E9CA4A" w14:textId="64AE49C4" w:rsidR="00C46771" w:rsidRPr="00C46771" w:rsidRDefault="00C46771" w:rsidP="00C4677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C486" w14:textId="77777777" w:rsidR="005C763F" w:rsidRDefault="005C7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1D596E"/>
    <w:multiLevelType w:val="hybridMultilevel"/>
    <w:tmpl w:val="3E1C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45717">
    <w:abstractNumId w:val="1"/>
  </w:num>
  <w:num w:numId="2" w16cid:durableId="1281884631">
    <w:abstractNumId w:val="2"/>
  </w:num>
  <w:num w:numId="3" w16cid:durableId="1587223859">
    <w:abstractNumId w:val="0"/>
  </w:num>
  <w:num w:numId="4" w16cid:durableId="1666324055">
    <w:abstractNumId w:val="3"/>
  </w:num>
  <w:num w:numId="5" w16cid:durableId="151218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47933"/>
    <w:rsid w:val="0005021B"/>
    <w:rsid w:val="00052483"/>
    <w:rsid w:val="00057469"/>
    <w:rsid w:val="00063AAC"/>
    <w:rsid w:val="00076D43"/>
    <w:rsid w:val="000B2E8D"/>
    <w:rsid w:val="000C2ABD"/>
    <w:rsid w:val="0010261A"/>
    <w:rsid w:val="00131110"/>
    <w:rsid w:val="0017118A"/>
    <w:rsid w:val="001C6E76"/>
    <w:rsid w:val="001C7115"/>
    <w:rsid w:val="002322AB"/>
    <w:rsid w:val="00237B37"/>
    <w:rsid w:val="002A5381"/>
    <w:rsid w:val="002C5940"/>
    <w:rsid w:val="002F19A7"/>
    <w:rsid w:val="0039430F"/>
    <w:rsid w:val="003A51CC"/>
    <w:rsid w:val="003D1497"/>
    <w:rsid w:val="004044B4"/>
    <w:rsid w:val="004074C7"/>
    <w:rsid w:val="004B39D4"/>
    <w:rsid w:val="004C3F7B"/>
    <w:rsid w:val="004F097D"/>
    <w:rsid w:val="00512A83"/>
    <w:rsid w:val="00517BC0"/>
    <w:rsid w:val="00520069"/>
    <w:rsid w:val="00524A6D"/>
    <w:rsid w:val="00530EC7"/>
    <w:rsid w:val="00575336"/>
    <w:rsid w:val="005C763F"/>
    <w:rsid w:val="005E2DD8"/>
    <w:rsid w:val="005E593C"/>
    <w:rsid w:val="00611489"/>
    <w:rsid w:val="00616D92"/>
    <w:rsid w:val="0064334E"/>
    <w:rsid w:val="0065183F"/>
    <w:rsid w:val="00664247"/>
    <w:rsid w:val="00666588"/>
    <w:rsid w:val="006750C0"/>
    <w:rsid w:val="00687335"/>
    <w:rsid w:val="006A7FCB"/>
    <w:rsid w:val="006D65CD"/>
    <w:rsid w:val="006E3341"/>
    <w:rsid w:val="00755BA2"/>
    <w:rsid w:val="00755DF9"/>
    <w:rsid w:val="007B33AB"/>
    <w:rsid w:val="007C2A73"/>
    <w:rsid w:val="007E074A"/>
    <w:rsid w:val="007E0FD5"/>
    <w:rsid w:val="00805FBB"/>
    <w:rsid w:val="00812CE2"/>
    <w:rsid w:val="00813055"/>
    <w:rsid w:val="00831603"/>
    <w:rsid w:val="00891AEC"/>
    <w:rsid w:val="008A7ECB"/>
    <w:rsid w:val="008C3F80"/>
    <w:rsid w:val="008F2FC6"/>
    <w:rsid w:val="00911608"/>
    <w:rsid w:val="00955384"/>
    <w:rsid w:val="009E66BC"/>
    <w:rsid w:val="00A007D4"/>
    <w:rsid w:val="00A038C8"/>
    <w:rsid w:val="00A21886"/>
    <w:rsid w:val="00A24478"/>
    <w:rsid w:val="00A272A9"/>
    <w:rsid w:val="00A319D9"/>
    <w:rsid w:val="00A63F25"/>
    <w:rsid w:val="00A74909"/>
    <w:rsid w:val="00A779B4"/>
    <w:rsid w:val="00B52EA2"/>
    <w:rsid w:val="00B83DB0"/>
    <w:rsid w:val="00BA0FB9"/>
    <w:rsid w:val="00BB138F"/>
    <w:rsid w:val="00BE32C3"/>
    <w:rsid w:val="00C06F8E"/>
    <w:rsid w:val="00C10AE8"/>
    <w:rsid w:val="00C13984"/>
    <w:rsid w:val="00C31307"/>
    <w:rsid w:val="00C46771"/>
    <w:rsid w:val="00C70A59"/>
    <w:rsid w:val="00C81DDA"/>
    <w:rsid w:val="00CD691B"/>
    <w:rsid w:val="00CF0A61"/>
    <w:rsid w:val="00D1781A"/>
    <w:rsid w:val="00D36433"/>
    <w:rsid w:val="00D54EEE"/>
    <w:rsid w:val="00D56535"/>
    <w:rsid w:val="00D606C7"/>
    <w:rsid w:val="00D636C3"/>
    <w:rsid w:val="00E148BA"/>
    <w:rsid w:val="00E20AAD"/>
    <w:rsid w:val="00E41C10"/>
    <w:rsid w:val="00E60F13"/>
    <w:rsid w:val="00EA1194"/>
    <w:rsid w:val="00ED7E84"/>
    <w:rsid w:val="00EF3486"/>
    <w:rsid w:val="00F06F75"/>
    <w:rsid w:val="00F37E53"/>
    <w:rsid w:val="00F43CF6"/>
    <w:rsid w:val="00FB2B9A"/>
    <w:rsid w:val="00FE5E8F"/>
    <w:rsid w:val="00FE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1089</Words>
  <Characters>6426</Characters>
  <Application>Microsoft Office Word</Application>
  <DocSecurity>0</DocSecurity>
  <Lines>207</Lines>
  <Paragraphs>96</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36</cp:revision>
  <dcterms:created xsi:type="dcterms:W3CDTF">2021-02-15T19:15:00Z</dcterms:created>
  <dcterms:modified xsi:type="dcterms:W3CDTF">2022-07-08T17:57:00Z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