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introduction"/>
    <w:p>
      <w:pPr>
        <w:pStyle w:val="Heading1"/>
      </w:pPr>
      <w:r>
        <w:rPr>
          <w:rStyle w:val="SectionNumber"/>
        </w:rPr>
        <w:t xml:space="preserve">1</w:t>
      </w:r>
      <w:r>
        <w:tab/>
      </w:r>
      <w:r>
        <w:t xml:space="preserve">Introduction</w:t>
      </w:r>
    </w:p>
    <w:p>
      <w:pPr>
        <w:pStyle w:val="FirstParagraph"/>
      </w:pPr>
      <w:r>
        <w:t xml:space="preserve">The Technical Specification is intended to support a prototype conformity assessment program for digital credentials and digital trust services and is intended to be a method of test to provides repeatable and reproducible procedures with consistent outcomes for the assessment of the products being assess.</w:t>
      </w:r>
    </w:p>
    <w:p>
      <w:pPr>
        <w:pStyle w:val="BodyText"/>
      </w:pPr>
      <w:r>
        <w:t xml:space="preserve">This specification provides a small-scale set of conformity assessment criteria that are based on digital credential policy and regulatory objectives of Canadian governments.</w:t>
      </w:r>
    </w:p>
    <w:p>
      <w:pPr>
        <w:pStyle w:val="BodyText"/>
      </w:pPr>
      <w:r>
        <w:t xml:space="preserve">This specification supports conformity assessment needs that can</w:t>
      </w:r>
      <w:r>
        <w:t xml:space="preserve"> </w:t>
      </w:r>
      <w:r>
        <w:t xml:space="preserve">* provide market structure and clarity for digital credentials and digital trust services.</w:t>
      </w:r>
      <w:r>
        <w:t xml:space="preserve"> </w:t>
      </w:r>
      <w:r>
        <w:t xml:space="preserve">* enable interoperability and mutual support for digital credentials and digital trust services nationally and internationally.</w:t>
      </w:r>
      <w:r>
        <w:t xml:space="preserve"> </w:t>
      </w:r>
      <w:r>
        <w:t xml:space="preserve">* offer an avenue for product differentiation and competition between developers and providers.</w:t>
      </w:r>
      <w:r>
        <w:t xml:space="preserve"> </w:t>
      </w:r>
      <w:r>
        <w:t xml:space="preserve">* provide greater consumer confidence in digital credentials and digital trust services and products, thus potentially helping with adoption.</w:t>
      </w:r>
      <w:r>
        <w:t xml:space="preserve"> </w:t>
      </w:r>
      <w:r>
        <w:t xml:space="preserve">* provide a means for third-party assessment of the safety, efficacy, and ethical profile of digital credentials and digital trust services.*</w:t>
      </w:r>
      <w:r>
        <w:t xml:space="preserve"> </w:t>
      </w:r>
      <w:r>
        <w:t xml:space="preserve">* provide Canadian governments with a standards-based tool for establishing regulations for digital credentials and digital trust services.</w:t>
      </w:r>
    </w:p>
    <w:p>
      <w:pPr>
        <w:pStyle w:val="CaptionedFigure"/>
      </w:pPr>
      <w:r>
        <w:drawing>
          <wp:inline>
            <wp:extent cx="1865498" cy="1865498"/>
            <wp:effectExtent b="0" l="0" r="0" t="0"/>
            <wp:docPr descr="CIO Strategy Council" title="" id="21" name="Picture"/>
            <a:graphic>
              <a:graphicData uri="http://schemas.openxmlformats.org/drawingml/2006/picture">
                <pic:pic>
                  <pic:nvPicPr>
                    <pic:cNvPr descr="../images/ciosc-logo-blk.png" id="22" name="Picture"/>
                    <pic:cNvPicPr>
                      <a:picLocks noChangeArrowheads="1" noChangeAspect="1"/>
                    </pic:cNvPicPr>
                  </pic:nvPicPr>
                  <pic:blipFill>
                    <a:blip r:embed="rId20"/>
                    <a:stretch>
                      <a:fillRect/>
                    </a:stretch>
                  </pic:blipFill>
                  <pic:spPr bwMode="auto">
                    <a:xfrm>
                      <a:off x="0" y="0"/>
                      <a:ext cx="1865498" cy="1865498"/>
                    </a:xfrm>
                    <a:prstGeom prst="rect">
                      <a:avLst/>
                    </a:prstGeom>
                    <a:noFill/>
                    <a:ln w="9525">
                      <a:noFill/>
                      <a:headEnd/>
                      <a:tailEnd/>
                    </a:ln>
                  </pic:spPr>
                </pic:pic>
              </a:graphicData>
            </a:graphic>
          </wp:inline>
        </w:drawing>
      </w:r>
    </w:p>
    <w:p>
      <w:pPr>
        <w:pStyle w:val="ImageCaption"/>
      </w:pPr>
      <w:r>
        <w:t xml:space="preserve">CIO Strategy Council</w:t>
      </w:r>
    </w:p>
    <w:bookmarkEnd w:id="23"/>
    <w:bookmarkStart w:id="31" w:name="X82bcc21dc2e974eb4b535c22ca7696c35fb30c2"/>
    <w:p>
      <w:pPr>
        <w:pStyle w:val="Heading1"/>
      </w:pPr>
      <w:r>
        <w:rPr>
          <w:rStyle w:val="SectionNumber"/>
        </w:rPr>
        <w:t xml:space="preserve">2</w:t>
      </w:r>
      <w:r>
        <w:tab/>
      </w:r>
      <w:r>
        <w:t xml:space="preserve">Objects of Conformity Assessment Schedule</w:t>
      </w:r>
    </w:p>
    <w:p>
      <w:pPr>
        <w:pStyle w:val="FirstParagraph"/>
      </w:pPr>
      <w:r>
        <w:t xml:space="preserve">Objects of Conformity Assessment definitions are adapted from selected techical specifications and standards and agreed to by the working group. The definition reflects a common understanding of what is required to define scope of method of test for the purposes of conformity.</w:t>
      </w:r>
    </w:p>
    <w:p>
      <w:pPr>
        <w:pStyle w:val="BodyText"/>
      </w:pPr>
      <w:r>
        <w:t xml:space="preserve">THe objects of conformity assessment definitions are intended to be:</w:t>
      </w:r>
      <w:r>
        <w:t xml:space="preserve"> </w:t>
      </w:r>
      <w:r>
        <w:t xml:space="preserve">* CONCISE as agreed on by the technical experts.</w:t>
      </w:r>
      <w:r>
        <w:t xml:space="preserve"> </w:t>
      </w:r>
      <w:r>
        <w:t xml:space="preserve">* NORMATIVE in relation to the conformity assessment scheme, scope, requirements and method of test.</w:t>
      </w:r>
      <w:r>
        <w:t xml:space="preserve"> </w:t>
      </w:r>
      <w:r>
        <w:t xml:space="preserve">* NON-NORMATIVE in relation to other standards, specifications and recommendations.</w:t>
      </w:r>
      <w:r>
        <w:t xml:space="preserve"> </w:t>
      </w:r>
      <w:r>
        <w:t xml:space="preserve">* SUBSTANTIVE to assist in the mapping and scoping of product, process or service components for the purposes of conformity assessment.</w:t>
      </w:r>
    </w:p>
    <w:p>
      <w:pPr>
        <w:pStyle w:val="BodyText"/>
      </w:pPr>
      <w:r>
        <w:rPr>
          <w:iCs/>
          <w:i/>
        </w:rPr>
        <w:t xml:space="preserve">Status</w:t>
      </w:r>
      <w:r>
        <w:t xml:space="preserve"> </w:t>
      </w:r>
      <w:r>
        <w:t xml:space="preserve">field has the following values:</w:t>
      </w:r>
      <w:r>
        <w:t xml:space="preserve"> </w:t>
      </w:r>
      <w:r>
        <w:t xml:space="preserve">*</w:t>
      </w:r>
      <w:r>
        <w:t xml:space="preserve"> </w:t>
      </w:r>
      <w:r>
        <w:rPr>
          <w:bCs/>
          <w:b/>
        </w:rPr>
        <w:t xml:space="preserve">PROPOSED</w:t>
      </w:r>
      <w:r>
        <w:t xml:space="preserve"> </w:t>
      </w:r>
      <w:r>
        <w:t xml:space="preserve">- proposed by technical experts and contributors.</w:t>
      </w:r>
      <w:r>
        <w:t xml:space="preserve"> </w:t>
      </w:r>
      <w:r>
        <w:t xml:space="preserve">*</w:t>
      </w:r>
      <w:r>
        <w:t xml:space="preserve"> </w:t>
      </w:r>
      <w:r>
        <w:rPr>
          <w:bCs/>
          <w:b/>
        </w:rPr>
        <w:t xml:space="preserve">DRAFT</w:t>
      </w:r>
      <w:r>
        <w:t xml:space="preserve"> </w:t>
      </w:r>
      <w:r>
        <w:t xml:space="preserve">- in active draft by the techical experts with</w:t>
      </w:r>
      <w:r>
        <w:t xml:space="preserve"> </w:t>
      </w:r>
      <w:hyperlink r:id="rId24">
        <w:r>
          <w:rPr>
            <w:rStyle w:val="Hyperlink"/>
          </w:rPr>
          <w:t xml:space="preserve">link to object of conformity assessment specification (template example)</w:t>
        </w:r>
      </w:hyperlink>
      <w:r>
        <w:t xml:space="preserve"> </w:t>
      </w:r>
      <w:r>
        <w:t xml:space="preserve">*</w:t>
      </w:r>
      <w:r>
        <w:t xml:space="preserve"> </w:t>
      </w:r>
      <w:r>
        <w:rPr>
          <w:bCs/>
          <w:b/>
        </w:rPr>
        <w:t xml:space="preserve">PILOT</w:t>
      </w:r>
      <w:r>
        <w:t xml:space="preserve"> </w:t>
      </w:r>
      <w:r>
        <w:t xml:space="preserve">- approved by the sponsor for pilot as part of a prototype conformity asssessment program (note: material may still be in draft phase)</w:t>
      </w:r>
      <w:r>
        <w:t xml:space="preserve"> </w:t>
      </w:r>
      <w:r>
        <w:t xml:space="preserve">*</w:t>
      </w:r>
      <w:r>
        <w:t xml:space="preserve"> </w:t>
      </w:r>
      <w:r>
        <w:rPr>
          <w:bCs/>
          <w:b/>
        </w:rPr>
        <w:t xml:space="preserve">RELEASED</w:t>
      </w:r>
      <w:r>
        <w:t xml:space="preserve"> </w:t>
      </w:r>
      <w:r>
        <w:t xml:space="preserve">- material is finalized and released as part of a published deliverable.</w:t>
      </w:r>
    </w:p>
    <w:bookmarkStart w:id="29" w:name="Xec96ac762b258bb9e4571c7aeb497baebc1b8b6"/>
    <w:p>
      <w:pPr>
        <w:pStyle w:val="Heading2"/>
      </w:pPr>
      <w:r>
        <w:rPr>
          <w:rStyle w:val="SectionNumber"/>
        </w:rPr>
        <w:t xml:space="preserve">2.1</w:t>
      </w:r>
      <w:r>
        <w:tab/>
      </w:r>
      <w:r>
        <w:t xml:space="preserve">Objects of Conformity Asessment Definitions</w:t>
      </w:r>
    </w:p>
    <w:p>
      <w:pPr>
        <w:pStyle w:val="FirstParagraph"/>
      </w:pPr>
      <w:r>
        <w:t xml:space="preserve">Defined and listed in the table below</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Object of Conformity Assessment</w:t>
            </w:r>
          </w:p>
        </w:tc>
        <w:tc>
          <w:tcPr/>
          <w:p>
            <w:pPr>
              <w:pStyle w:val="Compact"/>
              <w:jc w:val="left"/>
            </w:pPr>
            <w:r>
              <w:t xml:space="preserve">Object of Conformity Assessment Definition</w:t>
            </w:r>
          </w:p>
        </w:tc>
        <w:tc>
          <w:tcPr/>
          <w:p>
            <w:pPr>
              <w:pStyle w:val="Compact"/>
              <w:jc w:val="left"/>
            </w:pPr>
            <w:r>
              <w:t xml:space="preserve">Status</w:t>
            </w:r>
          </w:p>
        </w:tc>
      </w:tr>
      <w:tr>
        <w:tc>
          <w:tcPr/>
          <w:p>
            <w:pPr>
              <w:pStyle w:val="Compact"/>
              <w:jc w:val="left"/>
            </w:pPr>
            <w:r>
              <w:rPr>
                <w:bCs/>
                <w:b/>
              </w:rPr>
              <w:t xml:space="preserve">Digital Credential</w:t>
            </w:r>
          </w:p>
        </w:tc>
        <w:tc>
          <w:tcPr/>
          <w:p>
            <w:pPr>
              <w:pStyle w:val="Compact"/>
              <w:jc w:val="left"/>
            </w:pPr>
            <w:r>
              <w:rPr>
                <w:rStyle w:val="VerbatimChar"/>
              </w:rPr>
              <w:t xml:space="preserve">A portable digital record about a subject (e.g., organization, individual, product) that can be held and shared through a user-controlled wallet. It is the digital representation of a traditional physical certificate or information.</w:t>
            </w:r>
          </w:p>
        </w:tc>
        <w:tc>
          <w:tcPr/>
          <w:p>
            <w:pPr>
              <w:pStyle w:val="Compact"/>
              <w:jc w:val="left"/>
            </w:pPr>
            <w:hyperlink r:id="rId25">
              <w:r>
                <w:rPr>
                  <w:rStyle w:val="Hyperlink"/>
                </w:rPr>
                <w:t xml:space="preserve">DRAFT</w:t>
              </w:r>
            </w:hyperlink>
          </w:p>
        </w:tc>
      </w:tr>
      <w:tr>
        <w:tc>
          <w:tcPr/>
          <w:p>
            <w:pPr>
              <w:pStyle w:val="Compact"/>
              <w:jc w:val="left"/>
            </w:pPr>
            <w:r>
              <w:rPr>
                <w:bCs/>
                <w:b/>
              </w:rPr>
              <w:t xml:space="preserve">Digital Trust Service</w:t>
            </w:r>
          </w:p>
        </w:tc>
        <w:tc>
          <w:tcPr/>
          <w:p>
            <w:pPr>
              <w:pStyle w:val="Compact"/>
              <w:jc w:val="left"/>
            </w:pPr>
            <w:r>
              <w:rPr>
                <w:rStyle w:val="VerbatimChar"/>
              </w:rPr>
              <w:t xml:space="preserve">Digital trust services is enabling service for digital credentials, such as a blockchain-based verifiable data registry, issuing and verifying services, and, digital wallets.</w:t>
            </w:r>
          </w:p>
        </w:tc>
        <w:tc>
          <w:tcPr/>
          <w:p>
            <w:pPr>
              <w:pStyle w:val="Compact"/>
              <w:jc w:val="left"/>
            </w:pPr>
            <w:r>
              <w:t xml:space="preserve">PROPOSED</w:t>
            </w:r>
          </w:p>
        </w:tc>
      </w:tr>
      <w:tr>
        <w:tc>
          <w:tcPr/>
          <w:p>
            <w:pPr>
              <w:pStyle w:val="Compact"/>
              <w:jc w:val="left"/>
            </w:pPr>
            <w:r>
              <w:rPr>
                <w:bCs/>
                <w:b/>
              </w:rPr>
              <w:t xml:space="preserve">Identifier</w:t>
            </w:r>
          </w:p>
        </w:tc>
        <w:tc>
          <w:tcPr/>
          <w:p>
            <w:pPr>
              <w:pStyle w:val="Compact"/>
              <w:jc w:val="left"/>
            </w:pPr>
            <w:r>
              <w:rPr>
                <w:rStyle w:val="VerbatimChar"/>
              </w:rPr>
              <w:t xml:space="preserve">The set of identity attributes used to uniquely distinguish a particular Entity within a population.</w:t>
            </w:r>
          </w:p>
        </w:tc>
        <w:tc>
          <w:tcPr/>
          <w:p>
            <w:pPr>
              <w:pStyle w:val="Compact"/>
              <w:jc w:val="left"/>
            </w:pPr>
            <w:r>
              <w:t xml:space="preserve">PROPOSED</w:t>
            </w:r>
          </w:p>
        </w:tc>
      </w:tr>
      <w:tr>
        <w:tc>
          <w:tcPr/>
          <w:p>
            <w:pPr>
              <w:pStyle w:val="Compact"/>
              <w:jc w:val="left"/>
            </w:pPr>
            <w:r>
              <w:rPr>
                <w:bCs/>
                <w:b/>
              </w:rPr>
              <w:t xml:space="preserve">Issuer</w:t>
            </w:r>
          </w:p>
        </w:tc>
        <w:tc>
          <w:tcPr/>
          <w:p>
            <w:pPr>
              <w:pStyle w:val="Compact"/>
              <w:jc w:val="left"/>
            </w:pPr>
            <w:r>
              <w:rPr>
                <w:rStyle w:val="VerbatimChar"/>
              </w:rPr>
              <w:t xml:space="preserve">An Entity that asserts one or more Claims about one or more Subjects, creates a Credential from these Claims, and assigns the Credential to a Holder.</w:t>
            </w:r>
          </w:p>
        </w:tc>
        <w:tc>
          <w:tcPr/>
          <w:p>
            <w:pPr>
              <w:pStyle w:val="Compact"/>
              <w:jc w:val="left"/>
            </w:pPr>
            <w:hyperlink r:id="rId26">
              <w:r>
                <w:rPr>
                  <w:rStyle w:val="Hyperlink"/>
                </w:rPr>
                <w:t xml:space="preserve">DRAFT</w:t>
              </w:r>
            </w:hyperlink>
          </w:p>
        </w:tc>
      </w:tr>
      <w:tr>
        <w:tc>
          <w:tcPr/>
          <w:p>
            <w:pPr>
              <w:pStyle w:val="Compact"/>
              <w:jc w:val="left"/>
            </w:pPr>
            <w:r>
              <w:rPr>
                <w:bCs/>
                <w:b/>
              </w:rPr>
              <w:t xml:space="preserve">Verifier</w:t>
            </w:r>
          </w:p>
        </w:tc>
        <w:tc>
          <w:tcPr/>
          <w:p>
            <w:pPr>
              <w:pStyle w:val="Compact"/>
              <w:jc w:val="left"/>
            </w:pPr>
            <w:r>
              <w:rPr>
                <w:rStyle w:val="VerbatimChar"/>
              </w:rPr>
              <w:t xml:space="preserve">An Entity that accepts a Presentation (Proof) from a Holder for the purposes of delivering services, administering programs or yielding an ACCEPT or REJECT decision.</w:t>
            </w:r>
          </w:p>
        </w:tc>
        <w:tc>
          <w:tcPr/>
          <w:p>
            <w:pPr>
              <w:pStyle w:val="Compact"/>
              <w:jc w:val="left"/>
            </w:pPr>
            <w:r>
              <w:t xml:space="preserve">PROPOSED</w:t>
            </w:r>
          </w:p>
        </w:tc>
      </w:tr>
      <w:tr>
        <w:tc>
          <w:tcPr/>
          <w:p>
            <w:pPr>
              <w:pStyle w:val="Compact"/>
              <w:jc w:val="left"/>
            </w:pPr>
            <w:r>
              <w:rPr>
                <w:bCs/>
                <w:b/>
              </w:rPr>
              <w:t xml:space="preserve">Key</w:t>
            </w:r>
          </w:p>
        </w:tc>
        <w:tc>
          <w:tcPr/>
          <w:p>
            <w:pPr>
              <w:pStyle w:val="Compact"/>
              <w:jc w:val="left"/>
            </w:pPr>
            <w:r>
              <w:rPr>
                <w:rStyle w:val="VerbatimChar"/>
              </w:rPr>
              <w:t xml:space="preserve">A key is data structure that represents a cryptographic key.</w:t>
            </w:r>
          </w:p>
        </w:tc>
        <w:tc>
          <w:tcPr/>
          <w:p>
            <w:pPr>
              <w:pStyle w:val="Compact"/>
              <w:jc w:val="left"/>
            </w:pPr>
            <w:r>
              <w:t xml:space="preserve">PROPOSED</w:t>
            </w:r>
          </w:p>
        </w:tc>
      </w:tr>
      <w:tr>
        <w:tc>
          <w:tcPr/>
          <w:p>
            <w:pPr>
              <w:pStyle w:val="Compact"/>
              <w:jc w:val="left"/>
            </w:pPr>
            <w:r>
              <w:rPr>
                <w:bCs/>
                <w:b/>
              </w:rPr>
              <w:t xml:space="preserve">Presentation</w:t>
            </w:r>
          </w:p>
        </w:tc>
        <w:tc>
          <w:tcPr/>
          <w:p>
            <w:pPr>
              <w:pStyle w:val="Compact"/>
              <w:jc w:val="left"/>
            </w:pPr>
            <w:r>
              <w:rPr>
                <w:rStyle w:val="VerbatimChar"/>
              </w:rPr>
              <w:t xml:space="preserve">A Presentaion isinformation derived from one or more Credentials. The source Credentials may have been issued by different Issuers.</w:t>
            </w:r>
          </w:p>
        </w:tc>
        <w:tc>
          <w:tcPr/>
          <w:p>
            <w:pPr>
              <w:pStyle w:val="Compact"/>
              <w:jc w:val="left"/>
            </w:pPr>
            <w:r>
              <w:t xml:space="preserve">PROPOSED</w:t>
            </w:r>
          </w:p>
        </w:tc>
      </w:tr>
      <w:tr>
        <w:tc>
          <w:tcPr/>
          <w:p>
            <w:pPr>
              <w:pStyle w:val="Compact"/>
              <w:jc w:val="left"/>
            </w:pPr>
            <w:r>
              <w:rPr>
                <w:bCs/>
                <w:b/>
              </w:rPr>
              <w:t xml:space="preserve">Signature</w:t>
            </w:r>
          </w:p>
        </w:tc>
        <w:tc>
          <w:tcPr/>
          <w:p>
            <w:pPr>
              <w:pStyle w:val="Compact"/>
              <w:jc w:val="left"/>
            </w:pPr>
            <w:r>
              <w:rPr>
                <w:rStyle w:val="VerbatimChar"/>
              </w:rPr>
              <w:t xml:space="preserve">An electronic representation where, at a minimum: the Entity signing the data can be associated with the electronic representation, it is clear that the Entity intended to sign, the reason or purpose for signing is conveyed, and the data integrity of the signed transaction is maintained, including the original. &lt;br&gt; **Alternate definition:** A key represents content secured with a digital   signature or message authentication code</w:t>
            </w:r>
          </w:p>
        </w:tc>
        <w:tc>
          <w:tcPr/>
          <w:p>
            <w:pPr>
              <w:pStyle w:val="Compact"/>
              <w:jc w:val="left"/>
            </w:pPr>
            <w:r>
              <w:t xml:space="preserve">PROPOSED</w:t>
            </w:r>
          </w:p>
        </w:tc>
      </w:tr>
      <w:tr>
        <w:tc>
          <w:tcPr/>
          <w:p>
            <w:pPr>
              <w:pStyle w:val="Compact"/>
              <w:jc w:val="left"/>
            </w:pPr>
            <w:r>
              <w:rPr>
                <w:bCs/>
                <w:b/>
              </w:rPr>
              <w:t xml:space="preserve">Holder</w:t>
            </w:r>
          </w:p>
        </w:tc>
        <w:tc>
          <w:tcPr/>
          <w:p>
            <w:pPr>
              <w:pStyle w:val="Compact"/>
              <w:jc w:val="left"/>
            </w:pPr>
            <w:r>
              <w:rPr>
                <w:rStyle w:val="VerbatimChar"/>
              </w:rPr>
              <w:t xml:space="preserve">An Entity that controls one or more Credentials from which a Presentation can be expressed to a Verifier. A Holder is usually, but not always, the Subject of a Credential.</w:t>
            </w:r>
          </w:p>
        </w:tc>
        <w:tc>
          <w:tcPr/>
          <w:p>
            <w:pPr>
              <w:pStyle w:val="Compact"/>
              <w:jc w:val="left"/>
            </w:pPr>
            <w:r>
              <w:t xml:space="preserve">PROPOSED</w:t>
            </w:r>
          </w:p>
        </w:tc>
      </w:tr>
      <w:tr>
        <w:tc>
          <w:tcPr/>
          <w:p>
            <w:pPr>
              <w:pStyle w:val="Compact"/>
              <w:jc w:val="left"/>
            </w:pPr>
            <w:r>
              <w:rPr>
                <w:bCs/>
                <w:b/>
              </w:rPr>
              <w:t xml:space="preserve">Cryptographic Proof</w:t>
            </w:r>
          </w:p>
        </w:tc>
        <w:tc>
          <w:tcPr/>
          <w:p>
            <w:pPr>
              <w:pStyle w:val="Compact"/>
              <w:jc w:val="left"/>
            </w:pPr>
            <w:r>
              <w:rPr>
                <w:rStyle w:val="VerbatimChar"/>
              </w:rPr>
              <w:t xml:space="preserve">A Cryptographic Proof is a method by which one party (the prover) can prove to another party (the verifier) that a given statement is true without conveying additional information apart from the fact that the statement is true.</w:t>
            </w:r>
          </w:p>
        </w:tc>
        <w:tc>
          <w:tcPr/>
          <w:p>
            <w:pPr>
              <w:pStyle w:val="Compact"/>
              <w:jc w:val="left"/>
            </w:pPr>
            <w:r>
              <w:t xml:space="preserve">PROPOSED</w:t>
            </w:r>
          </w:p>
        </w:tc>
      </w:tr>
      <w:tr>
        <w:tc>
          <w:tcPr/>
          <w:p>
            <w:pPr>
              <w:pStyle w:val="Compact"/>
              <w:jc w:val="left"/>
            </w:pPr>
            <w:r>
              <w:rPr>
                <w:bCs/>
                <w:b/>
              </w:rPr>
              <w:t xml:space="preserve">Storage</w:t>
            </w:r>
          </w:p>
        </w:tc>
        <w:tc>
          <w:tcPr/>
          <w:p>
            <w:pPr>
              <w:pStyle w:val="Compact"/>
              <w:jc w:val="left"/>
            </w:pPr>
            <w:r>
              <w:t xml:space="preserve">TO DO</w:t>
            </w:r>
          </w:p>
        </w:tc>
        <w:tc>
          <w:tcPr/>
          <w:p>
            <w:pPr>
              <w:pStyle w:val="Compact"/>
              <w:jc w:val="left"/>
            </w:pPr>
            <w:r>
              <w:t xml:space="preserve">PROPOSED</w:t>
            </w:r>
          </w:p>
        </w:tc>
      </w:tr>
      <w:tr>
        <w:tc>
          <w:tcPr/>
          <w:p>
            <w:pPr>
              <w:pStyle w:val="Compact"/>
              <w:jc w:val="left"/>
            </w:pPr>
            <w:r>
              <w:rPr>
                <w:bCs/>
                <w:b/>
              </w:rPr>
              <w:t xml:space="preserve">Schema Object</w:t>
            </w:r>
          </w:p>
        </w:tc>
        <w:tc>
          <w:tcPr/>
          <w:p>
            <w:pPr>
              <w:pStyle w:val="Compact"/>
              <w:jc w:val="left"/>
            </w:pPr>
            <w:r>
              <w:rPr>
                <w:rStyle w:val="VerbatimChar"/>
              </w:rPr>
              <w:t xml:space="preserve">A Schema object is used to list a set of attributes and data types. Issuers of Verifiable Credentials may reference schemas within Credentials they issue in order to provide a layer of semantic interoperability with other issuers utilising the same schema.</w:t>
            </w:r>
          </w:p>
        </w:tc>
        <w:tc>
          <w:tcPr/>
          <w:p>
            <w:pPr>
              <w:pStyle w:val="Compact"/>
              <w:jc w:val="left"/>
            </w:pPr>
            <w:r>
              <w:t xml:space="preserve">PROPOSED</w:t>
            </w:r>
          </w:p>
        </w:tc>
      </w:tr>
      <w:tr>
        <w:tc>
          <w:tcPr/>
          <w:p>
            <w:pPr>
              <w:pStyle w:val="Compact"/>
              <w:jc w:val="left"/>
            </w:pPr>
            <w:r>
              <w:rPr>
                <w:bCs/>
                <w:b/>
              </w:rPr>
              <w:t xml:space="preserve">Credential Format</w:t>
            </w:r>
          </w:p>
        </w:tc>
        <w:tc>
          <w:tcPr/>
          <w:p>
            <w:pPr>
              <w:pStyle w:val="Compact"/>
              <w:jc w:val="left"/>
            </w:pPr>
            <w:r>
              <w:rPr>
                <w:rStyle w:val="VerbatimChar"/>
              </w:rPr>
              <w:t xml:space="preserve">A Credential Format is used to specify: 1. Identifier of the credential issuer, 2. Schema of issued credential. 3. Keys used to sign claims within the credential 4. Cryptographic methods used. 5. Revocation methods (optional)</w:t>
            </w:r>
          </w:p>
        </w:tc>
        <w:tc>
          <w:tcPr/>
          <w:p>
            <w:pPr>
              <w:pStyle w:val="Compact"/>
              <w:jc w:val="left"/>
            </w:pPr>
            <w:hyperlink r:id="rId27">
              <w:r>
                <w:rPr>
                  <w:rStyle w:val="Hyperlink"/>
                </w:rPr>
                <w:t xml:space="preserve">DRAFT</w:t>
              </w:r>
            </w:hyperlink>
          </w:p>
        </w:tc>
      </w:tr>
      <w:tr>
        <w:tc>
          <w:tcPr/>
          <w:p>
            <w:pPr>
              <w:pStyle w:val="Compact"/>
              <w:jc w:val="left"/>
            </w:pPr>
            <w:r>
              <w:rPr>
                <w:bCs/>
                <w:b/>
              </w:rPr>
              <w:t xml:space="preserve">Credential Proof</w:t>
            </w:r>
          </w:p>
        </w:tc>
        <w:tc>
          <w:tcPr/>
          <w:p>
            <w:pPr>
              <w:pStyle w:val="Compact"/>
              <w:jc w:val="left"/>
            </w:pPr>
            <w:r>
              <w:rPr>
                <w:rStyle w:val="VerbatimChar"/>
              </w:rPr>
              <w:t xml:space="preserve">see Cryptographic Proof</w:t>
            </w:r>
          </w:p>
        </w:tc>
        <w:tc>
          <w:tcPr/>
          <w:p>
            <w:pPr>
              <w:pStyle w:val="Compact"/>
              <w:jc w:val="left"/>
            </w:pPr>
            <w:r>
              <w:t xml:space="preserve">TODO</w:t>
            </w:r>
          </w:p>
        </w:tc>
      </w:tr>
      <w:tr>
        <w:tc>
          <w:tcPr/>
          <w:p>
            <w:pPr>
              <w:pStyle w:val="Compact"/>
              <w:jc w:val="left"/>
            </w:pPr>
            <w:r>
              <w:rPr>
                <w:bCs/>
                <w:b/>
              </w:rPr>
              <w:t xml:space="preserve">Credential Exchange</w:t>
            </w:r>
          </w:p>
        </w:tc>
        <w:tc>
          <w:tcPr/>
          <w:p>
            <w:pPr>
              <w:pStyle w:val="Compact"/>
              <w:jc w:val="left"/>
            </w:pPr>
            <w:r>
              <w:rPr>
                <w:rStyle w:val="VerbatimChar"/>
              </w:rPr>
              <w:t xml:space="preserve">Credential Exchange is the set of protocols required to 1. Issue a Credential to a Holder, 2) Present a Proof to a Verifier</w:t>
            </w:r>
          </w:p>
        </w:tc>
        <w:tc>
          <w:tcPr/>
          <w:p>
            <w:pPr>
              <w:pStyle w:val="Compact"/>
              <w:jc w:val="left"/>
            </w:pPr>
            <w:r>
              <w:t xml:space="preserve">TODO</w:t>
            </w:r>
          </w:p>
        </w:tc>
      </w:tr>
      <w:tr>
        <w:tc>
          <w:tcPr/>
          <w:p>
            <w:pPr>
              <w:pStyle w:val="Compact"/>
              <w:jc w:val="left"/>
            </w:pPr>
            <w:r>
              <w:rPr>
                <w:bCs/>
                <w:b/>
              </w:rPr>
              <w:t xml:space="preserve">Credential Binding</w:t>
            </w:r>
          </w:p>
        </w:tc>
        <w:tc>
          <w:tcPr/>
          <w:p>
            <w:pPr>
              <w:pStyle w:val="Compact"/>
              <w:jc w:val="left"/>
            </w:pPr>
            <w:r>
              <w:rPr>
                <w:rStyle w:val="VerbatimChar"/>
              </w:rPr>
              <w:t xml:space="preserve">Credential Binding is the process of associating a Credential issued to a Holder</w:t>
            </w:r>
          </w:p>
        </w:tc>
        <w:tc>
          <w:tcPr/>
          <w:p>
            <w:pPr>
              <w:pStyle w:val="Compact"/>
              <w:jc w:val="left"/>
            </w:pPr>
            <w:r>
              <w:t xml:space="preserve">TODO</w:t>
            </w:r>
          </w:p>
        </w:tc>
      </w:tr>
      <w:tr>
        <w:tc>
          <w:tcPr/>
          <w:p>
            <w:pPr>
              <w:pStyle w:val="Compact"/>
              <w:jc w:val="left"/>
            </w:pPr>
            <w:r>
              <w:rPr>
                <w:bCs/>
                <w:b/>
              </w:rPr>
              <w:t xml:space="preserve">Credential Data Model</w:t>
            </w:r>
          </w:p>
        </w:tc>
        <w:tc>
          <w:tcPr/>
          <w:p>
            <w:pPr>
              <w:pStyle w:val="Compact"/>
              <w:jc w:val="left"/>
            </w:pPr>
            <w:r>
              <w:t xml:space="preserve">A credential data model organizes elements of data and standardizes how they relate to one another and to the properties of real-world</w:t>
            </w:r>
          </w:p>
        </w:tc>
        <w:tc>
          <w:tcPr/>
          <w:p>
            <w:pPr>
              <w:pStyle w:val="Compact"/>
              <w:jc w:val="left"/>
            </w:pPr>
            <w:r>
              <w:t xml:space="preserve">PROPOSED</w:t>
            </w:r>
          </w:p>
        </w:tc>
      </w:tr>
      <w:tr>
        <w:tc>
          <w:tcPr/>
          <w:p>
            <w:pPr>
              <w:pStyle w:val="Compact"/>
              <w:jc w:val="left"/>
            </w:pPr>
            <w:r>
              <w:rPr>
                <w:bCs/>
                <w:b/>
              </w:rPr>
              <w:t xml:space="preserve">DID Methods</w:t>
            </w:r>
          </w:p>
        </w:tc>
        <w:tc>
          <w:tcPr/>
          <w:p>
            <w:pPr>
              <w:pStyle w:val="Compact"/>
              <w:jc w:val="left"/>
            </w:pPr>
            <w:r>
              <w:t xml:space="preserve">description</w:t>
            </w:r>
          </w:p>
        </w:tc>
        <w:tc>
          <w:tcPr/>
          <w:p>
            <w:pPr>
              <w:pStyle w:val="Compact"/>
              <w:jc w:val="left"/>
            </w:pPr>
            <w:r>
              <w:t xml:space="preserve">TODO</w:t>
            </w:r>
          </w:p>
        </w:tc>
      </w:tr>
      <w:tr>
        <w:tc>
          <w:tcPr/>
          <w:p>
            <w:pPr>
              <w:pStyle w:val="Compact"/>
              <w:jc w:val="left"/>
            </w:pPr>
            <w:r>
              <w:rPr>
                <w:bCs/>
                <w:b/>
              </w:rPr>
              <w:t xml:space="preserve">Revocation Registry</w:t>
            </w:r>
          </w:p>
        </w:tc>
        <w:tc>
          <w:tcPr/>
          <w:p>
            <w:pPr>
              <w:pStyle w:val="Compact"/>
              <w:jc w:val="left"/>
            </w:pPr>
            <w:r>
              <w:rPr>
                <w:rStyle w:val="VerbatimChar"/>
              </w:rPr>
              <w:t xml:space="preserve">A Revocation Registry contains information required for verifiers to verify whether a revokable verifiable credential has been revoked by the issuer since issuance.</w:t>
            </w:r>
          </w:p>
        </w:tc>
        <w:tc>
          <w:tcPr/>
          <w:p>
            <w:pPr>
              <w:pStyle w:val="Compact"/>
              <w:jc w:val="left"/>
            </w:pPr>
            <w:r>
              <w:t xml:space="preserve">PROPOSED</w:t>
            </w:r>
          </w:p>
        </w:tc>
      </w:tr>
      <w:tr>
        <w:tc>
          <w:tcPr/>
          <w:p>
            <w:pPr>
              <w:pStyle w:val="Compact"/>
              <w:jc w:val="left"/>
            </w:pPr>
            <w:r>
              <w:rPr>
                <w:bCs/>
                <w:b/>
              </w:rPr>
              <w:t xml:space="preserve">Trust Registry</w:t>
            </w:r>
          </w:p>
        </w:tc>
        <w:tc>
          <w:tcPr/>
          <w:p>
            <w:pPr>
              <w:pStyle w:val="Compact"/>
              <w:jc w:val="left"/>
            </w:pPr>
            <w:r>
              <w:rPr>
                <w:rStyle w:val="VerbatimChar"/>
              </w:rPr>
              <w:t xml:space="preserve">A Trust Registry answers queries about whether a particular party is trusted and authorized to perform a particular action in a particular context. A system role that mediate the creation and verification of identifiers, keys, and other relevant data, such as verifiable credential schemas, revocation registries and issuer public keys.</w:t>
            </w:r>
          </w:p>
        </w:tc>
        <w:tc>
          <w:tcPr/>
          <w:p>
            <w:pPr>
              <w:pStyle w:val="Compact"/>
              <w:jc w:val="left"/>
            </w:pPr>
            <w:r>
              <w:t xml:space="preserve">PROPOSED</w:t>
            </w:r>
          </w:p>
        </w:tc>
      </w:tr>
      <w:tr>
        <w:tc>
          <w:tcPr/>
          <w:p>
            <w:pPr>
              <w:pStyle w:val="Compact"/>
              <w:jc w:val="left"/>
            </w:pPr>
            <w:r>
              <w:rPr>
                <w:bCs/>
                <w:b/>
              </w:rPr>
              <w:t xml:space="preserve">Messaging Protocol</w:t>
            </w:r>
          </w:p>
        </w:tc>
        <w:tc>
          <w:tcPr/>
          <w:p>
            <w:pPr>
              <w:pStyle w:val="Compact"/>
              <w:jc w:val="left"/>
            </w:pPr>
            <w:r>
              <w:rPr>
                <w:rStyle w:val="VerbatimChar"/>
              </w:rPr>
              <w:t xml:space="preserve">A Messaging Protocol supports identifier-based relationships, credential exchanges, and specialized application workflows in a manner that ensures privacy and security.</w:t>
            </w:r>
          </w:p>
        </w:tc>
        <w:tc>
          <w:tcPr/>
          <w:p>
            <w:pPr>
              <w:pStyle w:val="Compact"/>
              <w:jc w:val="left"/>
            </w:pPr>
            <w:r>
              <w:t xml:space="preserve">PROPOSED</w:t>
            </w:r>
          </w:p>
        </w:tc>
      </w:tr>
    </w:tbl>
    <w:bookmarkStart w:id="28" w:name="Xf3494e489725663cb11dad0b6376a86440492dc"/>
    <w:p>
      <w:pPr>
        <w:pStyle w:val="Heading3"/>
      </w:pPr>
      <w:r>
        <w:rPr>
          <w:rStyle w:val="SectionNumber"/>
        </w:rPr>
        <w:t xml:space="preserve">2.1.1</w:t>
      </w:r>
      <w:r>
        <w:tab/>
      </w:r>
      <w:r>
        <w:t xml:space="preserve">Other Objects of Conformity Assessment for consideration (from DHS)</w:t>
      </w:r>
    </w:p>
    <w:p>
      <w:pPr>
        <w:numPr>
          <w:ilvl w:val="0"/>
          <w:numId w:val="1001"/>
        </w:numPr>
        <w:pStyle w:val="Compact"/>
      </w:pPr>
      <w:r>
        <w:t xml:space="preserve">Signing Algorithm</w:t>
      </w:r>
    </w:p>
    <w:p>
      <w:pPr>
        <w:numPr>
          <w:ilvl w:val="0"/>
          <w:numId w:val="1001"/>
        </w:numPr>
        <w:pStyle w:val="Compact"/>
      </w:pPr>
      <w:r>
        <w:t xml:space="preserve">Revocation Algorithm</w:t>
      </w:r>
    </w:p>
    <w:p>
      <w:pPr>
        <w:numPr>
          <w:ilvl w:val="0"/>
          <w:numId w:val="1001"/>
        </w:numPr>
        <w:pStyle w:val="Compact"/>
      </w:pPr>
      <w:r>
        <w:t xml:space="preserve">Key Management - Issuer</w:t>
      </w:r>
    </w:p>
    <w:p>
      <w:pPr>
        <w:numPr>
          <w:ilvl w:val="0"/>
          <w:numId w:val="1001"/>
        </w:numPr>
        <w:pStyle w:val="Compact"/>
      </w:pPr>
      <w:r>
        <w:t xml:space="preserve">Key Management - Holder</w:t>
      </w:r>
    </w:p>
    <w:p>
      <w:pPr>
        <w:numPr>
          <w:ilvl w:val="0"/>
          <w:numId w:val="1001"/>
        </w:numPr>
        <w:pStyle w:val="Compact"/>
      </w:pPr>
      <w:r>
        <w:t xml:space="preserve">Encoding Scheme</w:t>
      </w:r>
    </w:p>
    <w:p>
      <w:pPr>
        <w:numPr>
          <w:ilvl w:val="0"/>
          <w:numId w:val="1001"/>
        </w:numPr>
        <w:pStyle w:val="Compact"/>
      </w:pPr>
      <w:r>
        <w:t xml:space="preserve">Rich Schemas / Semantic</w:t>
      </w:r>
    </w:p>
    <w:p>
      <w:pPr>
        <w:numPr>
          <w:ilvl w:val="0"/>
          <w:numId w:val="1001"/>
        </w:numPr>
        <w:pStyle w:val="Compact"/>
      </w:pPr>
      <w:r>
        <w:t xml:space="preserve">Selective Disclosure</w:t>
      </w:r>
    </w:p>
    <w:p>
      <w:pPr>
        <w:numPr>
          <w:ilvl w:val="0"/>
          <w:numId w:val="1001"/>
        </w:numPr>
        <w:pStyle w:val="Compact"/>
      </w:pPr>
      <w:r>
        <w:t xml:space="preserve">Predicates</w:t>
      </w:r>
    </w:p>
    <w:bookmarkEnd w:id="28"/>
    <w:bookmarkEnd w:id="29"/>
    <w:bookmarkStart w:id="30" w:name="recognized-bodies"/>
    <w:p>
      <w:pPr>
        <w:pStyle w:val="Heading2"/>
      </w:pPr>
      <w:r>
        <w:rPr>
          <w:rStyle w:val="SectionNumber"/>
        </w:rPr>
        <w:t xml:space="preserve">2.2</w:t>
      </w:r>
      <w:r>
        <w:tab/>
      </w:r>
      <w:r>
        <w:t xml:space="preserve">Recognized Bodies</w:t>
      </w:r>
    </w:p>
    <w:p>
      <w:pPr>
        <w:pStyle w:val="FirstParagraph"/>
      </w:pPr>
      <w:r>
        <w:t xml:space="preserve">A recognized body is any organization that develops a standards, specifications or recommendation that is used is conjuction with conformity assessment scheme.</w:t>
      </w:r>
    </w:p>
    <w:p>
      <w:pPr>
        <w:pStyle w:val="BodyText"/>
      </w:pPr>
      <w:r>
        <w:t xml:space="preserve">(To be reviewed:)</w:t>
      </w:r>
      <w:r>
        <w:t xml:space="preserve"> </w:t>
      </w:r>
      <w:r>
        <w:t xml:space="preserve">* DIF</w:t>
      </w:r>
      <w:r>
        <w:t xml:space="preserve"> </w:t>
      </w:r>
      <w:r>
        <w:t xml:space="preserve">* FIDO</w:t>
      </w:r>
      <w:r>
        <w:t xml:space="preserve"> </w:t>
      </w:r>
      <w:r>
        <w:t xml:space="preserve">* Hyperledger</w:t>
      </w:r>
      <w:r>
        <w:t xml:space="preserve"> </w:t>
      </w:r>
      <w:r>
        <w:t xml:space="preserve">* IETF</w:t>
      </w:r>
      <w:r>
        <w:t xml:space="preserve"> </w:t>
      </w:r>
      <w:r>
        <w:t xml:space="preserve">* ISO</w:t>
      </w:r>
      <w:r>
        <w:t xml:space="preserve"> </w:t>
      </w:r>
      <w:r>
        <w:t xml:space="preserve">* ICAO</w:t>
      </w:r>
      <w:r>
        <w:t xml:space="preserve"> </w:t>
      </w:r>
      <w:r>
        <w:t xml:space="preserve">* ToIP</w:t>
      </w:r>
      <w:r>
        <w:t xml:space="preserve"> </w:t>
      </w:r>
      <w:r>
        <w:t xml:space="preserve">* W3C</w:t>
      </w:r>
      <w:r>
        <w:t xml:space="preserve"> </w:t>
      </w:r>
      <w:r>
        <w:t xml:space="preserve">*</w:t>
      </w:r>
    </w:p>
    <w:bookmarkEnd w:id="30"/>
    <w:bookmarkEnd w:id="31"/>
    <w:bookmarkStart w:id="65" w:name="Xd9168ebb2e1ed77d5f8e4f3f39d15983e14fa6c"/>
    <w:p>
      <w:pPr>
        <w:pStyle w:val="Heading1"/>
      </w:pPr>
      <w:r>
        <w:rPr>
          <w:rStyle w:val="SectionNumber"/>
        </w:rPr>
        <w:t xml:space="preserve">3</w:t>
      </w:r>
      <w:r>
        <w:tab/>
      </w:r>
      <w:r>
        <w:t xml:space="preserve">Object of Conformity Assessment Specification: Digital Credential</w:t>
      </w:r>
    </w:p>
    <w:bookmarkStart w:id="36" w:name="X3ec30eb26b376a3ac71ec5a2c2d221dc2a89dbc"/>
    <w:p>
      <w:pPr>
        <w:pStyle w:val="Heading2"/>
      </w:pPr>
      <w:r>
        <w:rPr>
          <w:rStyle w:val="SectionNumber"/>
        </w:rPr>
        <w:t xml:space="preserve">3.1</w:t>
      </w:r>
      <w:r>
        <w:tab/>
      </w:r>
      <w:r>
        <w:t xml:space="preserve">Part 1: Object of Conformity Assessment Definition</w:t>
      </w:r>
    </w:p>
    <w:p>
      <w:pPr>
        <w:pStyle w:val="FirstParagraph"/>
      </w:pPr>
      <w:r>
        <w:rPr>
          <w:iCs/>
          <w:i/>
        </w:rPr>
        <w:t xml:space="preserve">Normative definition and description used for the purposes of the object of conformity assessment.</w:t>
      </w:r>
    </w:p>
    <w:p>
      <w:pPr>
        <w:pStyle w:val="BlockText"/>
      </w:pPr>
      <w:r>
        <w:rPr>
          <w:bCs/>
          <w:b/>
        </w:rPr>
        <w:t xml:space="preserve">Digital Credential</w:t>
      </w:r>
      <w:r>
        <w:t xml:space="preserve"> </w:t>
      </w:r>
      <w:r>
        <w:t xml:space="preserve">is a portable digital record about a subject (e.g., organization, individual, product) that can be held and shared through a user-controlled wallet. It is the digital representation of a traditional physical certificate or information.</w:t>
      </w:r>
      <w:r>
        <w:t xml:space="preserve"> </w:t>
      </w:r>
      <w:hyperlink r:id="rId32">
        <w:r>
          <w:rPr>
            <w:rStyle w:val="Hyperlink"/>
          </w:rPr>
          <w:t xml:space="preserve">Statement of Work</w:t>
        </w:r>
      </w:hyperlink>
    </w:p>
    <w:bookmarkStart w:id="35" w:name="related-definitions"/>
    <w:p>
      <w:pPr>
        <w:pStyle w:val="Heading3"/>
      </w:pPr>
      <w:r>
        <w:rPr>
          <w:rStyle w:val="SectionNumber"/>
        </w:rPr>
        <w:t xml:space="preserve">3.1.1</w:t>
      </w:r>
      <w:r>
        <w:tab/>
      </w:r>
      <w:r>
        <w:t xml:space="preserve">Related Definitions</w:t>
      </w:r>
    </w:p>
    <w:p>
      <w:pPr>
        <w:pStyle w:val="FirstParagraph"/>
      </w:pPr>
      <w:r>
        <w:t xml:space="preserve">Non-normative definitions which may assist in interpretation and application of the conformity.</w:t>
      </w:r>
    </w:p>
    <w:p>
      <w:pPr>
        <w:numPr>
          <w:ilvl w:val="0"/>
          <w:numId w:val="1002"/>
        </w:numPr>
      </w:pPr>
      <w:r>
        <w:rPr>
          <w:bCs/>
          <w:b/>
        </w:rPr>
        <w:t xml:space="preserve">Credential</w:t>
      </w:r>
      <w:r>
        <w:t xml:space="preserve"> </w:t>
      </w:r>
      <w:hyperlink r:id="rId33">
        <w:r>
          <w:rPr>
            <w:rStyle w:val="Hyperlink"/>
          </w:rPr>
          <w:t xml:space="preserve">103-1</w:t>
        </w:r>
      </w:hyperlink>
      <w:r>
        <w:t xml:space="preserve"> </w:t>
      </w:r>
      <w:r>
        <w:t xml:space="preserve">an assertion of identity, qualification, competence, authority, rights, privileges, permissions, status, eligibility, or asset ownership (or a combination of these). A Credential contains a set of one or more Claims asserted about one or more Subjects.</w:t>
      </w:r>
    </w:p>
    <w:p>
      <w:pPr>
        <w:numPr>
          <w:ilvl w:val="0"/>
          <w:numId w:val="1002"/>
        </w:numPr>
      </w:pPr>
      <w:r>
        <w:rPr>
          <w:bCs/>
          <w:b/>
        </w:rPr>
        <w:t xml:space="preserve">Verifiable Credential</w:t>
      </w:r>
      <w:r>
        <w:t xml:space="preserve"> </w:t>
      </w:r>
      <w:hyperlink r:id="rId34">
        <w:r>
          <w:rPr>
            <w:rStyle w:val="Hyperlink"/>
          </w:rPr>
          <w:t xml:space="preserve">California</w:t>
        </w:r>
      </w:hyperlink>
      <w:r>
        <w:t xml:space="preserve"> </w:t>
      </w:r>
      <w:r>
        <w:t xml:space="preserve">means a cryptographically secure set of information that is both of the following: (A) Created in accordance with open standards that comply with all existing privacy protections. (B) Shared through a user-controlled, portable means that can be authenticated through publicly available services.</w:t>
      </w:r>
    </w:p>
    <w:p>
      <w:pPr>
        <w:pStyle w:val="FirstParagraph"/>
      </w:pPr>
      <w:r>
        <w:t xml:space="preserve">Further definitions provided by the evaluator or vendor:</w:t>
      </w:r>
      <w:r>
        <w:t xml:space="preserve"> </w:t>
      </w:r>
      <w:r>
        <w:t xml:space="preserve">* Relevant definitions</w:t>
      </w:r>
    </w:p>
    <w:bookmarkEnd w:id="35"/>
    <w:bookmarkEnd w:id="36"/>
    <w:bookmarkStart w:id="40" w:name="part-2-use-cases"/>
    <w:p>
      <w:pPr>
        <w:pStyle w:val="Heading2"/>
      </w:pPr>
      <w:r>
        <w:rPr>
          <w:rStyle w:val="SectionNumber"/>
        </w:rPr>
        <w:t xml:space="preserve">3.2</w:t>
      </w:r>
      <w:r>
        <w:tab/>
      </w:r>
      <w:r>
        <w:t xml:space="preserve">Part 2: Use Cases</w:t>
      </w:r>
    </w:p>
    <w:p>
      <w:pPr>
        <w:pStyle w:val="FirstParagraph"/>
      </w:pPr>
      <w:r>
        <w:rPr>
          <w:iCs/>
          <w:i/>
        </w:rPr>
        <w:t xml:space="preserve">A description of an appropriate</w:t>
      </w:r>
      <w:r>
        <w:rPr>
          <w:iCs/>
          <w:i/>
        </w:rPr>
        <w:t xml:space="preserve"> </w:t>
      </w:r>
      <w:hyperlink r:id="rId37">
        <w:r>
          <w:rPr>
            <w:rStyle w:val="Hyperlink"/>
            <w:iCs/>
            <w:i/>
          </w:rPr>
          <w:t xml:space="preserve">use case</w:t>
        </w:r>
      </w:hyperlink>
      <w:r>
        <w:rPr>
          <w:iCs/>
          <w:i/>
        </w:rPr>
        <w:t xml:space="preserve"> </w:t>
      </w:r>
      <w:r>
        <w:rPr>
          <w:iCs/>
          <w:i/>
        </w:rPr>
        <w:t xml:space="preserve">that situates the context where the object of conformity is being used.</w:t>
      </w:r>
    </w:p>
    <w:bookmarkStart w:id="38" w:name="conformity-asssessment-requirements"/>
    <w:p>
      <w:pPr>
        <w:pStyle w:val="Heading3"/>
      </w:pPr>
      <w:r>
        <w:rPr>
          <w:rStyle w:val="SectionNumber"/>
        </w:rPr>
        <w:t xml:space="preserve">3.2.1</w:t>
      </w:r>
      <w:r>
        <w:tab/>
      </w:r>
      <w:r>
        <w:t xml:space="preserve">Conformity Asssessment Requirements</w:t>
      </w:r>
    </w:p>
    <w:p>
      <w:pPr>
        <w:numPr>
          <w:ilvl w:val="0"/>
          <w:numId w:val="1003"/>
        </w:numPr>
        <w:pStyle w:val="Compact"/>
      </w:pPr>
      <w:r>
        <w:t xml:space="preserve">A relevant use case MUST be provided to illustrate how the object of conformity behaves in context.</w:t>
      </w:r>
    </w:p>
    <w:bookmarkEnd w:id="38"/>
    <w:bookmarkStart w:id="39" w:name="additional-guidance"/>
    <w:p>
      <w:pPr>
        <w:pStyle w:val="Heading3"/>
      </w:pPr>
      <w:r>
        <w:rPr>
          <w:rStyle w:val="SectionNumber"/>
        </w:rPr>
        <w:t xml:space="preserve">3.2.2</w:t>
      </w:r>
      <w:r>
        <w:tab/>
      </w:r>
      <w:r>
        <w:t xml:space="preserve">Additional Guidance</w:t>
      </w:r>
    </w:p>
    <w:p>
      <w:pPr>
        <w:numPr>
          <w:ilvl w:val="0"/>
          <w:numId w:val="1004"/>
        </w:numPr>
        <w:pStyle w:val="Compact"/>
      </w:pPr>
      <w:r>
        <w:t xml:space="preserve">…</w:t>
      </w:r>
    </w:p>
    <w:bookmarkEnd w:id="39"/>
    <w:bookmarkEnd w:id="40"/>
    <w:bookmarkStart w:id="43" w:name="X93850d38f3124298505291288a614895c9356ca"/>
    <w:p>
      <w:pPr>
        <w:pStyle w:val="Heading2"/>
      </w:pPr>
      <w:r>
        <w:rPr>
          <w:rStyle w:val="SectionNumber"/>
        </w:rPr>
        <w:t xml:space="preserve">3.3</w:t>
      </w:r>
      <w:r>
        <w:tab/>
      </w:r>
      <w:r>
        <w:t xml:space="preserve">Part 3: Selection of Product, Service and Process</w:t>
      </w:r>
    </w:p>
    <w:p>
      <w:pPr>
        <w:pStyle w:val="FirstParagraph"/>
      </w:pPr>
      <w:r>
        <w:rPr>
          <w:iCs/>
          <w:i/>
        </w:rPr>
        <w:t xml:space="preserve">Selection of the product, service and/or process that is being tested in relation to the specified requirements.</w:t>
      </w:r>
    </w:p>
    <w:bookmarkStart w:id="41" w:name="conformity-asssessment-requirements-1"/>
    <w:p>
      <w:pPr>
        <w:pStyle w:val="Heading3"/>
      </w:pPr>
      <w:r>
        <w:rPr>
          <w:rStyle w:val="SectionNumber"/>
        </w:rPr>
        <w:t xml:space="preserve">3.3.1</w:t>
      </w:r>
      <w:r>
        <w:tab/>
      </w:r>
      <w:r>
        <w:t xml:space="preserve">Conformity Asssessment Requirements</w:t>
      </w:r>
    </w:p>
    <w:p>
      <w:pPr>
        <w:numPr>
          <w:ilvl w:val="0"/>
          <w:numId w:val="1005"/>
        </w:numPr>
        <w:pStyle w:val="Compact"/>
      </w:pPr>
      <w:r>
        <w:t xml:space="preserve">A description of the components being assessed MUST be provided that demonstrates the object of conformity assessment</w:t>
      </w:r>
    </w:p>
    <w:bookmarkEnd w:id="41"/>
    <w:bookmarkStart w:id="42" w:name="additional-guidance-1"/>
    <w:p>
      <w:pPr>
        <w:pStyle w:val="Heading3"/>
      </w:pPr>
      <w:r>
        <w:rPr>
          <w:rStyle w:val="SectionNumber"/>
        </w:rPr>
        <w:t xml:space="preserve">3.3.2</w:t>
      </w:r>
      <w:r>
        <w:tab/>
      </w:r>
      <w:r>
        <w:t xml:space="preserve">Additional Guidance</w:t>
      </w:r>
    </w:p>
    <w:p>
      <w:pPr>
        <w:numPr>
          <w:ilvl w:val="0"/>
          <w:numId w:val="1006"/>
        </w:numPr>
        <w:pStyle w:val="Compact"/>
      </w:pPr>
      <w:r>
        <w:t xml:space="preserve">…</w:t>
      </w:r>
    </w:p>
    <w:bookmarkEnd w:id="42"/>
    <w:bookmarkEnd w:id="43"/>
    <w:bookmarkStart w:id="47" w:name="part-4-determination-of-activities"/>
    <w:p>
      <w:pPr>
        <w:pStyle w:val="Heading2"/>
      </w:pPr>
      <w:r>
        <w:rPr>
          <w:rStyle w:val="SectionNumber"/>
        </w:rPr>
        <w:t xml:space="preserve">3.4</w:t>
      </w:r>
      <w:r>
        <w:tab/>
      </w:r>
      <w:r>
        <w:t xml:space="preserve">Part 4: Determination of Activities</w:t>
      </w:r>
    </w:p>
    <w:p>
      <w:pPr>
        <w:pStyle w:val="FirstParagraph"/>
      </w:pPr>
      <w:r>
        <w:rPr>
          <w:iCs/>
          <w:i/>
        </w:rPr>
        <w:t xml:space="preserve">Determination of activities to obtain information regarding the fulfillment of the specified requirements. For the purposes of this scheme, activities are the</w:t>
      </w:r>
      <w:r>
        <w:rPr>
          <w:iCs/>
          <w:i/>
        </w:rPr>
        <w:t xml:space="preserve"> </w:t>
      </w:r>
      <w:hyperlink r:id="rId44">
        <w:r>
          <w:rPr>
            <w:rStyle w:val="Hyperlink"/>
            <w:iCs/>
            <w:i/>
          </w:rPr>
          <w:t xml:space="preserve">methods of test</w:t>
        </w:r>
      </w:hyperlink>
      <w:r>
        <w:rPr>
          <w:iCs/>
          <w:i/>
        </w:rPr>
        <w:t xml:space="preserve">.</w:t>
      </w:r>
    </w:p>
    <w:bookmarkStart w:id="45" w:name="conformity-asssessment-requirements-2"/>
    <w:p>
      <w:pPr>
        <w:pStyle w:val="Heading3"/>
      </w:pPr>
      <w:r>
        <w:rPr>
          <w:rStyle w:val="SectionNumber"/>
        </w:rPr>
        <w:t xml:space="preserve">3.4.1</w:t>
      </w:r>
      <w:r>
        <w:tab/>
      </w:r>
      <w:r>
        <w:t xml:space="preserve">Conformity Asssessment Requirements</w:t>
      </w:r>
    </w:p>
    <w:p>
      <w:pPr>
        <w:numPr>
          <w:ilvl w:val="0"/>
          <w:numId w:val="1007"/>
        </w:numPr>
        <w:pStyle w:val="Compact"/>
      </w:pPr>
      <w:r>
        <w:t xml:space="preserve">Digital credentials SHALL be tamper-evident.</w:t>
      </w:r>
    </w:p>
    <w:p>
      <w:pPr>
        <w:numPr>
          <w:ilvl w:val="0"/>
          <w:numId w:val="1007"/>
        </w:numPr>
        <w:pStyle w:val="Compact"/>
      </w:pPr>
      <w:r>
        <w:t xml:space="preserve">The authorship of a digital credential SHALL be cryptographically verified.</w:t>
      </w:r>
    </w:p>
    <w:p>
      <w:pPr>
        <w:numPr>
          <w:ilvl w:val="0"/>
          <w:numId w:val="1007"/>
        </w:numPr>
        <w:pStyle w:val="Compact"/>
      </w:pPr>
      <w:r>
        <w:t xml:space="preserve">Method of test MUST prove that is digital credential is tamper-evident</w:t>
      </w:r>
    </w:p>
    <w:bookmarkEnd w:id="45"/>
    <w:bookmarkStart w:id="46" w:name="additional-guidance-2"/>
    <w:p>
      <w:pPr>
        <w:pStyle w:val="Heading3"/>
      </w:pPr>
      <w:r>
        <w:rPr>
          <w:rStyle w:val="SectionNumber"/>
        </w:rPr>
        <w:t xml:space="preserve">3.4.2</w:t>
      </w:r>
      <w:r>
        <w:tab/>
      </w:r>
      <w:r>
        <w:t xml:space="preserve">Additional Guidance</w:t>
      </w:r>
    </w:p>
    <w:p>
      <w:pPr>
        <w:numPr>
          <w:ilvl w:val="0"/>
          <w:numId w:val="1008"/>
        </w:numPr>
        <w:pStyle w:val="Compact"/>
      </w:pPr>
      <w:r>
        <w:t xml:space="preserve">…</w:t>
      </w:r>
    </w:p>
    <w:bookmarkEnd w:id="46"/>
    <w:bookmarkEnd w:id="47"/>
    <w:bookmarkStart w:id="51" w:name="part-5-determination-of-outputs"/>
    <w:p>
      <w:pPr>
        <w:pStyle w:val="Heading2"/>
      </w:pPr>
      <w:r>
        <w:rPr>
          <w:rStyle w:val="SectionNumber"/>
        </w:rPr>
        <w:t xml:space="preserve">3.5</w:t>
      </w:r>
      <w:r>
        <w:tab/>
      </w:r>
      <w:r>
        <w:t xml:space="preserve">Part 5: Determination of Outputs</w:t>
      </w:r>
    </w:p>
    <w:p>
      <w:pPr>
        <w:pStyle w:val="FirstParagraph"/>
      </w:pPr>
      <w:r>
        <w:rPr>
          <w:iCs/>
          <w:i/>
        </w:rPr>
        <w:t xml:space="preserve">Determination of</w:t>
      </w:r>
      <w:r>
        <w:rPr>
          <w:iCs/>
          <w:i/>
        </w:rPr>
        <w:t xml:space="preserve"> </w:t>
      </w:r>
      <w:hyperlink r:id="rId48">
        <w:r>
          <w:rPr>
            <w:rStyle w:val="Hyperlink"/>
            <w:iCs/>
            <w:i/>
          </w:rPr>
          <w:t xml:space="preserve">outputs</w:t>
        </w:r>
      </w:hyperlink>
      <w:r>
        <w:rPr>
          <w:iCs/>
          <w:i/>
        </w:rPr>
        <w:t xml:space="preserve"> </w:t>
      </w:r>
      <w:r>
        <w:rPr>
          <w:iCs/>
          <w:i/>
        </w:rPr>
        <w:t xml:space="preserve">that are used as input into the review, decision and attestation stage.</w:t>
      </w:r>
    </w:p>
    <w:bookmarkStart w:id="49" w:name="conformity-asssessment-requirements-3"/>
    <w:p>
      <w:pPr>
        <w:pStyle w:val="Heading3"/>
      </w:pPr>
      <w:r>
        <w:rPr>
          <w:rStyle w:val="SectionNumber"/>
        </w:rPr>
        <w:t xml:space="preserve">3.5.1</w:t>
      </w:r>
      <w:r>
        <w:tab/>
      </w:r>
      <w:r>
        <w:t xml:space="preserve">Conformity Asssessment Requirements</w:t>
      </w:r>
    </w:p>
    <w:p>
      <w:pPr>
        <w:numPr>
          <w:ilvl w:val="0"/>
          <w:numId w:val="1009"/>
        </w:numPr>
        <w:pStyle w:val="Compact"/>
      </w:pPr>
      <w:r>
        <w:t xml:space="preserve">TBD</w:t>
      </w:r>
    </w:p>
    <w:bookmarkEnd w:id="49"/>
    <w:bookmarkStart w:id="50" w:name="additional-guidance-3"/>
    <w:p>
      <w:pPr>
        <w:pStyle w:val="Heading3"/>
      </w:pPr>
      <w:r>
        <w:rPr>
          <w:rStyle w:val="SectionNumber"/>
        </w:rPr>
        <w:t xml:space="preserve">3.5.2</w:t>
      </w:r>
      <w:r>
        <w:tab/>
      </w:r>
      <w:r>
        <w:t xml:space="preserve">Additional Guidance</w:t>
      </w:r>
    </w:p>
    <w:p>
      <w:pPr>
        <w:numPr>
          <w:ilvl w:val="0"/>
          <w:numId w:val="1010"/>
        </w:numPr>
        <w:pStyle w:val="Compact"/>
      </w:pPr>
      <w:r>
        <w:t xml:space="preserve">…</w:t>
      </w:r>
    </w:p>
    <w:bookmarkEnd w:id="50"/>
    <w:bookmarkEnd w:id="51"/>
    <w:bookmarkStart w:id="55" w:name="part-6-review-decision"/>
    <w:p>
      <w:pPr>
        <w:pStyle w:val="Heading2"/>
      </w:pPr>
      <w:r>
        <w:rPr>
          <w:rStyle w:val="SectionNumber"/>
        </w:rPr>
        <w:t xml:space="preserve">3.6</w:t>
      </w:r>
      <w:r>
        <w:tab/>
      </w:r>
      <w:r>
        <w:t xml:space="preserve">Part 6: Review Decision</w:t>
      </w:r>
    </w:p>
    <w:bookmarkStart w:id="52" w:name="review"/>
    <w:p>
      <w:pPr>
        <w:pStyle w:val="Heading3"/>
      </w:pPr>
      <w:r>
        <w:rPr>
          <w:rStyle w:val="SectionNumber"/>
        </w:rPr>
        <w:t xml:space="preserve">3.6.1</w:t>
      </w:r>
      <w:r>
        <w:tab/>
      </w:r>
      <w:r>
        <w:t xml:space="preserve">Review</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52"/>
    <w:bookmarkStart w:id="53" w:name="conformity-asssessment-requirements-4"/>
    <w:p>
      <w:pPr>
        <w:pStyle w:val="Heading3"/>
      </w:pPr>
      <w:r>
        <w:rPr>
          <w:rStyle w:val="SectionNumber"/>
        </w:rPr>
        <w:t xml:space="preserve">3.6.2</w:t>
      </w:r>
      <w:r>
        <w:tab/>
      </w:r>
      <w:r>
        <w:t xml:space="preserve">Conformity Asssessment Requirements</w:t>
      </w:r>
    </w:p>
    <w:p>
      <w:pPr>
        <w:numPr>
          <w:ilvl w:val="0"/>
          <w:numId w:val="1011"/>
        </w:numPr>
        <w:pStyle w:val="Compact"/>
      </w:pPr>
      <w:r>
        <w:t xml:space="preserve">TBD</w:t>
      </w:r>
    </w:p>
    <w:bookmarkEnd w:id="53"/>
    <w:bookmarkStart w:id="54" w:name="additional-guidance-4"/>
    <w:p>
      <w:pPr>
        <w:pStyle w:val="Heading3"/>
      </w:pPr>
      <w:r>
        <w:rPr>
          <w:rStyle w:val="SectionNumber"/>
        </w:rPr>
        <w:t xml:space="preserve">3.6.3</w:t>
      </w:r>
      <w:r>
        <w:tab/>
      </w:r>
      <w:r>
        <w:t xml:space="preserve">Additional Guidance</w:t>
      </w:r>
    </w:p>
    <w:p>
      <w:pPr>
        <w:numPr>
          <w:ilvl w:val="0"/>
          <w:numId w:val="1012"/>
        </w:numPr>
        <w:pStyle w:val="Compact"/>
      </w:pPr>
      <w:r>
        <w:t xml:space="preserve">…</w:t>
      </w:r>
    </w:p>
    <w:bookmarkEnd w:id="54"/>
    <w:bookmarkEnd w:id="55"/>
    <w:bookmarkStart w:id="58" w:name="part-7attestation"/>
    <w:p>
      <w:pPr>
        <w:pStyle w:val="Heading2"/>
      </w:pPr>
      <w:r>
        <w:rPr>
          <w:rStyle w:val="SectionNumber"/>
        </w:rPr>
        <w:t xml:space="preserve">3.7</w:t>
      </w:r>
      <w:r>
        <w:tab/>
      </w:r>
      <w:r>
        <w:t xml:space="preserve">Part 7:Attestation</w:t>
      </w:r>
    </w:p>
    <w:p>
      <w:pPr>
        <w:pStyle w:val="FirstParagraph"/>
      </w:pPr>
      <w:r>
        <w:rPr>
          <w:iCs/>
          <w:i/>
        </w:rPr>
        <w:t xml:space="preserve">The creation of a</w:t>
      </w:r>
      <w:r>
        <w:rPr>
          <w:iCs/>
          <w:i/>
        </w:rPr>
        <w:t xml:space="preserve"> </w:t>
      </w:r>
      <w:r>
        <w:rPr>
          <w:iCs/>
          <w:i/>
        </w:rPr>
        <w:t xml:space="preserve">“</w:t>
      </w:r>
      <w:r>
        <w:rPr>
          <w:iCs/>
          <w:i/>
        </w:rPr>
        <w:t xml:space="preserve">statement of conformity</w:t>
      </w:r>
      <w:r>
        <w:rPr>
          <w:iCs/>
          <w:i/>
        </w:rPr>
        <w:t xml:space="preserve">”</w:t>
      </w:r>
      <w:r>
        <w:rPr>
          <w:iCs/>
          <w:i/>
        </w:rPr>
        <w:t xml:space="preserve">, which is a generic expression used to include all means of communicating that fulfilment of specified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can include non fulfilment of specified requirements.</w:t>
      </w:r>
    </w:p>
    <w:bookmarkStart w:id="56" w:name="conformity-asssessment-requirements-5"/>
    <w:p>
      <w:pPr>
        <w:pStyle w:val="Heading3"/>
      </w:pPr>
      <w:r>
        <w:rPr>
          <w:rStyle w:val="SectionNumber"/>
        </w:rPr>
        <w:t xml:space="preserve">3.7.1</w:t>
      </w:r>
      <w:r>
        <w:tab/>
      </w:r>
      <w:r>
        <w:t xml:space="preserve">Conformity Asssessment Requirements</w:t>
      </w:r>
    </w:p>
    <w:p>
      <w:pPr>
        <w:numPr>
          <w:ilvl w:val="0"/>
          <w:numId w:val="1013"/>
        </w:numPr>
        <w:pStyle w:val="Compact"/>
      </w:pPr>
      <w:r>
        <w:t xml:space="preserve">TBD</w:t>
      </w:r>
    </w:p>
    <w:bookmarkEnd w:id="56"/>
    <w:bookmarkStart w:id="57" w:name="additional-guidance-5"/>
    <w:p>
      <w:pPr>
        <w:pStyle w:val="Heading3"/>
      </w:pPr>
      <w:r>
        <w:rPr>
          <w:rStyle w:val="SectionNumber"/>
        </w:rPr>
        <w:t xml:space="preserve">3.7.2</w:t>
      </w:r>
      <w:r>
        <w:tab/>
      </w:r>
      <w:r>
        <w:t xml:space="preserve">Additional Guidance</w:t>
      </w:r>
    </w:p>
    <w:p>
      <w:pPr>
        <w:pStyle w:val="FirstParagraph"/>
      </w:pPr>
      <w:r>
        <w:t xml:space="preserve">…</w:t>
      </w:r>
    </w:p>
    <w:bookmarkEnd w:id="57"/>
    <w:bookmarkEnd w:id="58"/>
    <w:bookmarkStart w:id="64" w:name="part-8-other-considerations"/>
    <w:p>
      <w:pPr>
        <w:pStyle w:val="Heading2"/>
      </w:pPr>
      <w:r>
        <w:rPr>
          <w:rStyle w:val="SectionNumber"/>
        </w:rPr>
        <w:t xml:space="preserve">3.8</w:t>
      </w:r>
      <w:r>
        <w:tab/>
      </w:r>
      <w:r>
        <w:t xml:space="preserve">Part 8: Other Considerations</w:t>
      </w:r>
    </w:p>
    <w:p>
      <w:pPr>
        <w:pStyle w:val="FirstParagraph"/>
      </w:pPr>
      <w:r>
        <w:t xml:space="preserve">other requirements that may be part of object of conformity of assessess</w:t>
      </w:r>
    </w:p>
    <w:bookmarkStart w:id="59" w:name="credential-data-models"/>
    <w:p>
      <w:pPr>
        <w:pStyle w:val="Heading3"/>
      </w:pPr>
      <w:r>
        <w:rPr>
          <w:rStyle w:val="SectionNumber"/>
        </w:rPr>
        <w:t xml:space="preserve">3.8.1</w:t>
      </w:r>
      <w:r>
        <w:tab/>
      </w:r>
      <w:r>
        <w:t xml:space="preserve">Credential Data Models</w:t>
      </w:r>
    </w:p>
    <w:p>
      <w:pPr>
        <w:pStyle w:val="FirstParagraph"/>
      </w:pPr>
      <w:r>
        <w:t xml:space="preserve">Credential data models are composed of three main components: credential metadata, credential attributes (claims) and cryptographic material which allows a holder to prove the authenticity of presented data to a verifier.</w:t>
      </w:r>
    </w:p>
    <w:bookmarkEnd w:id="59"/>
    <w:bookmarkStart w:id="60" w:name="encoding-decoding-formats"/>
    <w:p>
      <w:pPr>
        <w:pStyle w:val="Heading3"/>
      </w:pPr>
      <w:r>
        <w:rPr>
          <w:rStyle w:val="SectionNumber"/>
        </w:rPr>
        <w:t xml:space="preserve">3.8.2</w:t>
      </w:r>
      <w:r>
        <w:tab/>
      </w:r>
      <w:r>
        <w:t xml:space="preserve">Encoding / Decoding Formats</w:t>
      </w:r>
    </w:p>
    <w:p>
      <w:pPr>
        <w:pStyle w:val="FirstParagraph"/>
      </w:pPr>
      <w:r>
        <w:t xml:space="preserve">A format is a means to structure and convey information. This may also include encoding and decoding.</w:t>
      </w:r>
    </w:p>
    <w:bookmarkEnd w:id="60"/>
    <w:bookmarkStart w:id="63" w:name="technical-schemes"/>
    <w:p>
      <w:pPr>
        <w:pStyle w:val="Heading3"/>
      </w:pPr>
      <w:r>
        <w:rPr>
          <w:rStyle w:val="SectionNumber"/>
        </w:rPr>
        <w:t xml:space="preserve">3.8.3</w:t>
      </w:r>
      <w:r>
        <w:tab/>
      </w:r>
      <w:r>
        <w:t xml:space="preserve">Technical schemes</w:t>
      </w:r>
    </w:p>
    <w:p>
      <w:pPr>
        <w:pStyle w:val="FirstParagraph"/>
      </w:pPr>
      <w:r>
        <w:t xml:space="preserve">Credential formats MUST demonstrate conformity to one or several of the following specifications</w:t>
      </w:r>
    </w:p>
    <w:p>
      <w:pPr>
        <w:numPr>
          <w:ilvl w:val="0"/>
          <w:numId w:val="1014"/>
        </w:numPr>
        <w:pStyle w:val="Compact"/>
      </w:pPr>
      <w:hyperlink r:id="rId61">
        <w:r>
          <w:rPr>
            <w:rStyle w:val="Hyperlink"/>
          </w:rPr>
          <w:t xml:space="preserve">JSON</w:t>
        </w:r>
      </w:hyperlink>
    </w:p>
    <w:p>
      <w:pPr>
        <w:numPr>
          <w:ilvl w:val="0"/>
          <w:numId w:val="1014"/>
        </w:numPr>
        <w:pStyle w:val="Compact"/>
      </w:pPr>
      <w:hyperlink r:id="rId62">
        <w:r>
          <w:rPr>
            <w:rStyle w:val="Hyperlink"/>
          </w:rPr>
          <w:t xml:space="preserve">JWT</w:t>
        </w:r>
      </w:hyperlink>
    </w:p>
    <w:bookmarkEnd w:id="63"/>
    <w:bookmarkEnd w:id="64"/>
    <w:bookmarkEnd w:id="65"/>
    <w:bookmarkStart w:id="94" w:name="X95eb31ca2852f71f1511fca604c6d5d10784360"/>
    <w:p>
      <w:pPr>
        <w:pStyle w:val="Heading1"/>
      </w:pPr>
      <w:r>
        <w:rPr>
          <w:rStyle w:val="SectionNumber"/>
        </w:rPr>
        <w:t xml:space="preserve">4</w:t>
      </w:r>
      <w:r>
        <w:tab/>
      </w:r>
      <w:r>
        <w:t xml:space="preserve">Object of Conformity Assessment Specification: Issuer</w:t>
      </w:r>
    </w:p>
    <w:bookmarkStart w:id="68" w:name="Xf380f9aa951ae8fe2f92cc60125504bc92e99e8"/>
    <w:p>
      <w:pPr>
        <w:pStyle w:val="Heading2"/>
      </w:pPr>
      <w:r>
        <w:rPr>
          <w:rStyle w:val="SectionNumber"/>
        </w:rPr>
        <w:t xml:space="preserve">4.1</w:t>
      </w:r>
      <w:r>
        <w:tab/>
      </w:r>
      <w:r>
        <w:t xml:space="preserve">Part 1: Object of Conformity Assessment Definition</w:t>
      </w:r>
    </w:p>
    <w:p>
      <w:pPr>
        <w:pStyle w:val="FirstParagraph"/>
      </w:pPr>
      <w:r>
        <w:rPr>
          <w:iCs/>
          <w:i/>
        </w:rPr>
        <w:t xml:space="preserve">Normative definition and description used for the purposes of the object of conformity assessment.</w:t>
      </w:r>
    </w:p>
    <w:p>
      <w:pPr>
        <w:pStyle w:val="BlockText"/>
      </w:pPr>
      <w:r>
        <w:rPr>
          <w:bCs/>
          <w:b/>
        </w:rPr>
        <w:t xml:space="preserve">Issuer</w:t>
      </w:r>
      <w:r>
        <w:t xml:space="preserve"> </w:t>
      </w:r>
      <w:r>
        <w:t xml:space="preserve">is an</w:t>
      </w:r>
      <w:r>
        <w:t xml:space="preserve"> </w:t>
      </w:r>
      <w:r>
        <w:rPr>
          <w:iCs/>
          <w:i/>
        </w:rPr>
        <w:t xml:space="preserve">Entity</w:t>
      </w:r>
      <w:r>
        <w:t xml:space="preserve"> </w:t>
      </w:r>
      <w:r>
        <w:t xml:space="preserve">that asserts one or more</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w:t>
      </w:r>
      <w:r>
        <w:t xml:space="preserve"> </w:t>
      </w:r>
      <w:r>
        <w:rPr>
          <w:iCs/>
          <w:i/>
        </w:rPr>
        <w:t xml:space="preserve">Holder</w:t>
      </w:r>
      <w:r>
        <w:t xml:space="preserve">.</w:t>
      </w:r>
      <w:r>
        <w:t xml:space="preserve"> </w:t>
      </w:r>
      <w:hyperlink r:id="rId66">
        <w:r>
          <w:rPr>
            <w:rStyle w:val="Hyperlink"/>
          </w:rPr>
          <w:t xml:space="preserve">CAN/CIOSC 103-1:2020</w:t>
        </w:r>
      </w:hyperlink>
    </w:p>
    <w:bookmarkStart w:id="67" w:name="related-definitions-1"/>
    <w:p>
      <w:pPr>
        <w:pStyle w:val="Heading3"/>
      </w:pPr>
      <w:r>
        <w:rPr>
          <w:rStyle w:val="SectionNumber"/>
        </w:rPr>
        <w:t xml:space="preserve">4.1.1</w:t>
      </w:r>
      <w:r>
        <w:tab/>
      </w:r>
      <w:r>
        <w:t xml:space="preserve">Related Definitions</w:t>
      </w:r>
    </w:p>
    <w:p>
      <w:pPr>
        <w:pStyle w:val="FirstParagraph"/>
      </w:pPr>
      <w:r>
        <w:rPr>
          <w:bCs/>
          <w:b/>
        </w:rPr>
        <w:t xml:space="preserve">Claim</w:t>
      </w:r>
      <w:r>
        <w:t xml:space="preserve"> </w:t>
      </w:r>
      <w:r>
        <w:t xml:space="preserve">is a statement about a</w:t>
      </w:r>
      <w:r>
        <w:t xml:space="preserve"> </w:t>
      </w:r>
      <w:r>
        <w:rPr>
          <w:iCs/>
          <w:i/>
        </w:rPr>
        <w:t xml:space="preserve">Subject</w:t>
      </w:r>
      <w:r>
        <w:t xml:space="preserve">.</w:t>
      </w:r>
      <w:r>
        <w:t xml:space="preserve"> </w:t>
      </w:r>
      <w:hyperlink r:id="rId66">
        <w:r>
          <w:rPr>
            <w:rStyle w:val="Hyperlink"/>
          </w:rPr>
          <w:t xml:space="preserve">CAN/CIOSC 103-1:2020</w:t>
        </w:r>
      </w:hyperlink>
    </w:p>
    <w:p>
      <w:pPr>
        <w:pStyle w:val="BodyText"/>
      </w:pPr>
      <w:r>
        <w:rPr>
          <w:bCs/>
          <w:b/>
        </w:rPr>
        <w:t xml:space="preserve">Credential</w:t>
      </w:r>
      <w:r>
        <w:t xml:space="preserve"> </w:t>
      </w:r>
      <w:r>
        <w:t xml:space="preserve">is a set of one or more</w:t>
      </w:r>
      <w:r>
        <w:t xml:space="preserve"> </w:t>
      </w:r>
      <w:r>
        <w:rPr>
          <w:iCs/>
          <w:i/>
        </w:rPr>
        <w:t xml:space="preserve">claims</w:t>
      </w:r>
      <w:r>
        <w:t xml:space="preserve"> </w:t>
      </w:r>
      <w:r>
        <w:t xml:space="preserve">asserted about one or more</w:t>
      </w:r>
      <w:r>
        <w:t xml:space="preserve"> </w:t>
      </w:r>
      <w:r>
        <w:rPr>
          <w:iCs/>
          <w:i/>
        </w:rPr>
        <w:t xml:space="preserve">Subjects</w:t>
      </w:r>
      <w:r>
        <w:t xml:space="preserve">.</w:t>
      </w:r>
      <w:r>
        <w:t xml:space="preserve"> </w:t>
      </w:r>
      <w:hyperlink r:id="rId66">
        <w:r>
          <w:rPr>
            <w:rStyle w:val="Hyperlink"/>
          </w:rPr>
          <w:t xml:space="preserve">CAN/CIOSC 103-1:2020</w:t>
        </w:r>
      </w:hyperlink>
    </w:p>
    <w:p>
      <w:pPr>
        <w:pStyle w:val="BodyText"/>
      </w:pPr>
      <w:r>
        <w:rPr>
          <w:bCs/>
          <w:b/>
        </w:rPr>
        <w:t xml:space="preserve">Entity</w:t>
      </w:r>
      <w:r>
        <w:t xml:space="preserve"> </w:t>
      </w:r>
      <w:r>
        <w:t xml:space="preserve">is a thing with a distinct and independent existence, such as a</w:t>
      </w:r>
      <w:r>
        <w:t xml:space="preserve"> </w:t>
      </w:r>
      <w:r>
        <w:rPr>
          <w:iCs/>
          <w:i/>
        </w:rPr>
        <w:t xml:space="preserve">Person</w:t>
      </w:r>
      <w:r>
        <w:t xml:space="preserve">,</w:t>
      </w:r>
      <w:r>
        <w:t xml:space="preserve"> </w:t>
      </w:r>
      <w:r>
        <w:rPr>
          <w:iCs/>
          <w:i/>
        </w:rPr>
        <w:t xml:space="preserve">Organization</w:t>
      </w:r>
      <w:r>
        <w:t xml:space="preserve">, or</w:t>
      </w:r>
      <w:r>
        <w:t xml:space="preserve"> </w:t>
      </w:r>
      <w:r>
        <w:rPr>
          <w:iCs/>
          <w:i/>
        </w:rPr>
        <w:t xml:space="preserve">device</w:t>
      </w:r>
      <w:r>
        <w:t xml:space="preserve">, that can be</w:t>
      </w:r>
      <w:r>
        <w:t xml:space="preserve"> </w:t>
      </w:r>
      <w:r>
        <w:rPr>
          <w:iCs/>
          <w:i/>
        </w:rPr>
        <w:t xml:space="preserve">Subject</w:t>
      </w:r>
      <w:r>
        <w:t xml:space="preserve"> </w:t>
      </w:r>
      <w:r>
        <w:t xml:space="preserve">to legislation, policy, or regulations within a context, and which may have certain rights, duties, and obligations. An</w:t>
      </w:r>
      <w:r>
        <w:t xml:space="preserve"> </w:t>
      </w:r>
      <w:r>
        <w:rPr>
          <w:iCs/>
          <w:i/>
        </w:rPr>
        <w:t xml:space="preserve">Entity</w:t>
      </w:r>
      <w:r>
        <w:t xml:space="preserve"> </w:t>
      </w:r>
      <w:r>
        <w:t xml:space="preserve">can perform one or more roles in the</w:t>
      </w:r>
      <w:r>
        <w:t xml:space="preserve"> </w:t>
      </w:r>
      <w:r>
        <w:rPr>
          <w:iCs/>
          <w:i/>
        </w:rPr>
        <w:t xml:space="preserve">digital ecosystem</w:t>
      </w:r>
      <w:r>
        <w:t xml:space="preserve">.</w:t>
      </w:r>
      <w:r>
        <w:t xml:space="preserve"> </w:t>
      </w:r>
      <w:hyperlink r:id="rId66">
        <w:r>
          <w:rPr>
            <w:rStyle w:val="Hyperlink"/>
          </w:rPr>
          <w:t xml:space="preserve">CAN/CIOSC 103-1:2020</w:t>
        </w:r>
      </w:hyperlink>
    </w:p>
    <w:p>
      <w:pPr>
        <w:pStyle w:val="BodyText"/>
      </w:pPr>
      <w:r>
        <w:rPr>
          <w:bCs/>
          <w:b/>
        </w:rPr>
        <w:t xml:space="preserve">Holder</w:t>
      </w:r>
      <w:r>
        <w:t xml:space="preserve"> </w:t>
      </w:r>
      <w:r>
        <w:t xml:space="preserve">an</w:t>
      </w:r>
      <w:r>
        <w:t xml:space="preserve"> </w:t>
      </w:r>
      <w:r>
        <w:rPr>
          <w:iCs/>
          <w:i/>
        </w:rPr>
        <w:t xml:space="preserve">Entity</w:t>
      </w:r>
      <w:r>
        <w:t xml:space="preserve"> </w:t>
      </w:r>
      <w:r>
        <w:t xml:space="preserve">that controls one or more</w:t>
      </w:r>
      <w:r>
        <w:t xml:space="preserve"> </w:t>
      </w:r>
      <w:r>
        <w:rPr>
          <w:iCs/>
          <w:i/>
        </w:rPr>
        <w:t xml:space="preserve">Credentials</w:t>
      </w:r>
      <w:r>
        <w:t xml:space="preserve"> </w:t>
      </w:r>
      <w:r>
        <w:t xml:space="preserve">from which a</w:t>
      </w:r>
      <w:r>
        <w:t xml:space="preserve"> </w:t>
      </w:r>
      <w:r>
        <w:rPr>
          <w:iCs/>
          <w:i/>
        </w:rPr>
        <w:t xml:space="preserve">Presentation</w:t>
      </w:r>
      <w:r>
        <w:t xml:space="preserve"> </w:t>
      </w:r>
      <w:r>
        <w:t xml:space="preserve">can be expressed to a</w:t>
      </w:r>
      <w:r>
        <w:t xml:space="preserve"> </w:t>
      </w:r>
      <w:r>
        <w:rPr>
          <w:iCs/>
          <w:i/>
        </w:rPr>
        <w:t xml:space="preserve">Verifier</w:t>
      </w:r>
      <w:r>
        <w:t xml:space="preserve">. A</w:t>
      </w:r>
      <w:r>
        <w:t xml:space="preserve"> </w:t>
      </w:r>
      <w:r>
        <w:rPr>
          <w:iCs/>
          <w:i/>
        </w:rPr>
        <w:t xml:space="preserve">Holder</w:t>
      </w:r>
      <w:r>
        <w:t xml:space="preserve"> </w:t>
      </w:r>
      <w:r>
        <w:t xml:space="preserve">is usually, but not always, the</w:t>
      </w:r>
      <w:r>
        <w:t xml:space="preserve"> </w:t>
      </w:r>
      <w:r>
        <w:rPr>
          <w:iCs/>
          <w:i/>
        </w:rPr>
        <w:t xml:space="preserve">Subject</w:t>
      </w:r>
      <w:r>
        <w:t xml:space="preserve"> </w:t>
      </w:r>
      <w:r>
        <w:t xml:space="preserve">of a</w:t>
      </w:r>
      <w:r>
        <w:t xml:space="preserve"> </w:t>
      </w:r>
      <w:r>
        <w:rPr>
          <w:iCs/>
          <w:i/>
        </w:rPr>
        <w:t xml:space="preserve">Credential</w:t>
      </w:r>
      <w:r>
        <w:t xml:space="preserve">.</w:t>
      </w:r>
      <w:r>
        <w:t xml:space="preserve"> </w:t>
      </w:r>
      <w:hyperlink r:id="rId66">
        <w:r>
          <w:rPr>
            <w:rStyle w:val="Hyperlink"/>
          </w:rPr>
          <w:t xml:space="preserve">CAN/CIOSC 103-1:2020</w:t>
        </w:r>
      </w:hyperlink>
    </w:p>
    <w:bookmarkEnd w:id="67"/>
    <w:bookmarkEnd w:id="68"/>
    <w:bookmarkStart w:id="77" w:name="part-2-use-cases-1"/>
    <w:p>
      <w:pPr>
        <w:pStyle w:val="Heading2"/>
      </w:pPr>
      <w:r>
        <w:rPr>
          <w:rStyle w:val="SectionNumber"/>
        </w:rPr>
        <w:t xml:space="preserve">4.2</w:t>
      </w:r>
      <w:r>
        <w:tab/>
      </w:r>
      <w:r>
        <w:t xml:space="preserve">Part 2: Use Cases</w:t>
      </w:r>
    </w:p>
    <w:p>
      <w:pPr>
        <w:pStyle w:val="FirstParagraph"/>
      </w:pPr>
      <w:r>
        <w:rPr>
          <w:iCs/>
          <w:i/>
        </w:rPr>
        <w:t xml:space="preserve">A description of an appropriate</w:t>
      </w:r>
      <w:r>
        <w:rPr>
          <w:iCs/>
          <w:i/>
        </w:rPr>
        <w:t xml:space="preserve"> </w:t>
      </w:r>
      <w:hyperlink r:id="rId37">
        <w:r>
          <w:rPr>
            <w:rStyle w:val="Hyperlink"/>
            <w:iCs/>
            <w:i/>
          </w:rPr>
          <w:t xml:space="preserve">use case</w:t>
        </w:r>
      </w:hyperlink>
      <w:r>
        <w:rPr>
          <w:iCs/>
          <w:i/>
        </w:rPr>
        <w:t xml:space="preserve"> </w:t>
      </w:r>
      <w:r>
        <w:rPr>
          <w:iCs/>
          <w:i/>
        </w:rPr>
        <w:t xml:space="preserve">that situates the context where the object of conformity is being used.</w:t>
      </w:r>
    </w:p>
    <w:bookmarkStart w:id="74" w:name="issue-credential"/>
    <w:p>
      <w:pPr>
        <w:pStyle w:val="Heading3"/>
      </w:pPr>
      <w:r>
        <w:rPr>
          <w:rStyle w:val="SectionNumber"/>
        </w:rPr>
        <w:t xml:space="preserve">4.2.1</w:t>
      </w:r>
      <w:r>
        <w:tab/>
      </w:r>
      <w:r>
        <w:t xml:space="preserve">Issue Credential</w:t>
      </w:r>
    </w:p>
    <w:bookmarkStart w:id="69" w:name="actors"/>
    <w:p>
      <w:pPr>
        <w:pStyle w:val="Heading4"/>
      </w:pPr>
      <w:r>
        <w:rPr>
          <w:rStyle w:val="SectionNumber"/>
        </w:rPr>
        <w:t xml:space="preserve">4.2.1.1</w:t>
      </w:r>
      <w:r>
        <w:tab/>
      </w:r>
      <w:r>
        <w:t xml:space="preserve">Actors</w:t>
      </w:r>
    </w:p>
    <w:p>
      <w:pPr>
        <w:numPr>
          <w:ilvl w:val="0"/>
          <w:numId w:val="1015"/>
        </w:numPr>
        <w:pStyle w:val="Compact"/>
      </w:pPr>
      <w:r>
        <w:t xml:space="preserve">Issuer</w:t>
      </w:r>
    </w:p>
    <w:p>
      <w:pPr>
        <w:numPr>
          <w:ilvl w:val="0"/>
          <w:numId w:val="1015"/>
        </w:numPr>
        <w:pStyle w:val="Compact"/>
      </w:pPr>
      <w:r>
        <w:t xml:space="preserve">Holder</w:t>
      </w:r>
    </w:p>
    <w:p>
      <w:pPr>
        <w:numPr>
          <w:ilvl w:val="0"/>
          <w:numId w:val="1015"/>
        </w:numPr>
        <w:pStyle w:val="Compact"/>
      </w:pPr>
      <w:r>
        <w:t xml:space="preserve">Subject(s)</w:t>
      </w:r>
    </w:p>
    <w:bookmarkEnd w:id="69"/>
    <w:bookmarkStart w:id="70" w:name="description"/>
    <w:p>
      <w:pPr>
        <w:pStyle w:val="Heading4"/>
      </w:pPr>
      <w:r>
        <w:rPr>
          <w:rStyle w:val="SectionNumber"/>
        </w:rPr>
        <w:t xml:space="preserve">4.2.1.2</w:t>
      </w:r>
      <w:r>
        <w:tab/>
      </w:r>
      <w:r>
        <w:t xml:space="preserve">Description</w:t>
      </w:r>
    </w:p>
    <w:p>
      <w:pPr>
        <w:pStyle w:val="FirstParagraph"/>
      </w:pPr>
      <w:r>
        <w:t xml:space="preserve">An</w:t>
      </w:r>
      <w:r>
        <w:t xml:space="preserve"> </w:t>
      </w:r>
      <w:r>
        <w:rPr>
          <w:iCs/>
          <w:i/>
        </w:rPr>
        <w:t xml:space="preserve">Issuer</w:t>
      </w:r>
      <w:r>
        <w:t xml:space="preserve"> </w:t>
      </w:r>
      <w:r>
        <w:t xml:space="preserve">asserts</w:t>
      </w:r>
      <w:r>
        <w:t xml:space="preserve"> </w:t>
      </w:r>
      <w:r>
        <w:rPr>
          <w:iCs/>
          <w:i/>
        </w:rPr>
        <w:t xml:space="preserve">claims</w:t>
      </w:r>
      <w:r>
        <w:t xml:space="preserve"> </w:t>
      </w:r>
      <w:r>
        <w:t xml:space="preserve">about one or more</w:t>
      </w:r>
      <w:r>
        <w:t xml:space="preserve"> </w:t>
      </w:r>
      <w:r>
        <w:rPr>
          <w:iCs/>
          <w:i/>
        </w:rPr>
        <w:t xml:space="preserve">Subjects</w:t>
      </w:r>
      <w:r>
        <w:t xml:space="preserve">, creates a</w:t>
      </w:r>
      <w:r>
        <w:t xml:space="preserve"> </w:t>
      </w:r>
      <w:r>
        <w:rPr>
          <w:iCs/>
          <w:i/>
        </w:rPr>
        <w:t xml:space="preserve">Credential</w:t>
      </w:r>
      <w:r>
        <w:t xml:space="preserve"> </w:t>
      </w:r>
      <w:r>
        <w:t xml:space="preserve">from these</w:t>
      </w:r>
      <w:r>
        <w:t xml:space="preserve"> </w:t>
      </w:r>
      <w:r>
        <w:rPr>
          <w:iCs/>
          <w:i/>
        </w:rPr>
        <w:t xml:space="preserve">claims</w:t>
      </w:r>
      <w:r>
        <w:t xml:space="preserve">, and assigns the</w:t>
      </w:r>
      <w:r>
        <w:t xml:space="preserve"> </w:t>
      </w:r>
      <w:r>
        <w:rPr>
          <w:iCs/>
          <w:i/>
        </w:rPr>
        <w:t xml:space="preserve">Credential</w:t>
      </w:r>
      <w:r>
        <w:t xml:space="preserve"> </w:t>
      </w:r>
      <w:r>
        <w:t xml:space="preserve">to an appropriate</w:t>
      </w:r>
      <w:r>
        <w:t xml:space="preserve"> </w:t>
      </w:r>
      <w:r>
        <w:rPr>
          <w:iCs/>
          <w:i/>
        </w:rPr>
        <w:t xml:space="preserve">Holder</w:t>
      </w:r>
      <w:r>
        <w:t xml:space="preserve">.</w:t>
      </w:r>
    </w:p>
    <w:bookmarkEnd w:id="70"/>
    <w:bookmarkStart w:id="71" w:name="preconditions"/>
    <w:p>
      <w:pPr>
        <w:pStyle w:val="Heading4"/>
      </w:pPr>
      <w:r>
        <w:rPr>
          <w:rStyle w:val="SectionNumber"/>
        </w:rPr>
        <w:t xml:space="preserve">4.2.1.3</w:t>
      </w:r>
      <w:r>
        <w:tab/>
      </w:r>
      <w:r>
        <w:t xml:space="preserve">Preconditions</w:t>
      </w:r>
    </w:p>
    <w:p>
      <w:pPr>
        <w:numPr>
          <w:ilvl w:val="0"/>
          <w:numId w:val="1016"/>
        </w:numPr>
        <w:pStyle w:val="Compact"/>
      </w:pPr>
      <w:r>
        <w:rPr>
          <w:iCs/>
          <w:i/>
        </w:rPr>
        <w:t xml:space="preserve">Claims</w:t>
      </w:r>
      <w:r>
        <w:t xml:space="preserve"> </w:t>
      </w:r>
      <w:r>
        <w:t xml:space="preserve">are associated with one or more</w:t>
      </w:r>
      <w:r>
        <w:t xml:space="preserve"> </w:t>
      </w:r>
      <w:r>
        <w:rPr>
          <w:iCs/>
          <w:i/>
        </w:rPr>
        <w:t xml:space="preserve">Subjects</w:t>
      </w:r>
      <w:r>
        <w:t xml:space="preserve">.</w:t>
      </w:r>
    </w:p>
    <w:p>
      <w:pPr>
        <w:numPr>
          <w:ilvl w:val="0"/>
          <w:numId w:val="1016"/>
        </w:numPr>
        <w:pStyle w:val="Compact"/>
      </w:pPr>
      <w:r>
        <w:rPr>
          <w:iCs/>
          <w:i/>
        </w:rPr>
        <w:t xml:space="preserve">Claims</w:t>
      </w:r>
      <w:r>
        <w:t xml:space="preserve"> </w:t>
      </w:r>
      <w:r>
        <w:t xml:space="preserve">that are to be included in a</w:t>
      </w:r>
      <w:r>
        <w:t xml:space="preserve"> </w:t>
      </w:r>
      <w:r>
        <w:rPr>
          <w:iCs/>
          <w:i/>
        </w:rPr>
        <w:t xml:space="preserve">Credential</w:t>
      </w:r>
      <w:r>
        <w:t xml:space="preserve"> </w:t>
      </w:r>
      <w:r>
        <w:t xml:space="preserve">are available for that purpose.</w:t>
      </w:r>
    </w:p>
    <w:p>
      <w:pPr>
        <w:numPr>
          <w:ilvl w:val="0"/>
          <w:numId w:val="1016"/>
        </w:numPr>
        <w:pStyle w:val="Compact"/>
      </w:pPr>
      <w:r>
        <w:t xml:space="preserve">A format for</w:t>
      </w:r>
      <w:r>
        <w:t xml:space="preserve"> </w:t>
      </w:r>
      <w:r>
        <w:rPr>
          <w:iCs/>
          <w:i/>
        </w:rPr>
        <w:t xml:space="preserve">Credentials</w:t>
      </w:r>
      <w:r>
        <w:t xml:space="preserve"> </w:t>
      </w:r>
      <w:r>
        <w:t xml:space="preserve">that are to be issued is defined.</w:t>
      </w:r>
    </w:p>
    <w:p>
      <w:pPr>
        <w:numPr>
          <w:ilvl w:val="0"/>
          <w:numId w:val="1016"/>
        </w:numPr>
        <w:pStyle w:val="Compact"/>
      </w:pPr>
      <w:r>
        <w:t xml:space="preserve">A process for assigning a</w:t>
      </w:r>
      <w:r>
        <w:t xml:space="preserve"> </w:t>
      </w:r>
      <w:r>
        <w:rPr>
          <w:iCs/>
          <w:i/>
        </w:rPr>
        <w:t xml:space="preserve">Credential</w:t>
      </w:r>
      <w:r>
        <w:t xml:space="preserve"> </w:t>
      </w:r>
      <w:r>
        <w:t xml:space="preserve">to an appropriate</w:t>
      </w:r>
      <w:r>
        <w:t xml:space="preserve"> </w:t>
      </w:r>
      <w:r>
        <w:rPr>
          <w:iCs/>
          <w:i/>
        </w:rPr>
        <w:t xml:space="preserve">Holder</w:t>
      </w:r>
      <w:r>
        <w:t xml:space="preserve"> </w:t>
      </w:r>
      <w:r>
        <w:t xml:space="preserve">is defined.</w:t>
      </w:r>
    </w:p>
    <w:bookmarkEnd w:id="71"/>
    <w:bookmarkStart w:id="72" w:name="Xbc9bff82182100fdd37ea2fa31224acfd1976a5"/>
    <w:p>
      <w:pPr>
        <w:pStyle w:val="Heading4"/>
      </w:pPr>
      <w:r>
        <w:rPr>
          <w:rStyle w:val="SectionNumber"/>
        </w:rPr>
        <w:t xml:space="preserve">4.2.1.4</w:t>
      </w:r>
      <w:r>
        <w:tab/>
      </w:r>
      <w:r>
        <w:t xml:space="preserve">Triggers – this is the event that causes the use case to be initiated.</w:t>
      </w:r>
    </w:p>
    <w:p>
      <w:pPr>
        <w:numPr>
          <w:ilvl w:val="0"/>
          <w:numId w:val="1017"/>
        </w:numPr>
        <w:pStyle w:val="Compact"/>
      </w:pPr>
      <w:r>
        <w:t xml:space="preserve">An appropriate</w:t>
      </w:r>
      <w:r>
        <w:t xml:space="preserve"> </w:t>
      </w:r>
      <w:r>
        <w:rPr>
          <w:iCs/>
          <w:i/>
        </w:rPr>
        <w:t xml:space="preserve">Holder</w:t>
      </w:r>
      <w:r>
        <w:t xml:space="preserve"> </w:t>
      </w:r>
      <w:r>
        <w:t xml:space="preserve">has made a request for a</w:t>
      </w:r>
      <w:r>
        <w:t xml:space="preserve"> </w:t>
      </w:r>
      <w:r>
        <w:rPr>
          <w:iCs/>
          <w:i/>
        </w:rPr>
        <w:t xml:space="preserve">Credential</w:t>
      </w:r>
      <w:r>
        <w:t xml:space="preserve">.</w:t>
      </w:r>
    </w:p>
    <w:p>
      <w:pPr>
        <w:numPr>
          <w:ilvl w:val="0"/>
          <w:numId w:val="1017"/>
        </w:numPr>
        <w:pStyle w:val="Compact"/>
      </w:pPr>
      <w:r>
        <w:t xml:space="preserve">A</w:t>
      </w:r>
      <w:r>
        <w:t xml:space="preserve"> </w:t>
      </w:r>
      <w:r>
        <w:rPr>
          <w:iCs/>
          <w:i/>
        </w:rPr>
        <w:t xml:space="preserve">business event</w:t>
      </w:r>
      <w:r>
        <w:t xml:space="preserve"> </w:t>
      </w:r>
      <w:r>
        <w:t xml:space="preserve">or</w:t>
      </w:r>
      <w:r>
        <w:t xml:space="preserve"> </w:t>
      </w:r>
      <w:r>
        <w:rPr>
          <w:iCs/>
          <w:i/>
        </w:rPr>
        <w:t xml:space="preserve">vital event</w:t>
      </w:r>
      <w:r>
        <w:t xml:space="preserve">, that relates to a</w:t>
      </w:r>
      <w:r>
        <w:t xml:space="preserve"> </w:t>
      </w:r>
      <w:r>
        <w:rPr>
          <w:iCs/>
          <w:i/>
        </w:rPr>
        <w:t xml:space="preserve">Subject</w:t>
      </w:r>
      <w:r>
        <w:t xml:space="preserve">, occurs which may invalidate previously asserted</w:t>
      </w:r>
      <w:r>
        <w:t xml:space="preserve"> </w:t>
      </w:r>
      <w:r>
        <w:rPr>
          <w:iCs/>
          <w:i/>
        </w:rPr>
        <w:t xml:space="preserve">claims</w:t>
      </w:r>
      <w:r>
        <w:t xml:space="preserve"> </w:t>
      </w:r>
      <w:r>
        <w:t xml:space="preserve">that were included in issued</w:t>
      </w:r>
      <w:r>
        <w:t xml:space="preserve"> </w:t>
      </w:r>
      <w:r>
        <w:rPr>
          <w:iCs/>
          <w:i/>
        </w:rPr>
        <w:t xml:space="preserve">Credentials</w:t>
      </w:r>
      <w:r>
        <w:t xml:space="preserve">. (</w:t>
      </w:r>
      <w:r>
        <w:t xml:space="preserve">“</w:t>
      </w:r>
      <w:r>
        <w:t xml:space="preserve">A life-cycle event</w:t>
      </w:r>
      <w:r>
        <w:t xml:space="preserve">”</w:t>
      </w:r>
      <w:r>
        <w:t xml:space="preserve">)</w:t>
      </w:r>
    </w:p>
    <w:bookmarkEnd w:id="72"/>
    <w:bookmarkStart w:id="73" w:name="postconditions"/>
    <w:p>
      <w:pPr>
        <w:pStyle w:val="Heading4"/>
      </w:pPr>
      <w:r>
        <w:rPr>
          <w:rStyle w:val="SectionNumber"/>
        </w:rPr>
        <w:t xml:space="preserve">4.2.1.5</w:t>
      </w:r>
      <w:r>
        <w:tab/>
      </w:r>
      <w:r>
        <w:t xml:space="preserve">Postconditions</w:t>
      </w:r>
    </w:p>
    <w:p>
      <w:pPr>
        <w:numPr>
          <w:ilvl w:val="0"/>
          <w:numId w:val="1018"/>
        </w:numPr>
        <w:pStyle w:val="Compact"/>
      </w:pPr>
      <w:r>
        <w:t xml:space="preserve">A</w:t>
      </w:r>
      <w:r>
        <w:t xml:space="preserve"> </w:t>
      </w:r>
      <w:r>
        <w:rPr>
          <w:iCs/>
          <w:i/>
        </w:rPr>
        <w:t xml:space="preserve">Holder</w:t>
      </w:r>
      <w:r>
        <w:t xml:space="preserve"> </w:t>
      </w:r>
      <w:r>
        <w:t xml:space="preserve">is assigned control over an issued</w:t>
      </w:r>
      <w:r>
        <w:t xml:space="preserve"> </w:t>
      </w:r>
      <w:r>
        <w:rPr>
          <w:iCs/>
          <w:i/>
        </w:rPr>
        <w:t xml:space="preserve">Credential</w:t>
      </w:r>
      <w:r>
        <w:t xml:space="preserve"> </w:t>
      </w:r>
      <w:r>
        <w:t xml:space="preserve">so as the</w:t>
      </w:r>
      <w:r>
        <w:t xml:space="preserve"> </w:t>
      </w:r>
      <w:r>
        <w:rPr>
          <w:iCs/>
          <w:i/>
        </w:rPr>
        <w:t xml:space="preserve">Holder</w:t>
      </w:r>
      <w:r>
        <w:t xml:space="preserve">’s control of the</w:t>
      </w:r>
      <w:r>
        <w:t xml:space="preserve"> </w:t>
      </w:r>
      <w:r>
        <w:rPr>
          <w:iCs/>
          <w:i/>
        </w:rPr>
        <w:t xml:space="preserve">Credential</w:t>
      </w:r>
      <w:r>
        <w:t xml:space="preserve"> </w:t>
      </w:r>
      <w:r>
        <w:t xml:space="preserve">may be subsequently verified.</w:t>
      </w:r>
    </w:p>
    <w:bookmarkEnd w:id="73"/>
    <w:bookmarkEnd w:id="74"/>
    <w:bookmarkStart w:id="75" w:name="conformity-asssessment-requirements-6"/>
    <w:p>
      <w:pPr>
        <w:pStyle w:val="Heading3"/>
      </w:pPr>
      <w:r>
        <w:rPr>
          <w:rStyle w:val="SectionNumber"/>
        </w:rPr>
        <w:t xml:space="preserve">4.2.2</w:t>
      </w:r>
      <w:r>
        <w:tab/>
      </w:r>
      <w:r>
        <w:t xml:space="preserve">Conformity Asssessment Requirements</w:t>
      </w:r>
    </w:p>
    <w:p>
      <w:pPr>
        <w:numPr>
          <w:ilvl w:val="0"/>
          <w:numId w:val="1019"/>
        </w:numPr>
        <w:pStyle w:val="Compact"/>
      </w:pPr>
      <w:r>
        <w:t xml:space="preserve">…</w:t>
      </w:r>
    </w:p>
    <w:bookmarkEnd w:id="75"/>
    <w:bookmarkStart w:id="76" w:name="additional-guidance-6"/>
    <w:p>
      <w:pPr>
        <w:pStyle w:val="Heading3"/>
      </w:pPr>
      <w:r>
        <w:rPr>
          <w:rStyle w:val="SectionNumber"/>
        </w:rPr>
        <w:t xml:space="preserve">4.2.3</w:t>
      </w:r>
      <w:r>
        <w:tab/>
      </w:r>
      <w:r>
        <w:t xml:space="preserve">Additional Guidance</w:t>
      </w:r>
    </w:p>
    <w:p>
      <w:pPr>
        <w:numPr>
          <w:ilvl w:val="0"/>
          <w:numId w:val="1020"/>
        </w:numPr>
        <w:pStyle w:val="Compact"/>
      </w:pPr>
      <w:r>
        <w:t xml:space="preserve">…</w:t>
      </w:r>
    </w:p>
    <w:bookmarkEnd w:id="76"/>
    <w:bookmarkEnd w:id="77"/>
    <w:bookmarkStart w:id="80" w:name="X56f3d7f7214546bc5760acc9ddba3eea878e4f3"/>
    <w:p>
      <w:pPr>
        <w:pStyle w:val="Heading2"/>
      </w:pPr>
      <w:r>
        <w:rPr>
          <w:rStyle w:val="SectionNumber"/>
        </w:rPr>
        <w:t xml:space="preserve">4.3</w:t>
      </w:r>
      <w:r>
        <w:tab/>
      </w:r>
      <w:r>
        <w:t xml:space="preserve">Part3: Selection of Product, Service and Process</w:t>
      </w:r>
    </w:p>
    <w:p>
      <w:pPr>
        <w:pStyle w:val="FirstParagraph"/>
      </w:pPr>
      <w:r>
        <w:rPr>
          <w:iCs/>
          <w:i/>
        </w:rPr>
        <w:t xml:space="preserve">Selection of the product, service and/or process that is being tested in relation to the specified requirements.</w:t>
      </w:r>
    </w:p>
    <w:bookmarkStart w:id="78" w:name="conformity-asssessment-requirements-7"/>
    <w:p>
      <w:pPr>
        <w:pStyle w:val="Heading3"/>
      </w:pPr>
      <w:r>
        <w:rPr>
          <w:rStyle w:val="SectionNumber"/>
        </w:rPr>
        <w:t xml:space="preserve">4.3.1</w:t>
      </w:r>
      <w:r>
        <w:tab/>
      </w:r>
      <w:r>
        <w:t xml:space="preserve">Conformity Asssessment Requirements</w:t>
      </w:r>
    </w:p>
    <w:p>
      <w:pPr>
        <w:numPr>
          <w:ilvl w:val="0"/>
          <w:numId w:val="1021"/>
        </w:numPr>
        <w:pStyle w:val="Compact"/>
      </w:pPr>
      <w:r>
        <w:t xml:space="preserve">A description of the components being assessed MUST be provided that demonstrates the object of conformity assessment</w:t>
      </w:r>
    </w:p>
    <w:bookmarkEnd w:id="78"/>
    <w:bookmarkStart w:id="79" w:name="additional-guidance-7"/>
    <w:p>
      <w:pPr>
        <w:pStyle w:val="Heading3"/>
      </w:pPr>
      <w:r>
        <w:rPr>
          <w:rStyle w:val="SectionNumber"/>
        </w:rPr>
        <w:t xml:space="preserve">4.3.2</w:t>
      </w:r>
      <w:r>
        <w:tab/>
      </w:r>
      <w:r>
        <w:t xml:space="preserve">Additional Guidance</w:t>
      </w:r>
    </w:p>
    <w:p>
      <w:pPr>
        <w:numPr>
          <w:ilvl w:val="0"/>
          <w:numId w:val="1022"/>
        </w:numPr>
        <w:pStyle w:val="Compact"/>
      </w:pPr>
      <w:r>
        <w:t xml:space="preserve">…</w:t>
      </w:r>
    </w:p>
    <w:bookmarkEnd w:id="79"/>
    <w:bookmarkEnd w:id="80"/>
    <w:bookmarkStart w:id="83" w:name="part-4-determination-of-activities-1"/>
    <w:p>
      <w:pPr>
        <w:pStyle w:val="Heading2"/>
      </w:pPr>
      <w:r>
        <w:rPr>
          <w:rStyle w:val="SectionNumber"/>
        </w:rPr>
        <w:t xml:space="preserve">4.4</w:t>
      </w:r>
      <w:r>
        <w:tab/>
      </w:r>
      <w:r>
        <w:t xml:space="preserve">Part 4: Determination of Activities</w:t>
      </w:r>
    </w:p>
    <w:p>
      <w:pPr>
        <w:pStyle w:val="FirstParagraph"/>
      </w:pPr>
      <w:r>
        <w:rPr>
          <w:iCs/>
          <w:i/>
        </w:rPr>
        <w:t xml:space="preserve">Determination of activities to obtain information regarding the fulfillment of the specified requirements. For the purposes of this scheme, activities are the</w:t>
      </w:r>
      <w:r>
        <w:rPr>
          <w:iCs/>
          <w:i/>
        </w:rPr>
        <w:t xml:space="preserve"> </w:t>
      </w:r>
      <w:hyperlink r:id="rId44">
        <w:r>
          <w:rPr>
            <w:rStyle w:val="Hyperlink"/>
            <w:iCs/>
            <w:i/>
          </w:rPr>
          <w:t xml:space="preserve">methods of test</w:t>
        </w:r>
      </w:hyperlink>
      <w:r>
        <w:rPr>
          <w:iCs/>
          <w:i/>
        </w:rPr>
        <w:t xml:space="preserve">.</w:t>
      </w:r>
    </w:p>
    <w:bookmarkStart w:id="81" w:name="conformity-asssessment-requirements-8"/>
    <w:p>
      <w:pPr>
        <w:pStyle w:val="Heading3"/>
      </w:pPr>
      <w:r>
        <w:rPr>
          <w:rStyle w:val="SectionNumber"/>
        </w:rPr>
        <w:t xml:space="preserve">4.4.1</w:t>
      </w:r>
      <w:r>
        <w:tab/>
      </w:r>
      <w:r>
        <w:t xml:space="preserve">Conformity Asssessment Requirements</w:t>
      </w:r>
    </w:p>
    <w:p>
      <w:pPr>
        <w:numPr>
          <w:ilvl w:val="0"/>
          <w:numId w:val="1023"/>
        </w:numPr>
        <w:pStyle w:val="Compact"/>
      </w:pPr>
      <w:r>
        <w:t xml:space="preserve">TBD</w:t>
      </w:r>
    </w:p>
    <w:bookmarkEnd w:id="81"/>
    <w:bookmarkStart w:id="82" w:name="additional-guidance-8"/>
    <w:p>
      <w:pPr>
        <w:pStyle w:val="Heading3"/>
      </w:pPr>
      <w:r>
        <w:rPr>
          <w:rStyle w:val="SectionNumber"/>
        </w:rPr>
        <w:t xml:space="preserve">4.4.2</w:t>
      </w:r>
      <w:r>
        <w:tab/>
      </w:r>
      <w:r>
        <w:t xml:space="preserve">Additional Guidance</w:t>
      </w:r>
    </w:p>
    <w:p>
      <w:pPr>
        <w:numPr>
          <w:ilvl w:val="0"/>
          <w:numId w:val="1024"/>
        </w:numPr>
        <w:pStyle w:val="Compact"/>
      </w:pPr>
      <w:r>
        <w:t xml:space="preserve">…</w:t>
      </w:r>
    </w:p>
    <w:bookmarkEnd w:id="82"/>
    <w:bookmarkEnd w:id="83"/>
    <w:bookmarkStart w:id="86" w:name="part-5-determination-of-outputs-1"/>
    <w:p>
      <w:pPr>
        <w:pStyle w:val="Heading2"/>
      </w:pPr>
      <w:r>
        <w:rPr>
          <w:rStyle w:val="SectionNumber"/>
        </w:rPr>
        <w:t xml:space="preserve">4.5</w:t>
      </w:r>
      <w:r>
        <w:tab/>
      </w:r>
      <w:r>
        <w:t xml:space="preserve">Part 5: Determination of Outputs</w:t>
      </w:r>
    </w:p>
    <w:p>
      <w:pPr>
        <w:pStyle w:val="FirstParagraph"/>
      </w:pPr>
      <w:r>
        <w:rPr>
          <w:iCs/>
          <w:i/>
        </w:rPr>
        <w:t xml:space="preserve">Determination of</w:t>
      </w:r>
      <w:r>
        <w:rPr>
          <w:iCs/>
          <w:i/>
        </w:rPr>
        <w:t xml:space="preserve"> </w:t>
      </w:r>
      <w:hyperlink r:id="rId48">
        <w:r>
          <w:rPr>
            <w:rStyle w:val="Hyperlink"/>
            <w:iCs/>
            <w:i/>
          </w:rPr>
          <w:t xml:space="preserve">outputs</w:t>
        </w:r>
      </w:hyperlink>
      <w:r>
        <w:rPr>
          <w:iCs/>
          <w:i/>
        </w:rPr>
        <w:t xml:space="preserve"> </w:t>
      </w:r>
      <w:r>
        <w:rPr>
          <w:iCs/>
          <w:i/>
        </w:rPr>
        <w:t xml:space="preserve">that are used as input into the review, decision and attestation stage.</w:t>
      </w:r>
    </w:p>
    <w:bookmarkStart w:id="84" w:name="conformity-asssessment-requirements-9"/>
    <w:p>
      <w:pPr>
        <w:pStyle w:val="Heading3"/>
      </w:pPr>
      <w:r>
        <w:rPr>
          <w:rStyle w:val="SectionNumber"/>
        </w:rPr>
        <w:t xml:space="preserve">4.5.1</w:t>
      </w:r>
      <w:r>
        <w:tab/>
      </w:r>
      <w:r>
        <w:t xml:space="preserve">Conformity Asssessment Requirements</w:t>
      </w:r>
    </w:p>
    <w:p>
      <w:pPr>
        <w:numPr>
          <w:ilvl w:val="0"/>
          <w:numId w:val="1025"/>
        </w:numPr>
      </w:pPr>
      <w:r>
        <w:t xml:space="preserve">An</w:t>
      </w:r>
      <w:r>
        <w:t xml:space="preserve"> </w:t>
      </w:r>
      <w:r>
        <w:rPr>
          <w:iCs/>
          <w:i/>
        </w:rPr>
        <w:t xml:space="preserve">Issuer</w:t>
      </w:r>
      <w:r>
        <w:t xml:space="preserve"> </w:t>
      </w:r>
      <w:r>
        <w:t xml:space="preserve">must document how its Credential Issuance process to meet the required outcome(s) documented in</w:t>
      </w:r>
      <w:r>
        <w:t xml:space="preserve"> </w:t>
      </w:r>
      <w:hyperlink r:id="rId66">
        <w:r>
          <w:rPr>
            <w:rStyle w:val="Hyperlink"/>
          </w:rPr>
          <w:t xml:space="preserve">CAN/CIOSC 103-1:2020</w:t>
        </w:r>
      </w:hyperlink>
      <w:r>
        <w:t xml:space="preserve">.</w:t>
      </w:r>
    </w:p>
    <w:p>
      <w:pPr>
        <w:numPr>
          <w:ilvl w:val="0"/>
          <w:numId w:val="1025"/>
        </w:numPr>
      </w:pPr>
      <w:r>
        <w:t xml:space="preserve">An</w:t>
      </w:r>
      <w:r>
        <w:t xml:space="preserve"> </w:t>
      </w:r>
      <w:r>
        <w:rPr>
          <w:iCs/>
          <w:i/>
        </w:rPr>
        <w:t xml:space="preserve">Issuer</w:t>
      </w:r>
      <w:r>
        <w:t xml:space="preserve"> </w:t>
      </w:r>
      <w:r>
        <w:t xml:space="preserve">must document how its Identity Continuity process to meet the required outcome(s) documented in</w:t>
      </w:r>
      <w:r>
        <w:t xml:space="preserve"> </w:t>
      </w:r>
      <w:hyperlink r:id="rId66">
        <w:r>
          <w:rPr>
            <w:rStyle w:val="Hyperlink"/>
          </w:rPr>
          <w:t xml:space="preserve">CAN/CIOSC 103-1:2020</w:t>
        </w:r>
      </w:hyperlink>
      <w:r>
        <w:t xml:space="preserve">.</w:t>
      </w:r>
    </w:p>
    <w:p>
      <w:pPr>
        <w:numPr>
          <w:ilvl w:val="0"/>
          <w:numId w:val="1025"/>
        </w:numPr>
      </w:pPr>
      <w:r>
        <w:t xml:space="preserve">An</w:t>
      </w:r>
      <w:r>
        <w:t xml:space="preserve"> </w:t>
      </w:r>
      <w:r>
        <w:rPr>
          <w:iCs/>
          <w:i/>
        </w:rPr>
        <w:t xml:space="preserve">Issuer</w:t>
      </w:r>
      <w:r>
        <w:t xml:space="preserve"> </w:t>
      </w:r>
      <w:r>
        <w:t xml:space="preserve">must document how its Identity Linking process to meet the required outcome(s) documented in</w:t>
      </w:r>
      <w:r>
        <w:t xml:space="preserve"> </w:t>
      </w:r>
      <w:hyperlink r:id="rId66">
        <w:r>
          <w:rPr>
            <w:rStyle w:val="Hyperlink"/>
          </w:rPr>
          <w:t xml:space="preserve">CAN/CIOSC 103-1:2020</w:t>
        </w:r>
      </w:hyperlink>
      <w:r>
        <w:t xml:space="preserve">.</w:t>
      </w:r>
    </w:p>
    <w:p>
      <w:pPr>
        <w:numPr>
          <w:ilvl w:val="0"/>
          <w:numId w:val="1025"/>
        </w:numPr>
      </w:pPr>
      <w:r>
        <w:t xml:space="preserve">An</w:t>
      </w:r>
      <w:r>
        <w:t xml:space="preserve"> </w:t>
      </w:r>
      <w:r>
        <w:rPr>
          <w:iCs/>
          <w:i/>
        </w:rPr>
        <w:t xml:space="preserve">Issuer</w:t>
      </w:r>
      <w:r>
        <w:t xml:space="preserve"> </w:t>
      </w:r>
      <w:r>
        <w:t xml:space="preserve">must document how its Identity-Credential Binding process to meet the required outcome(s) documented in</w:t>
      </w:r>
      <w:r>
        <w:t xml:space="preserve"> </w:t>
      </w:r>
      <w:hyperlink r:id="rId66">
        <w:r>
          <w:rPr>
            <w:rStyle w:val="Hyperlink"/>
          </w:rPr>
          <w:t xml:space="preserve">CAN/CIOSC 103-1:2020</w:t>
        </w:r>
      </w:hyperlink>
      <w:r>
        <w:t xml:space="preserve">.</w:t>
      </w:r>
    </w:p>
    <w:p>
      <w:pPr>
        <w:numPr>
          <w:ilvl w:val="0"/>
          <w:numId w:val="1025"/>
        </w:numPr>
      </w:pPr>
      <w:r>
        <w:t xml:space="preserve">An</w:t>
      </w:r>
      <w:r>
        <w:t xml:space="preserve"> </w:t>
      </w:r>
      <w:r>
        <w:rPr>
          <w:iCs/>
          <w:i/>
        </w:rPr>
        <w:t xml:space="preserve">Issuer</w:t>
      </w:r>
      <w:r>
        <w:t xml:space="preserve"> </w:t>
      </w:r>
      <w:r>
        <w:t xml:space="preserve">must document how its Credential-Authenticator Binding process to meet the required outcome(s) documented in</w:t>
      </w:r>
      <w:r>
        <w:t xml:space="preserve"> </w:t>
      </w:r>
      <w:hyperlink r:id="rId66">
        <w:r>
          <w:rPr>
            <w:rStyle w:val="Hyperlink"/>
          </w:rPr>
          <w:t xml:space="preserve">CAN/CIOSC 103-1:2020</w:t>
        </w:r>
      </w:hyperlink>
      <w:r>
        <w:t xml:space="preserve">.</w:t>
      </w:r>
    </w:p>
    <w:bookmarkEnd w:id="84"/>
    <w:bookmarkStart w:id="85" w:name="additional-guidance-9"/>
    <w:p>
      <w:pPr>
        <w:pStyle w:val="Heading3"/>
      </w:pPr>
      <w:r>
        <w:rPr>
          <w:rStyle w:val="SectionNumber"/>
        </w:rPr>
        <w:t xml:space="preserve">4.5.2</w:t>
      </w:r>
      <w:r>
        <w:tab/>
      </w:r>
      <w:r>
        <w:t xml:space="preserve">Additional Guidance</w:t>
      </w:r>
    </w:p>
    <w:p>
      <w:pPr>
        <w:numPr>
          <w:ilvl w:val="0"/>
          <w:numId w:val="1026"/>
        </w:numPr>
        <w:pStyle w:val="Compact"/>
      </w:pPr>
      <w:r>
        <w:t xml:space="preserve">…</w:t>
      </w:r>
    </w:p>
    <w:bookmarkEnd w:id="85"/>
    <w:bookmarkEnd w:id="86"/>
    <w:bookmarkStart w:id="90" w:name="part-6-review-decision-1"/>
    <w:p>
      <w:pPr>
        <w:pStyle w:val="Heading2"/>
      </w:pPr>
      <w:r>
        <w:rPr>
          <w:rStyle w:val="SectionNumber"/>
        </w:rPr>
        <w:t xml:space="preserve">4.6</w:t>
      </w:r>
      <w:r>
        <w:tab/>
      </w:r>
      <w:r>
        <w:t xml:space="preserve">Part 6: Review Decision</w:t>
      </w:r>
    </w:p>
    <w:bookmarkStart w:id="87" w:name="review-1"/>
    <w:p>
      <w:pPr>
        <w:pStyle w:val="Heading3"/>
      </w:pPr>
      <w:r>
        <w:rPr>
          <w:rStyle w:val="SectionNumber"/>
        </w:rPr>
        <w:t xml:space="preserve">4.6.1</w:t>
      </w:r>
      <w:r>
        <w:tab/>
      </w:r>
      <w:r>
        <w:t xml:space="preserve">Review</w:t>
      </w:r>
    </w:p>
    <w:p>
      <w:pPr>
        <w:pStyle w:val="FirstParagraph"/>
      </w:pPr>
      <w:r>
        <w:rPr>
          <w:iCs/>
          <w:i/>
        </w:rPr>
        <w:t xml:space="preserve">Review is the final stage of checking before taking the decision as to whether or not the object of conformity assessment e.g. product, service and system, has been reliably demonstrated to fulfil the specified requirements.</w:t>
      </w:r>
    </w:p>
    <w:bookmarkEnd w:id="87"/>
    <w:bookmarkStart w:id="88" w:name="conformity-asssessment-requirements-10"/>
    <w:p>
      <w:pPr>
        <w:pStyle w:val="Heading3"/>
      </w:pPr>
      <w:r>
        <w:rPr>
          <w:rStyle w:val="SectionNumber"/>
        </w:rPr>
        <w:t xml:space="preserve">4.6.2</w:t>
      </w:r>
      <w:r>
        <w:tab/>
      </w:r>
      <w:r>
        <w:t xml:space="preserve">Conformity Asssessment Requirements</w:t>
      </w:r>
    </w:p>
    <w:p>
      <w:pPr>
        <w:numPr>
          <w:ilvl w:val="0"/>
          <w:numId w:val="1027"/>
        </w:numPr>
        <w:pStyle w:val="Compact"/>
      </w:pPr>
      <w:r>
        <w:t xml:space="preserve">TBD</w:t>
      </w:r>
    </w:p>
    <w:bookmarkEnd w:id="88"/>
    <w:bookmarkStart w:id="89" w:name="additional-guidance-10"/>
    <w:p>
      <w:pPr>
        <w:pStyle w:val="Heading3"/>
      </w:pPr>
      <w:r>
        <w:rPr>
          <w:rStyle w:val="SectionNumber"/>
        </w:rPr>
        <w:t xml:space="preserve">4.6.3</w:t>
      </w:r>
      <w:r>
        <w:tab/>
      </w:r>
      <w:r>
        <w:t xml:space="preserve">Additional Guidance</w:t>
      </w:r>
    </w:p>
    <w:p>
      <w:pPr>
        <w:numPr>
          <w:ilvl w:val="0"/>
          <w:numId w:val="1028"/>
        </w:numPr>
        <w:pStyle w:val="Compact"/>
      </w:pPr>
      <w:r>
        <w:t xml:space="preserve">…</w:t>
      </w:r>
    </w:p>
    <w:bookmarkEnd w:id="89"/>
    <w:bookmarkEnd w:id="90"/>
    <w:bookmarkStart w:id="93" w:name="part-7attestation-1"/>
    <w:p>
      <w:pPr>
        <w:pStyle w:val="Heading2"/>
      </w:pPr>
      <w:r>
        <w:rPr>
          <w:rStyle w:val="SectionNumber"/>
        </w:rPr>
        <w:t xml:space="preserve">4.7</w:t>
      </w:r>
      <w:r>
        <w:tab/>
      </w:r>
      <w:r>
        <w:t xml:space="preserve">Part 7:Attestation</w:t>
      </w:r>
    </w:p>
    <w:p>
      <w:pPr>
        <w:pStyle w:val="FirstParagraph"/>
      </w:pPr>
      <w:r>
        <w:rPr>
          <w:iCs/>
          <w:i/>
        </w:rPr>
        <w:t xml:space="preserve">The creation of a</w:t>
      </w:r>
      <w:r>
        <w:rPr>
          <w:iCs/>
          <w:i/>
        </w:rPr>
        <w:t xml:space="preserve"> </w:t>
      </w:r>
      <w:r>
        <w:rPr>
          <w:iCs/>
          <w:i/>
        </w:rPr>
        <w:t xml:space="preserve">“</w:t>
      </w:r>
      <w:r>
        <w:rPr>
          <w:iCs/>
          <w:i/>
        </w:rPr>
        <w:t xml:space="preserve">statement of conformity</w:t>
      </w:r>
      <w:r>
        <w:rPr>
          <w:iCs/>
          <w:i/>
        </w:rPr>
        <w:t xml:space="preserve">”</w:t>
      </w:r>
      <w:r>
        <w:rPr>
          <w:iCs/>
          <w:i/>
        </w:rPr>
        <w:t xml:space="preserve">, which is a generic expression used to include all means of communicating that fulfilment of specified requirements has been demonstrated. It should be noted that a</w:t>
      </w:r>
      <w:r>
        <w:rPr>
          <w:iCs/>
          <w:i/>
        </w:rPr>
        <w:t xml:space="preserve"> </w:t>
      </w:r>
      <w:r>
        <w:rPr>
          <w:iCs/>
          <w:i/>
        </w:rPr>
        <w:t xml:space="preserve">“</w:t>
      </w:r>
      <w:r>
        <w:rPr>
          <w:iCs/>
          <w:i/>
        </w:rPr>
        <w:t xml:space="preserve">statement of conformity</w:t>
      </w:r>
      <w:r>
        <w:rPr>
          <w:iCs/>
          <w:i/>
        </w:rPr>
        <w:t xml:space="preserve">”</w:t>
      </w:r>
      <w:r>
        <w:rPr>
          <w:iCs/>
          <w:i/>
        </w:rPr>
        <w:t xml:space="preserve"> </w:t>
      </w:r>
      <w:r>
        <w:rPr>
          <w:iCs/>
          <w:i/>
        </w:rPr>
        <w:t xml:space="preserve">can include non fulfilment of specified requirements.</w:t>
      </w:r>
    </w:p>
    <w:bookmarkStart w:id="91" w:name="conformity-asssessment-requirements-11"/>
    <w:p>
      <w:pPr>
        <w:pStyle w:val="Heading3"/>
      </w:pPr>
      <w:r>
        <w:rPr>
          <w:rStyle w:val="SectionNumber"/>
        </w:rPr>
        <w:t xml:space="preserve">4.7.1</w:t>
      </w:r>
      <w:r>
        <w:tab/>
      </w:r>
      <w:r>
        <w:t xml:space="preserve">Conformity Asssessment Requirements</w:t>
      </w:r>
    </w:p>
    <w:p>
      <w:pPr>
        <w:numPr>
          <w:ilvl w:val="0"/>
          <w:numId w:val="1029"/>
        </w:numPr>
        <w:pStyle w:val="Compact"/>
      </w:pPr>
      <w:r>
        <w:t xml:space="preserve">TBD</w:t>
      </w:r>
    </w:p>
    <w:bookmarkEnd w:id="91"/>
    <w:bookmarkStart w:id="92" w:name="additional-guidance-11"/>
    <w:p>
      <w:pPr>
        <w:pStyle w:val="Heading3"/>
      </w:pPr>
      <w:r>
        <w:rPr>
          <w:rStyle w:val="SectionNumber"/>
        </w:rPr>
        <w:t xml:space="preserve">4.7.2</w:t>
      </w:r>
      <w:r>
        <w:tab/>
      </w:r>
      <w:r>
        <w:t xml:space="preserve">Additional Guidance</w:t>
      </w:r>
    </w:p>
    <w:p>
      <w:pPr>
        <w:pStyle w:val="FirstParagraph"/>
      </w:pPr>
      <w:r>
        <w:t xml:space="preserve">…</w:t>
      </w:r>
    </w:p>
    <w:bookmarkEnd w:id="92"/>
    <w:bookmarkEnd w:id="93"/>
    <w:bookmarkEnd w:id="94"/>
    <w:bookmarkStart w:id="175" w:name="references"/>
    <w:p>
      <w:pPr>
        <w:pStyle w:val="Heading1"/>
      </w:pPr>
      <w:r>
        <w:rPr>
          <w:rStyle w:val="SectionNumber"/>
        </w:rPr>
        <w:t xml:space="preserve">5</w:t>
      </w:r>
      <w:r>
        <w:tab/>
      </w:r>
      <w:r>
        <w:t xml:space="preserve">References</w:t>
      </w:r>
    </w:p>
    <w:p>
      <w:pPr>
        <w:pStyle w:val="FirstParagraph"/>
      </w:pPr>
      <w:r>
        <w:t xml:space="preserve">Link to relevant references. All references are provided without warrant or endorsement and are intended for informative purposes only.</w:t>
      </w:r>
    </w:p>
    <w:bookmarkStart w:id="99" w:name="conformity-assessment"/>
    <w:p>
      <w:pPr>
        <w:pStyle w:val="Heading2"/>
      </w:pPr>
      <w:r>
        <w:rPr>
          <w:rStyle w:val="SectionNumber"/>
        </w:rPr>
        <w:t xml:space="preserve">5.1</w:t>
      </w:r>
      <w:r>
        <w:tab/>
      </w:r>
      <w:r>
        <w:t xml:space="preserve">Conformity Assessment</w:t>
      </w:r>
    </w:p>
    <w:p>
      <w:pPr>
        <w:numPr>
          <w:ilvl w:val="0"/>
          <w:numId w:val="1030"/>
        </w:numPr>
        <w:pStyle w:val="Compact"/>
      </w:pPr>
      <w:hyperlink r:id="rId95">
        <w:r>
          <w:rPr>
            <w:rStyle w:val="Hyperlink"/>
          </w:rPr>
          <w:t xml:space="preserve">Conformity Assessment for standards writers</w:t>
        </w:r>
      </w:hyperlink>
    </w:p>
    <w:p>
      <w:pPr>
        <w:numPr>
          <w:ilvl w:val="0"/>
          <w:numId w:val="1030"/>
        </w:numPr>
        <w:pStyle w:val="Compact"/>
      </w:pPr>
      <w:hyperlink r:id="rId96">
        <w:r>
          <w:rPr>
            <w:rStyle w:val="Hyperlink"/>
          </w:rPr>
          <w:t xml:space="preserve">Introduction to Conformity Assessment ISO/CASCO</w:t>
        </w:r>
      </w:hyperlink>
    </w:p>
    <w:p>
      <w:pPr>
        <w:numPr>
          <w:ilvl w:val="0"/>
          <w:numId w:val="1030"/>
        </w:numPr>
        <w:pStyle w:val="Compact"/>
      </w:pPr>
      <w:hyperlink r:id="rId97">
        <w:r>
          <w:rPr>
            <w:rStyle w:val="Hyperlink"/>
          </w:rPr>
          <w:t xml:space="preserve">Conformity assessment for standards writers Do’s and don’ts</w:t>
        </w:r>
      </w:hyperlink>
    </w:p>
    <w:p>
      <w:pPr>
        <w:numPr>
          <w:ilvl w:val="0"/>
          <w:numId w:val="1030"/>
        </w:numPr>
        <w:pStyle w:val="Compact"/>
      </w:pPr>
      <w:hyperlink r:id="rId98">
        <w:r>
          <w:rPr>
            <w:rStyle w:val="Hyperlink"/>
          </w:rPr>
          <w:t xml:space="preserve">CASCO Conformity Assessment Toolbox</w:t>
        </w:r>
      </w:hyperlink>
    </w:p>
    <w:bookmarkEnd w:id="99"/>
    <w:bookmarkStart w:id="121" w:name="digital-credential-ecosystems"/>
    <w:p>
      <w:pPr>
        <w:pStyle w:val="Heading2"/>
      </w:pPr>
      <w:r>
        <w:rPr>
          <w:rStyle w:val="SectionNumber"/>
        </w:rPr>
        <w:t xml:space="preserve">5.2</w:t>
      </w:r>
      <w:r>
        <w:tab/>
      </w:r>
      <w:r>
        <w:t xml:space="preserve">Digital Credential Ecosystems</w:t>
      </w:r>
    </w:p>
    <w:p>
      <w:pPr>
        <w:numPr>
          <w:ilvl w:val="0"/>
          <w:numId w:val="1031"/>
        </w:numPr>
        <w:pStyle w:val="Compact"/>
      </w:pPr>
      <w:hyperlink r:id="rId100">
        <w:r>
          <w:rPr>
            <w:rStyle w:val="Hyperlink"/>
          </w:rPr>
          <w:t xml:space="preserve">Digital Credentials Consortium</w:t>
        </w:r>
      </w:hyperlink>
    </w:p>
    <w:p>
      <w:pPr>
        <w:numPr>
          <w:ilvl w:val="0"/>
          <w:numId w:val="1031"/>
        </w:numPr>
        <w:pStyle w:val="Compact"/>
      </w:pPr>
      <w:hyperlink r:id="rId101">
        <w:r>
          <w:rPr>
            <w:rStyle w:val="Hyperlink"/>
          </w:rPr>
          <w:t xml:space="preserve">European Self Sovereign Identity Framework</w:t>
        </w:r>
      </w:hyperlink>
    </w:p>
    <w:p>
      <w:pPr>
        <w:numPr>
          <w:ilvl w:val="0"/>
          <w:numId w:val="1031"/>
        </w:numPr>
        <w:pStyle w:val="Compact"/>
      </w:pPr>
      <w:hyperlink r:id="rId102">
        <w:r>
          <w:rPr>
            <w:rStyle w:val="Hyperlink"/>
          </w:rPr>
          <w:t xml:space="preserve">Open Wallet Foundation</w:t>
        </w:r>
      </w:hyperlink>
    </w:p>
    <w:p>
      <w:pPr>
        <w:numPr>
          <w:ilvl w:val="0"/>
          <w:numId w:val="1031"/>
        </w:numPr>
        <w:pStyle w:val="Compact"/>
      </w:pPr>
      <w:hyperlink r:id="rId103">
        <w:r>
          <w:rPr>
            <w:rStyle w:val="Hyperlink"/>
          </w:rPr>
          <w:t xml:space="preserve">Open Wallet Foundation GitHub Repo</w:t>
        </w:r>
      </w:hyperlink>
    </w:p>
    <w:p>
      <w:pPr>
        <w:numPr>
          <w:ilvl w:val="0"/>
          <w:numId w:val="1031"/>
        </w:numPr>
        <w:pStyle w:val="Compact"/>
      </w:pPr>
      <w:hyperlink r:id="rId104">
        <w:r>
          <w:rPr>
            <w:rStyle w:val="Hyperlink"/>
          </w:rPr>
          <w:t xml:space="preserve">Ontario’s Digital ID: Technology and standards</w:t>
        </w:r>
      </w:hyperlink>
    </w:p>
    <w:p>
      <w:pPr>
        <w:numPr>
          <w:ilvl w:val="0"/>
          <w:numId w:val="1031"/>
        </w:numPr>
        <w:pStyle w:val="Compact"/>
      </w:pPr>
      <w:hyperlink r:id="rId105">
        <w:r>
          <w:rPr>
            <w:rStyle w:val="Hyperlink"/>
          </w:rPr>
          <w:t xml:space="preserve">DHS</w:t>
        </w:r>
      </w:hyperlink>
    </w:p>
    <w:p>
      <w:pPr>
        <w:numPr>
          <w:ilvl w:val="0"/>
          <w:numId w:val="1031"/>
        </w:numPr>
        <w:pStyle w:val="Compact"/>
      </w:pPr>
      <w:hyperlink r:id="rId106">
        <w:r>
          <w:rPr>
            <w:rStyle w:val="Hyperlink"/>
          </w:rPr>
          <w:t xml:space="preserve">Verifiable Credentials Explained</w:t>
        </w:r>
      </w:hyperlink>
    </w:p>
    <w:p>
      <w:pPr>
        <w:numPr>
          <w:ilvl w:val="0"/>
          <w:numId w:val="1031"/>
        </w:numPr>
        <w:pStyle w:val="Compact"/>
      </w:pPr>
      <w:hyperlink r:id="rId107">
        <w:r>
          <w:rPr>
            <w:rStyle w:val="Hyperlink"/>
          </w:rPr>
          <w:t xml:space="preserve">VC WG TPAC Sept 2022</w:t>
        </w:r>
      </w:hyperlink>
    </w:p>
    <w:p>
      <w:pPr>
        <w:numPr>
          <w:ilvl w:val="0"/>
          <w:numId w:val="1031"/>
        </w:numPr>
        <w:pStyle w:val="Compact"/>
      </w:pPr>
      <w:hyperlink r:id="rId108">
        <w:r>
          <w:rPr>
            <w:rStyle w:val="Hyperlink"/>
          </w:rPr>
          <w:t xml:space="preserve">W3C VC Use Cases</w:t>
        </w:r>
      </w:hyperlink>
    </w:p>
    <w:p>
      <w:pPr>
        <w:numPr>
          <w:ilvl w:val="0"/>
          <w:numId w:val="1031"/>
        </w:numPr>
        <w:pStyle w:val="Compact"/>
      </w:pPr>
      <w:hyperlink r:id="rId109">
        <w:r>
          <w:rPr>
            <w:rStyle w:val="Hyperlink"/>
          </w:rPr>
          <w:t xml:space="preserve">VC Issuing Protocols</w:t>
        </w:r>
      </w:hyperlink>
    </w:p>
    <w:p>
      <w:pPr>
        <w:numPr>
          <w:ilvl w:val="0"/>
          <w:numId w:val="1031"/>
        </w:numPr>
        <w:pStyle w:val="Compact"/>
      </w:pPr>
      <w:hyperlink r:id="rId110">
        <w:r>
          <w:rPr>
            <w:rStyle w:val="Hyperlink"/>
          </w:rPr>
          <w:t xml:space="preserve">W3C DECENTRALIZED IDENTIFIER AND VERIFIABLE CREDENTIALS APPLICATIONS COMMUNITY GROUP</w:t>
        </w:r>
      </w:hyperlink>
    </w:p>
    <w:p>
      <w:pPr>
        <w:numPr>
          <w:ilvl w:val="0"/>
          <w:numId w:val="1031"/>
        </w:numPr>
        <w:pStyle w:val="Compact"/>
      </w:pPr>
      <w:hyperlink r:id="rId111">
        <w:r>
          <w:rPr>
            <w:rStyle w:val="Hyperlink"/>
          </w:rPr>
          <w:t xml:space="preserve">RWOT Verifiable Credential Market Signals</w:t>
        </w:r>
      </w:hyperlink>
    </w:p>
    <w:p>
      <w:pPr>
        <w:numPr>
          <w:ilvl w:val="0"/>
          <w:numId w:val="1031"/>
        </w:numPr>
        <w:pStyle w:val="Compact"/>
      </w:pPr>
      <w:hyperlink r:id="rId112">
        <w:r>
          <w:rPr>
            <w:rStyle w:val="Hyperlink"/>
          </w:rPr>
          <w:t xml:space="preserve">EBSI Specification</w:t>
        </w:r>
      </w:hyperlink>
    </w:p>
    <w:p>
      <w:pPr>
        <w:numPr>
          <w:ilvl w:val="0"/>
          <w:numId w:val="1031"/>
        </w:numPr>
        <w:pStyle w:val="Compact"/>
      </w:pPr>
      <w:hyperlink r:id="rId113">
        <w:r>
          <w:rPr>
            <w:rStyle w:val="Hyperlink"/>
          </w:rPr>
          <w:t xml:space="preserve">ISO/IEC 18013-5 Personal identification — ISOcompliant driving licence —Part 5:Mobile driving licence (mDL) application</w:t>
        </w:r>
      </w:hyperlink>
    </w:p>
    <w:p>
      <w:pPr>
        <w:numPr>
          <w:ilvl w:val="0"/>
          <w:numId w:val="1031"/>
        </w:numPr>
        <w:pStyle w:val="Compact"/>
      </w:pPr>
      <w:hyperlink r:id="rId114">
        <w:r>
          <w:rPr>
            <w:rStyle w:val="Hyperlink"/>
          </w:rPr>
          <w:t xml:space="preserve">Findy</w:t>
        </w:r>
      </w:hyperlink>
    </w:p>
    <w:p>
      <w:pPr>
        <w:numPr>
          <w:ilvl w:val="0"/>
          <w:numId w:val="1031"/>
        </w:numPr>
        <w:pStyle w:val="Compact"/>
      </w:pPr>
      <w:hyperlink r:id="rId115">
        <w:r>
          <w:rPr>
            <w:rStyle w:val="Hyperlink"/>
          </w:rPr>
          <w:t xml:space="preserve">Procivis Proposal to reconcile Aries and ISO 18013-5</w:t>
        </w:r>
      </w:hyperlink>
    </w:p>
    <w:p>
      <w:pPr>
        <w:numPr>
          <w:ilvl w:val="0"/>
          <w:numId w:val="1031"/>
        </w:numPr>
        <w:pStyle w:val="Compact"/>
      </w:pPr>
      <w:hyperlink r:id="rId116">
        <w:r>
          <w:rPr>
            <w:rStyle w:val="Hyperlink"/>
          </w:rPr>
          <w:t xml:space="preserve">Hyperledger Aries</w:t>
        </w:r>
      </w:hyperlink>
    </w:p>
    <w:p>
      <w:pPr>
        <w:numPr>
          <w:ilvl w:val="0"/>
          <w:numId w:val="1031"/>
        </w:numPr>
        <w:pStyle w:val="Compact"/>
      </w:pPr>
      <w:hyperlink r:id="rId117">
        <w:r>
          <w:rPr>
            <w:rStyle w:val="Hyperlink"/>
          </w:rPr>
          <w:t xml:space="preserve">MIT Learner Wallet Specification</w:t>
        </w:r>
      </w:hyperlink>
    </w:p>
    <w:p>
      <w:pPr>
        <w:numPr>
          <w:ilvl w:val="0"/>
          <w:numId w:val="1031"/>
        </w:numPr>
        <w:pStyle w:val="Compact"/>
      </w:pPr>
      <w:hyperlink r:id="rId118">
        <w:r>
          <w:rPr>
            <w:rStyle w:val="Hyperlink"/>
          </w:rPr>
          <w:t xml:space="preserve">W3C VCWG Technical Plenary</w:t>
        </w:r>
      </w:hyperlink>
    </w:p>
    <w:p>
      <w:pPr>
        <w:numPr>
          <w:ilvl w:val="0"/>
          <w:numId w:val="1031"/>
        </w:numPr>
        <w:pStyle w:val="Compact"/>
      </w:pPr>
      <w:hyperlink r:id="rId119">
        <w:r>
          <w:rPr>
            <w:rStyle w:val="Hyperlink"/>
          </w:rPr>
          <w:t xml:space="preserve">ToIP Governance Use Cases</w:t>
        </w:r>
      </w:hyperlink>
    </w:p>
    <w:p>
      <w:pPr>
        <w:numPr>
          <w:ilvl w:val="0"/>
          <w:numId w:val="1031"/>
        </w:numPr>
        <w:pStyle w:val="Compact"/>
      </w:pPr>
      <w:hyperlink r:id="rId120">
        <w:r>
          <w:rPr>
            <w:rStyle w:val="Hyperlink"/>
          </w:rPr>
          <w:t xml:space="preserve">TRAIN - Trust Management Infrastructure</w:t>
        </w:r>
      </w:hyperlink>
    </w:p>
    <w:bookmarkEnd w:id="121"/>
    <w:bookmarkStart w:id="129" w:name="X3acf3c4608c615a566ef059fb35d67fd3155ffb"/>
    <w:p>
      <w:pPr>
        <w:pStyle w:val="Heading2"/>
      </w:pPr>
      <w:r>
        <w:rPr>
          <w:rStyle w:val="SectionNumber"/>
        </w:rPr>
        <w:t xml:space="preserve">5.3</w:t>
      </w:r>
      <w:r>
        <w:tab/>
      </w:r>
      <w:r>
        <w:t xml:space="preserve">Government (including Legal and Regulatory)</w:t>
      </w:r>
    </w:p>
    <w:p>
      <w:pPr>
        <w:numPr>
          <w:ilvl w:val="0"/>
          <w:numId w:val="1032"/>
        </w:numPr>
        <w:pStyle w:val="Compact"/>
      </w:pPr>
      <w:hyperlink r:id="rId122">
        <w:r>
          <w:rPr>
            <w:rStyle w:val="Hyperlink"/>
          </w:rPr>
          <w:t xml:space="preserve">Government of Canada Digital Credentials</w:t>
        </w:r>
      </w:hyperlink>
    </w:p>
    <w:p>
      <w:pPr>
        <w:numPr>
          <w:ilvl w:val="0"/>
          <w:numId w:val="1032"/>
        </w:numPr>
        <w:pStyle w:val="Compact"/>
      </w:pPr>
      <w:hyperlink r:id="rId123">
        <w:r>
          <w:rPr>
            <w:rStyle w:val="Hyperlink"/>
          </w:rPr>
          <w:t xml:space="preserve">User-Centric Verifiable Digital Credentials</w:t>
        </w:r>
      </w:hyperlink>
    </w:p>
    <w:p>
      <w:pPr>
        <w:numPr>
          <w:ilvl w:val="0"/>
          <w:numId w:val="1032"/>
        </w:numPr>
        <w:pStyle w:val="Compact"/>
      </w:pPr>
      <w:hyperlink r:id="rId34">
        <w:r>
          <w:rPr>
            <w:rStyle w:val="Hyperlink"/>
          </w:rPr>
          <w:t xml:space="preserve">California Legislature: SB-786 County birth, death, and marriage records: blockchain</w:t>
        </w:r>
      </w:hyperlink>
    </w:p>
    <w:p>
      <w:pPr>
        <w:numPr>
          <w:ilvl w:val="0"/>
          <w:numId w:val="1032"/>
        </w:numPr>
        <w:pStyle w:val="Compact"/>
      </w:pPr>
      <w:hyperlink r:id="rId124">
        <w:r>
          <w:rPr>
            <w:rStyle w:val="Hyperlink"/>
          </w:rPr>
          <w:t xml:space="preserve">DHS Scaling Interoperability</w:t>
        </w:r>
      </w:hyperlink>
    </w:p>
    <w:p>
      <w:pPr>
        <w:numPr>
          <w:ilvl w:val="0"/>
          <w:numId w:val="1032"/>
        </w:numPr>
        <w:pStyle w:val="Compact"/>
      </w:pPr>
      <w:hyperlink r:id="rId125">
        <w:r>
          <w:rPr>
            <w:rStyle w:val="Hyperlink"/>
          </w:rPr>
          <w:t xml:space="preserve">DHS Implementation Profile</w:t>
        </w:r>
      </w:hyperlink>
    </w:p>
    <w:p>
      <w:pPr>
        <w:numPr>
          <w:ilvl w:val="0"/>
          <w:numId w:val="1032"/>
        </w:numPr>
        <w:pStyle w:val="Compact"/>
      </w:pPr>
      <w:hyperlink r:id="rId126">
        <w:r>
          <w:rPr>
            <w:rStyle w:val="Hyperlink"/>
          </w:rPr>
          <w:t xml:space="preserve">EBSI Publications</w:t>
        </w:r>
      </w:hyperlink>
    </w:p>
    <w:p>
      <w:pPr>
        <w:numPr>
          <w:ilvl w:val="0"/>
          <w:numId w:val="1032"/>
        </w:numPr>
        <w:pStyle w:val="Compact"/>
      </w:pPr>
      <w:hyperlink r:id="rId127">
        <w:r>
          <w:rPr>
            <w:rStyle w:val="Hyperlink"/>
          </w:rPr>
          <w:t xml:space="preserve">European Digital Identity Framework</w:t>
        </w:r>
      </w:hyperlink>
    </w:p>
    <w:p>
      <w:pPr>
        <w:numPr>
          <w:ilvl w:val="0"/>
          <w:numId w:val="1032"/>
        </w:numPr>
        <w:pStyle w:val="Compact"/>
      </w:pPr>
      <w:hyperlink r:id="rId128">
        <w:r>
          <w:rPr>
            <w:rStyle w:val="Hyperlink"/>
          </w:rPr>
          <w:t xml:space="preserve">Europen Digital Identity Wallet Consortium</w:t>
        </w:r>
      </w:hyperlink>
    </w:p>
    <w:bookmarkEnd w:id="129"/>
    <w:bookmarkStart w:id="153" w:name="Xfe8399da4d18cf48cd2447f69c2ed0453d42dfc"/>
    <w:p>
      <w:pPr>
        <w:pStyle w:val="Heading2"/>
      </w:pPr>
      <w:r>
        <w:rPr>
          <w:rStyle w:val="SectionNumber"/>
        </w:rPr>
        <w:t xml:space="preserve">5.4</w:t>
      </w:r>
      <w:r>
        <w:tab/>
      </w:r>
      <w:r>
        <w:t xml:space="preserve">Specifications, Standards and Recommendations for Conformity Assessment</w:t>
      </w:r>
    </w:p>
    <w:p>
      <w:pPr>
        <w:pStyle w:val="FirstParagraph"/>
      </w:pPr>
      <w:r>
        <w:t xml:space="preserve">References to specifications,standards and recommendations for consideration as part of the conformity assessment scheme.</w:t>
      </w:r>
    </w:p>
    <w:p>
      <w:pPr>
        <w:numPr>
          <w:ilvl w:val="0"/>
          <w:numId w:val="1033"/>
        </w:numPr>
        <w:pStyle w:val="Compact"/>
      </w:pPr>
      <w:hyperlink r:id="rId130">
        <w:r>
          <w:rPr>
            <w:rStyle w:val="Hyperlink"/>
          </w:rPr>
          <w:t xml:space="preserve">Hyperledger AnonCreds</w:t>
        </w:r>
      </w:hyperlink>
    </w:p>
    <w:p>
      <w:pPr>
        <w:numPr>
          <w:ilvl w:val="0"/>
          <w:numId w:val="1033"/>
        </w:numPr>
        <w:pStyle w:val="Compact"/>
      </w:pPr>
      <w:hyperlink r:id="rId131">
        <w:r>
          <w:rPr>
            <w:rStyle w:val="Hyperlink"/>
          </w:rPr>
          <w:t xml:space="preserve">Hyperledger Aries Interop Profile</w:t>
        </w:r>
      </w:hyperlink>
    </w:p>
    <w:p>
      <w:pPr>
        <w:numPr>
          <w:ilvl w:val="0"/>
          <w:numId w:val="1033"/>
        </w:numPr>
        <w:pStyle w:val="Compact"/>
      </w:pPr>
      <w:hyperlink r:id="rId132">
        <w:r>
          <w:rPr>
            <w:rStyle w:val="Hyperlink"/>
          </w:rPr>
          <w:t xml:space="preserve">W3C Decentralized Identifiers v1.0</w:t>
        </w:r>
      </w:hyperlink>
    </w:p>
    <w:p>
      <w:pPr>
        <w:numPr>
          <w:ilvl w:val="0"/>
          <w:numId w:val="1033"/>
        </w:numPr>
        <w:pStyle w:val="Compact"/>
      </w:pPr>
      <w:hyperlink r:id="rId133">
        <w:r>
          <w:rPr>
            <w:rStyle w:val="Hyperlink"/>
          </w:rPr>
          <w:t xml:space="preserve">W3C Verifiable Credentials Data Model</w:t>
        </w:r>
      </w:hyperlink>
    </w:p>
    <w:p>
      <w:pPr>
        <w:numPr>
          <w:ilvl w:val="0"/>
          <w:numId w:val="1033"/>
        </w:numPr>
        <w:pStyle w:val="Compact"/>
      </w:pPr>
      <w:hyperlink r:id="rId134">
        <w:r>
          <w:rPr>
            <w:rStyle w:val="Hyperlink"/>
          </w:rPr>
          <w:t xml:space="preserve">W3C Verifiable Credential JWT</w:t>
        </w:r>
      </w:hyperlink>
    </w:p>
    <w:p>
      <w:pPr>
        <w:numPr>
          <w:ilvl w:val="0"/>
          <w:numId w:val="1033"/>
        </w:numPr>
        <w:pStyle w:val="Compact"/>
      </w:pPr>
      <w:hyperlink r:id="rId135">
        <w:r>
          <w:rPr>
            <w:rStyle w:val="Hyperlink"/>
          </w:rPr>
          <w:t xml:space="preserve">ISO 18013-5:2021 Personal Identification Part 5: Mobile Driving Licence</w:t>
        </w:r>
      </w:hyperlink>
    </w:p>
    <w:p>
      <w:pPr>
        <w:numPr>
          <w:ilvl w:val="0"/>
          <w:numId w:val="1033"/>
        </w:numPr>
        <w:pStyle w:val="Compact"/>
      </w:pPr>
      <w:hyperlink r:id="rId136">
        <w:r>
          <w:rPr>
            <w:rStyle w:val="Hyperlink"/>
          </w:rPr>
          <w:t xml:space="preserve">IETF SD-JWT</w:t>
        </w:r>
      </w:hyperlink>
    </w:p>
    <w:p>
      <w:pPr>
        <w:numPr>
          <w:ilvl w:val="0"/>
          <w:numId w:val="1033"/>
        </w:numPr>
        <w:pStyle w:val="Compact"/>
      </w:pPr>
      <w:hyperlink r:id="rId137">
        <w:r>
          <w:rPr>
            <w:rStyle w:val="Hyperlink"/>
          </w:rPr>
          <w:t xml:space="preserve">IEFT CBOR Web Token RFC 8392</w:t>
        </w:r>
      </w:hyperlink>
    </w:p>
    <w:p>
      <w:pPr>
        <w:numPr>
          <w:ilvl w:val="0"/>
          <w:numId w:val="1033"/>
        </w:numPr>
        <w:pStyle w:val="Compact"/>
      </w:pPr>
      <w:hyperlink r:id="rId138">
        <w:r>
          <w:rPr>
            <w:rStyle w:val="Hyperlink"/>
          </w:rPr>
          <w:t xml:space="preserve">IETF JSON Web Proof</w:t>
        </w:r>
      </w:hyperlink>
    </w:p>
    <w:p>
      <w:pPr>
        <w:numPr>
          <w:ilvl w:val="0"/>
          <w:numId w:val="1033"/>
        </w:numPr>
        <w:pStyle w:val="Compact"/>
      </w:pPr>
      <w:hyperlink r:id="rId139">
        <w:r>
          <w:rPr>
            <w:rStyle w:val="Hyperlink"/>
          </w:rPr>
          <w:t xml:space="preserve">ToIP Trust Registry V1 Protocol Specification</w:t>
        </w:r>
      </w:hyperlink>
    </w:p>
    <w:p>
      <w:pPr>
        <w:numPr>
          <w:ilvl w:val="0"/>
          <w:numId w:val="1033"/>
        </w:numPr>
        <w:pStyle w:val="Compact"/>
      </w:pPr>
      <w:hyperlink r:id="rId140">
        <w:r>
          <w:rPr>
            <w:rStyle w:val="Hyperlink"/>
          </w:rPr>
          <w:t xml:space="preserve">DIF DIDComm Messaging Specification</w:t>
        </w:r>
      </w:hyperlink>
    </w:p>
    <w:p>
      <w:pPr>
        <w:numPr>
          <w:ilvl w:val="0"/>
          <w:numId w:val="1033"/>
        </w:numPr>
        <w:pStyle w:val="Compact"/>
      </w:pPr>
      <w:hyperlink r:id="rId141">
        <w:r>
          <w:rPr>
            <w:rStyle w:val="Hyperlink"/>
          </w:rPr>
          <w:t xml:space="preserve">DIF Well Known DID Configuration</w:t>
        </w:r>
      </w:hyperlink>
    </w:p>
    <w:p>
      <w:pPr>
        <w:numPr>
          <w:ilvl w:val="0"/>
          <w:numId w:val="1033"/>
        </w:numPr>
        <w:pStyle w:val="Compact"/>
      </w:pPr>
      <w:hyperlink r:id="rId141">
        <w:r>
          <w:rPr>
            <w:rStyle w:val="Hyperlink"/>
          </w:rPr>
          <w:t xml:space="preserve">DIF Peer DID Method Specification</w:t>
        </w:r>
      </w:hyperlink>
    </w:p>
    <w:p>
      <w:pPr>
        <w:numPr>
          <w:ilvl w:val="0"/>
          <w:numId w:val="1033"/>
        </w:numPr>
        <w:pStyle w:val="Compact"/>
      </w:pPr>
      <w:hyperlink r:id="rId142">
        <w:r>
          <w:rPr>
            <w:rStyle w:val="Hyperlink"/>
          </w:rPr>
          <w:t xml:space="preserve">DIF Confidential Data Storage</w:t>
        </w:r>
      </w:hyperlink>
    </w:p>
    <w:p>
      <w:pPr>
        <w:numPr>
          <w:ilvl w:val="0"/>
          <w:numId w:val="1033"/>
        </w:numPr>
        <w:pStyle w:val="Compact"/>
      </w:pPr>
      <w:hyperlink r:id="rId143">
        <w:r>
          <w:rPr>
            <w:rStyle w:val="Hyperlink"/>
          </w:rPr>
          <w:t xml:space="preserve">DIF BBS Signature Scheme</w:t>
        </w:r>
      </w:hyperlink>
    </w:p>
    <w:p>
      <w:pPr>
        <w:numPr>
          <w:ilvl w:val="0"/>
          <w:numId w:val="1033"/>
        </w:numPr>
        <w:pStyle w:val="Compact"/>
      </w:pPr>
      <w:hyperlink r:id="rId144">
        <w:r>
          <w:rPr>
            <w:rStyle w:val="Hyperlink"/>
          </w:rPr>
          <w:t xml:space="preserve">ICAO Guiding Core Principles for the Development of Digital Travel Credential</w:t>
        </w:r>
      </w:hyperlink>
    </w:p>
    <w:p>
      <w:pPr>
        <w:numPr>
          <w:ilvl w:val="0"/>
          <w:numId w:val="1033"/>
        </w:numPr>
        <w:pStyle w:val="Compact"/>
      </w:pPr>
      <w:hyperlink r:id="rId145">
        <w:r>
          <w:rPr>
            <w:rStyle w:val="Hyperlink"/>
          </w:rPr>
          <w:t xml:space="preserve">ICAO Machine Readable Travel Documents</w:t>
        </w:r>
      </w:hyperlink>
    </w:p>
    <w:p>
      <w:pPr>
        <w:numPr>
          <w:ilvl w:val="0"/>
          <w:numId w:val="1033"/>
        </w:numPr>
        <w:pStyle w:val="Compact"/>
      </w:pPr>
      <w:hyperlink r:id="rId146">
        <w:r>
          <w:rPr>
            <w:rStyle w:val="Hyperlink"/>
          </w:rPr>
          <w:t xml:space="preserve">OAuth Working Group Specifications: Active Drafts and RFCs</w:t>
        </w:r>
      </w:hyperlink>
    </w:p>
    <w:p>
      <w:pPr>
        <w:numPr>
          <w:ilvl w:val="0"/>
          <w:numId w:val="1033"/>
        </w:numPr>
        <w:pStyle w:val="Compact"/>
      </w:pPr>
      <w:hyperlink r:id="rId147">
        <w:r>
          <w:rPr>
            <w:rStyle w:val="Hyperlink"/>
          </w:rPr>
          <w:t xml:space="preserve">ITU Public-key and attribute certificate frameworks</w:t>
        </w:r>
      </w:hyperlink>
    </w:p>
    <w:p>
      <w:pPr>
        <w:numPr>
          <w:ilvl w:val="0"/>
          <w:numId w:val="1033"/>
        </w:numPr>
        <w:pStyle w:val="Compact"/>
      </w:pPr>
      <w:hyperlink r:id="rId148">
        <w:r>
          <w:rPr>
            <w:rStyle w:val="Hyperlink"/>
          </w:rPr>
          <w:t xml:space="preserve">ITU Recommendation X.509 (10/19)</w:t>
        </w:r>
      </w:hyperlink>
    </w:p>
    <w:p>
      <w:pPr>
        <w:numPr>
          <w:ilvl w:val="0"/>
          <w:numId w:val="1033"/>
        </w:numPr>
        <w:pStyle w:val="Compact"/>
      </w:pPr>
      <w:hyperlink r:id="rId149">
        <w:r>
          <w:rPr>
            <w:rStyle w:val="Hyperlink"/>
          </w:rPr>
          <w:t xml:space="preserve">OpenID for Verifiable Credential Issuance</w:t>
        </w:r>
      </w:hyperlink>
    </w:p>
    <w:p>
      <w:pPr>
        <w:numPr>
          <w:ilvl w:val="0"/>
          <w:numId w:val="1033"/>
        </w:numPr>
        <w:pStyle w:val="Compact"/>
      </w:pPr>
      <w:hyperlink r:id="rId150">
        <w:r>
          <w:rPr>
            <w:rStyle w:val="Hyperlink"/>
          </w:rPr>
          <w:t xml:space="preserve">OpenID for Verifiable Presentations</w:t>
        </w:r>
      </w:hyperlink>
    </w:p>
    <w:p>
      <w:pPr>
        <w:numPr>
          <w:ilvl w:val="0"/>
          <w:numId w:val="1033"/>
        </w:numPr>
        <w:pStyle w:val="Compact"/>
      </w:pPr>
      <w:hyperlink r:id="rId151">
        <w:r>
          <w:rPr>
            <w:rStyle w:val="Hyperlink"/>
          </w:rPr>
          <w:t xml:space="preserve">OpenID for Self-Issued OpenID Provider v2</w:t>
        </w:r>
      </w:hyperlink>
    </w:p>
    <w:p>
      <w:pPr>
        <w:numPr>
          <w:ilvl w:val="0"/>
          <w:numId w:val="1033"/>
        </w:numPr>
        <w:pStyle w:val="Compact"/>
      </w:pPr>
      <w:hyperlink r:id="rId152">
        <w:r>
          <w:rPr>
            <w:rStyle w:val="Hyperlink"/>
          </w:rPr>
          <w:t xml:space="preserve">FIDO Alliance Specifications</w:t>
        </w:r>
      </w:hyperlink>
    </w:p>
    <w:bookmarkEnd w:id="153"/>
    <w:bookmarkStart w:id="163" w:name="X7b220ed57c64e92daf14afbfdce5fbbe54b9328"/>
    <w:p>
      <w:pPr>
        <w:pStyle w:val="Heading2"/>
      </w:pPr>
      <w:r>
        <w:rPr>
          <w:rStyle w:val="SectionNumber"/>
        </w:rPr>
        <w:t xml:space="preserve">5.5</w:t>
      </w:r>
      <w:r>
        <w:tab/>
      </w:r>
      <w:r>
        <w:t xml:space="preserve">Services, Test Suites and Demonstration Instances</w:t>
      </w:r>
    </w:p>
    <w:p>
      <w:pPr>
        <w:numPr>
          <w:ilvl w:val="0"/>
          <w:numId w:val="1034"/>
        </w:numPr>
        <w:pStyle w:val="Compact"/>
      </w:pPr>
      <w:hyperlink r:id="rId154">
        <w:r>
          <w:rPr>
            <w:rStyle w:val="Hyperlink"/>
          </w:rPr>
          <w:t xml:space="preserve">Universal Resolver: GitHub Repo</w:t>
        </w:r>
      </w:hyperlink>
    </w:p>
    <w:p>
      <w:pPr>
        <w:numPr>
          <w:ilvl w:val="0"/>
          <w:numId w:val="1034"/>
        </w:numPr>
        <w:pStyle w:val="Compact"/>
      </w:pPr>
      <w:hyperlink r:id="rId155">
        <w:r>
          <w:rPr>
            <w:rStyle w:val="Hyperlink"/>
          </w:rPr>
          <w:t xml:space="preserve">Universal Resolver: DIF Hosted Instance</w:t>
        </w:r>
      </w:hyperlink>
    </w:p>
    <w:p>
      <w:pPr>
        <w:numPr>
          <w:ilvl w:val="0"/>
          <w:numId w:val="1034"/>
        </w:numPr>
        <w:pStyle w:val="Compact"/>
      </w:pPr>
      <w:hyperlink r:id="rId156">
        <w:r>
          <w:rPr>
            <w:rStyle w:val="Hyperlink"/>
          </w:rPr>
          <w:t xml:space="preserve">W3C Verifiable Credentials Working Group Test Suite</w:t>
        </w:r>
      </w:hyperlink>
    </w:p>
    <w:p>
      <w:pPr>
        <w:numPr>
          <w:ilvl w:val="0"/>
          <w:numId w:val="1034"/>
        </w:numPr>
        <w:pStyle w:val="Compact"/>
      </w:pPr>
      <w:hyperlink r:id="rId157">
        <w:r>
          <w:rPr>
            <w:rStyle w:val="Hyperlink"/>
          </w:rPr>
          <w:t xml:space="preserve">IDLAB W3C VC Conformance Assessment and Testing Report</w:t>
        </w:r>
      </w:hyperlink>
    </w:p>
    <w:p>
      <w:pPr>
        <w:numPr>
          <w:ilvl w:val="0"/>
          <w:numId w:val="1034"/>
        </w:numPr>
        <w:pStyle w:val="Compact"/>
      </w:pPr>
      <w:hyperlink r:id="rId158">
        <w:r>
          <w:rPr>
            <w:rStyle w:val="Hyperlink"/>
          </w:rPr>
          <w:t xml:space="preserve">IDLAB Assessment Programs</w:t>
        </w:r>
      </w:hyperlink>
    </w:p>
    <w:p>
      <w:pPr>
        <w:numPr>
          <w:ilvl w:val="0"/>
          <w:numId w:val="1034"/>
        </w:numPr>
        <w:pStyle w:val="Compact"/>
      </w:pPr>
      <w:hyperlink r:id="rId159">
        <w:r>
          <w:rPr>
            <w:rStyle w:val="Hyperlink"/>
          </w:rPr>
          <w:t xml:space="preserve">Hyperledger Aries Agent Test Harness</w:t>
        </w:r>
      </w:hyperlink>
    </w:p>
    <w:p>
      <w:pPr>
        <w:numPr>
          <w:ilvl w:val="0"/>
          <w:numId w:val="1034"/>
        </w:numPr>
        <w:pStyle w:val="Compact"/>
      </w:pPr>
      <w:hyperlink r:id="rId160">
        <w:r>
          <w:rPr>
            <w:rStyle w:val="Hyperlink"/>
          </w:rPr>
          <w:t xml:space="preserve">Hyperleger Aries Mobile Test Harness</w:t>
        </w:r>
      </w:hyperlink>
    </w:p>
    <w:p>
      <w:pPr>
        <w:numPr>
          <w:ilvl w:val="0"/>
          <w:numId w:val="1034"/>
        </w:numPr>
        <w:pStyle w:val="Compact"/>
      </w:pPr>
      <w:hyperlink r:id="rId161">
        <w:r>
          <w:rPr>
            <w:rStyle w:val="Hyperlink"/>
          </w:rPr>
          <w:t xml:space="preserve">Hyperledger Aries Interoperability Information</w:t>
        </w:r>
      </w:hyperlink>
    </w:p>
    <w:p>
      <w:pPr>
        <w:numPr>
          <w:ilvl w:val="0"/>
          <w:numId w:val="1034"/>
        </w:numPr>
        <w:pStyle w:val="Compact"/>
      </w:pPr>
      <w:hyperlink r:id="rId162">
        <w:r>
          <w:rPr>
            <w:rStyle w:val="Hyperlink"/>
          </w:rPr>
          <w:t xml:space="preserve">Tonomy DID-JWT-VC implementation</w:t>
        </w:r>
      </w:hyperlink>
    </w:p>
    <w:bookmarkEnd w:id="163"/>
    <w:bookmarkStart w:id="172" w:name="X23016eb82d7a5ba3b2157f8e774e79865846752"/>
    <w:p>
      <w:pPr>
        <w:pStyle w:val="Heading2"/>
      </w:pPr>
      <w:r>
        <w:rPr>
          <w:rStyle w:val="SectionNumber"/>
        </w:rPr>
        <w:t xml:space="preserve">5.6</w:t>
      </w:r>
      <w:r>
        <w:tab/>
      </w:r>
      <w:r>
        <w:t xml:space="preserve">Industry/Vendor Reports, Blogs, Media Articles, etc.</w:t>
      </w:r>
    </w:p>
    <w:p>
      <w:pPr>
        <w:numPr>
          <w:ilvl w:val="0"/>
          <w:numId w:val="1035"/>
        </w:numPr>
        <w:pStyle w:val="Compact"/>
      </w:pPr>
      <w:hyperlink r:id="rId164">
        <w:r>
          <w:rPr>
            <w:rStyle w:val="Hyperlink"/>
          </w:rPr>
          <w:t xml:space="preserve">Sept 29, 2022 The Importance of Open Source Digital Wallets to the Future of the Internet</w:t>
        </w:r>
      </w:hyperlink>
    </w:p>
    <w:p>
      <w:pPr>
        <w:numPr>
          <w:ilvl w:val="0"/>
          <w:numId w:val="1035"/>
        </w:numPr>
        <w:pStyle w:val="Compact"/>
      </w:pPr>
      <w:hyperlink r:id="rId165">
        <w:r>
          <w:rPr>
            <w:rStyle w:val="Hyperlink"/>
          </w:rPr>
          <w:t xml:space="preserve">Sept 21, 2022 Decoupling AnonCreds from Hyperledger Indy</w:t>
        </w:r>
      </w:hyperlink>
    </w:p>
    <w:p>
      <w:pPr>
        <w:numPr>
          <w:ilvl w:val="0"/>
          <w:numId w:val="1035"/>
        </w:numPr>
        <w:pStyle w:val="Compact"/>
      </w:pPr>
      <w:hyperlink r:id="rId166">
        <w:r>
          <w:rPr>
            <w:rStyle w:val="Hyperlink"/>
          </w:rPr>
          <w:t xml:space="preserve">July 27, 2022 Aries Agent Test Harness Enhancemement Project</w:t>
        </w:r>
      </w:hyperlink>
    </w:p>
    <w:p>
      <w:pPr>
        <w:numPr>
          <w:ilvl w:val="0"/>
          <w:numId w:val="1035"/>
        </w:numPr>
        <w:pStyle w:val="Compact"/>
      </w:pPr>
      <w:hyperlink r:id="rId167">
        <w:r>
          <w:rPr>
            <w:rStyle w:val="Hyperlink"/>
          </w:rPr>
          <w:t xml:space="preserve">Oct 27, 2021 continuumloop Digital Wallet Report</w:t>
        </w:r>
      </w:hyperlink>
    </w:p>
    <w:p>
      <w:pPr>
        <w:numPr>
          <w:ilvl w:val="0"/>
          <w:numId w:val="1035"/>
        </w:numPr>
        <w:pStyle w:val="Compact"/>
      </w:pPr>
      <w:hyperlink r:id="rId168">
        <w:r>
          <w:rPr>
            <w:rStyle w:val="Hyperlink"/>
          </w:rPr>
          <w:t xml:space="preserve">Apr 28, 2019 continuumloop The Current and Future State of Digital Wallets</w:t>
        </w:r>
      </w:hyperlink>
    </w:p>
    <w:p>
      <w:pPr>
        <w:numPr>
          <w:ilvl w:val="0"/>
          <w:numId w:val="1035"/>
        </w:numPr>
        <w:pStyle w:val="Compact"/>
      </w:pPr>
      <w:hyperlink r:id="rId169">
        <w:r>
          <w:rPr>
            <w:rStyle w:val="Hyperlink"/>
          </w:rPr>
          <w:t xml:space="preserve">Cryptography Review of W3C Verifiable Credentials Data Model (VCDM) and Decentralized Identifiers (DIDs) Standards and Cryptography Implementation Recommendations</w:t>
        </w:r>
      </w:hyperlink>
    </w:p>
    <w:p>
      <w:pPr>
        <w:numPr>
          <w:ilvl w:val="0"/>
          <w:numId w:val="1035"/>
        </w:numPr>
        <w:pStyle w:val="Compact"/>
      </w:pPr>
      <w:hyperlink r:id="rId170">
        <w:r>
          <w:rPr>
            <w:rStyle w:val="Hyperlink"/>
          </w:rPr>
          <w:t xml:space="preserve">Cross Community Architecture Survey</w:t>
        </w:r>
      </w:hyperlink>
    </w:p>
    <w:p>
      <w:pPr>
        <w:numPr>
          <w:ilvl w:val="0"/>
          <w:numId w:val="1035"/>
        </w:numPr>
        <w:pStyle w:val="Compact"/>
      </w:pPr>
      <w:hyperlink r:id="rId171">
        <w:r>
          <w:rPr>
            <w:rStyle w:val="Hyperlink"/>
          </w:rPr>
          <w:t xml:space="preserve">Tonomy - How Best to Implement and in which VC Library?</w:t>
        </w:r>
      </w:hyperlink>
    </w:p>
    <w:bookmarkEnd w:id="172"/>
    <w:bookmarkStart w:id="174" w:name="academic-research-and-papers"/>
    <w:p>
      <w:pPr>
        <w:pStyle w:val="Heading2"/>
      </w:pPr>
      <w:r>
        <w:rPr>
          <w:rStyle w:val="SectionNumber"/>
        </w:rPr>
        <w:t xml:space="preserve">5.7</w:t>
      </w:r>
      <w:r>
        <w:tab/>
      </w:r>
      <w:r>
        <w:t xml:space="preserve">Academic Research and Papers</w:t>
      </w:r>
    </w:p>
    <w:p>
      <w:pPr>
        <w:pStyle w:val="FirstParagraph"/>
      </w:pPr>
      <w:r>
        <w:t xml:space="preserve">*</w:t>
      </w:r>
      <w:hyperlink r:id="rId173">
        <w:r>
          <w:rPr>
            <w:rStyle w:val="Hyperlink"/>
          </w:rPr>
          <w:t xml:space="preserve">Stanford Proofs in Cyptography</w:t>
        </w:r>
      </w:hyperlink>
    </w:p>
    <w:p>
      <w:pPr>
        <w:pStyle w:val="BodyText"/>
      </w:pPr>
      <w:r>
        <w:t xml:space="preserve">–end–</w:t>
      </w:r>
    </w:p>
    <w:bookmarkEnd w:id="174"/>
    <w:bookmarkEnd w:id="175"/>
    <w:sectPr w:rsidR="008638C4">
      <w:headerReference r:id="rId9" w:type="default"/>
      <w:footerReference r:id="rId11"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7895077"/>
      <w:docPartObj>
        <w:docPartGallery w:val="Page Numbers (Bottom of Page)"/>
        <w:docPartUnique/>
      </w:docPartObj>
    </w:sdtPr>
    <w:sdtContent>
      <w:p w14:paraId="37D04F88" w14:textId="708152F0" w:rsidR="00201DE2" w:rsidRDefault="00201DE2" w:rsidP="007879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D34032" w14:textId="77777777" w:rsidR="00201DE2" w:rsidRDefault="00201DE2" w:rsidP="00201D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2927653"/>
      <w:docPartObj>
        <w:docPartGallery w:val="Page Numbers (Bottom of Page)"/>
        <w:docPartUnique/>
      </w:docPartObj>
    </w:sdtPr>
    <w:sdtContent>
      <w:p w14:paraId="246069BB" w14:textId="3D168F59" w:rsidR="00201DE2" w:rsidRDefault="00201DE2" w:rsidP="007879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27EEAD" w14:textId="717835A6" w:rsidR="005F6FD6" w:rsidRPr="00022205" w:rsidRDefault="00022205" w:rsidP="00201DE2">
    <w:pPr>
      <w:pStyle w:val="Footer"/>
      <w:ind w:right="360"/>
      <w:rPr>
        <w:sz w:val="20"/>
        <w:szCs w:val="20"/>
        <w:lang w:val="en-CA"/>
      </w:rPr>
    </w:pPr>
    <w:r>
      <w:rPr>
        <w:sz w:val="20"/>
        <w:szCs w:val="20"/>
        <w:lang w:val="en-CA"/>
      </w:rPr>
      <w:t xml:space="preserve">© 2002 CIO </w:t>
    </w:r>
    <w:r w:rsidR="005F6FD6">
      <w:rPr>
        <w:sz w:val="20"/>
        <w:szCs w:val="20"/>
        <w:lang w:val="en-CA"/>
      </w:rPr>
      <w:t>SC 2022 – All rights reserved. Unauthorized reproduction is strictly prohibited.</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6081" w14:textId="1240C3CA" w:rsidR="00606352" w:rsidRPr="00606352" w:rsidRDefault="00606352" w:rsidP="00606352">
    <w:pPr>
      <w:pStyle w:val="Header"/>
      <w:jc w:val="right"/>
      <w:rPr>
        <w:lang w:val="en-CA"/>
      </w:rPr>
    </w:pPr>
    <w:r>
      <w:rPr>
        <w:lang w:val="en-CA"/>
      </w:rPr>
      <w:t>CAN/CIOSC TS 115:2022 (D1)</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8C45BA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496C25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E808299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94A6F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32433E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B6857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5D4BDB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FDA9AB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CB4DD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1901E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4F54B4E"/>
    <w:multiLevelType w:val="multilevel"/>
    <w:tmpl w:val="D022215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1">
    <w:nsid w:val="0F85248F"/>
    <w:multiLevelType w:val="multilevel"/>
    <w:tmpl w:val="11B82D5A"/>
    <w:lvl w:ilvl="0">
      <w:start w:val="1"/>
      <w:numFmt w:val="decimal"/>
      <w:pStyle w:val="Heading1"/>
      <w:lvlText w:val="%1"/>
      <w:lvlJc w:val="left"/>
      <w:pPr>
        <w:ind w:hanging="360" w:left="360"/>
      </w:pPr>
      <w:rPr>
        <w:rFonts w:hint="default"/>
      </w:rPr>
    </w:lvl>
    <w:lvl w:ilvl="1">
      <w:start w:val="1"/>
      <w:numFmt w:val="decimal"/>
      <w:pStyle w:val="Heading2"/>
      <w:lvlText w:val="%1.%2"/>
      <w:lvlJc w:val="left"/>
      <w:pPr>
        <w:ind w:hanging="432" w:left="792"/>
      </w:pPr>
      <w:rPr>
        <w:rFonts w:hint="default"/>
      </w:rPr>
    </w:lvl>
    <w:lvl w:ilvl="2">
      <w:start w:val="1"/>
      <w:numFmt w:val="decimal"/>
      <w:pStyle w:val="Heading3"/>
      <w:lvlText w:val="%1.%2.%3"/>
      <w:lvlJc w:val="left"/>
      <w:pPr>
        <w:ind w:hanging="504" w:left="1224"/>
      </w:pPr>
      <w:rPr>
        <w:rFonts w:hint="default"/>
      </w:rPr>
    </w:lvl>
    <w:lvl w:ilvl="3">
      <w:start w:val="1"/>
      <w:numFmt w:val="decimal"/>
      <w:pStyle w:val="Heading4"/>
      <w:lvlText w:val="%1.%2.%3.%4"/>
      <w:lvlJc w:val="left"/>
      <w:pPr>
        <w:ind w:hanging="648" w:left="1728"/>
      </w:pPr>
      <w:rPr>
        <w:rFonts w:hint="default"/>
      </w:rPr>
    </w:lvl>
    <w:lvl w:ilvl="4">
      <w:start w:val="1"/>
      <w:numFmt w:val="decimal"/>
      <w:pStyle w:val="Heading5"/>
      <w:lvlText w:val="%1.%2.%3.%4.%5"/>
      <w:lvlJc w:val="left"/>
      <w:pPr>
        <w:ind w:hanging="792" w:left="2232"/>
      </w:pPr>
      <w:rPr>
        <w:rFonts w:hint="default"/>
      </w:rPr>
    </w:lvl>
    <w:lvl w:ilvl="5">
      <w:start w:val="1"/>
      <w:numFmt w:val="decimal"/>
      <w:pStyle w:val="Heading6"/>
      <w:lvlText w:val="%1.%2.%3.%4.%5.%6"/>
      <w:lvlJc w:val="left"/>
      <w:pPr>
        <w:ind w:hanging="936" w:left="2736"/>
      </w:pPr>
      <w:rPr>
        <w:rFonts w:hint="default"/>
      </w:rPr>
    </w:lvl>
    <w:lvl w:ilvl="6">
      <w:start w:val="1"/>
      <w:numFmt w:val="decimal"/>
      <w:pStyle w:val="Heading7"/>
      <w:lvlText w:val="%1.%2.%3.%4.%5.%6.%7"/>
      <w:lvlJc w:val="left"/>
      <w:pPr>
        <w:ind w:hanging="1080" w:left="3240"/>
      </w:pPr>
      <w:rPr>
        <w:rFonts w:hint="default"/>
      </w:rPr>
    </w:lvl>
    <w:lvl w:ilvl="7">
      <w:start w:val="1"/>
      <w:numFmt w:val="decimal"/>
      <w:pStyle w:val="Heading8"/>
      <w:lvlText w:val="%1.%2.%3.%4.%5.%6.%7.%8"/>
      <w:lvlJc w:val="left"/>
      <w:pPr>
        <w:ind w:hanging="1224" w:left="3744"/>
      </w:pPr>
      <w:rPr>
        <w:rFonts w:hint="default"/>
      </w:rPr>
    </w:lvl>
    <w:lvl w:ilvl="8">
      <w:start w:val="1"/>
      <w:numFmt w:val="decimal"/>
      <w:pStyle w:val="Heading9"/>
      <w:lvlText w:val="%1.%2.%3.%4.%5.%6.%7.%8.%9"/>
      <w:lvlJc w:val="left"/>
      <w:pPr>
        <w:ind w:hanging="1440" w:left="4320"/>
      </w:pPr>
      <w:rPr>
        <w:rFonts w:hint="default"/>
      </w:rPr>
    </w:lvl>
  </w:abstractNum>
  <w:abstractNum w15:restartNumberingAfterBreak="0" w:abstractNumId="12">
    <w:nsid w:val="170CD2DE"/>
    <w:multiLevelType w:val="multilevel"/>
    <w:tmpl w:val="BA4C8B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9427E09"/>
    <w:multiLevelType w:val="multilevel"/>
    <w:tmpl w:val="B66868D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4E568D1"/>
    <w:multiLevelType w:val="multilevel"/>
    <w:tmpl w:val="5882F3E8"/>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437B1845"/>
    <w:multiLevelType w:val="multilevel"/>
    <w:tmpl w:val="9978354A"/>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6">
    <w:nsid w:val="4FCE6789"/>
    <w:multiLevelType w:val="multilevel"/>
    <w:tmpl w:val="B9B2559C"/>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7">
    <w:nsid w:val="53965803"/>
    <w:multiLevelType w:val="multilevel"/>
    <w:tmpl w:val="CD6E946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5F063EFC"/>
    <w:multiLevelType w:val="multilevel"/>
    <w:tmpl w:val="3554681E"/>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9">
    <w:nsid w:val="6244120B"/>
    <w:multiLevelType w:val="multilevel"/>
    <w:tmpl w:val="72464CF2"/>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81319941" w:numId="1">
    <w:abstractNumId w:val="12"/>
  </w:num>
  <w:num w16cid:durableId="787046651" w:numId="2">
    <w:abstractNumId w:val="0"/>
  </w:num>
  <w:num w16cid:durableId="1407873214" w:numId="3">
    <w:abstractNumId w:val="1"/>
  </w:num>
  <w:num w16cid:durableId="1406151398" w:numId="4">
    <w:abstractNumId w:val="2"/>
  </w:num>
  <w:num w16cid:durableId="860163334" w:numId="5">
    <w:abstractNumId w:val="3"/>
  </w:num>
  <w:num w16cid:durableId="1099180620" w:numId="6">
    <w:abstractNumId w:val="8"/>
  </w:num>
  <w:num w16cid:durableId="1475609604" w:numId="7">
    <w:abstractNumId w:val="4"/>
  </w:num>
  <w:num w16cid:durableId="776559473" w:numId="8">
    <w:abstractNumId w:val="5"/>
  </w:num>
  <w:num w16cid:durableId="1976372116" w:numId="9">
    <w:abstractNumId w:val="6"/>
  </w:num>
  <w:num w16cid:durableId="1858107663" w:numId="10">
    <w:abstractNumId w:val="7"/>
  </w:num>
  <w:num w16cid:durableId="234977013" w:numId="11">
    <w:abstractNumId w:val="9"/>
  </w:num>
  <w:num w16cid:durableId="920649800" w:numId="12">
    <w:abstractNumId w:val="10"/>
  </w:num>
  <w:num w16cid:durableId="1305964736" w:numId="13">
    <w:abstractNumId w:val="16"/>
  </w:num>
  <w:num w16cid:durableId="1352991002" w:numId="14">
    <w:abstractNumId w:val="18"/>
  </w:num>
  <w:num w16cid:durableId="458259606" w:numId="15">
    <w:abstractNumId w:val="19"/>
  </w:num>
  <w:num w16cid:durableId="243532977" w:numId="16">
    <w:abstractNumId w:val="14"/>
  </w:num>
  <w:num w16cid:durableId="873738577" w:numId="17">
    <w:abstractNumId w:val="13"/>
  </w:num>
  <w:num w16cid:durableId="217085638" w:numId="18">
    <w:abstractNumId w:val="17"/>
  </w:num>
  <w:num w16cid:durableId="221798557" w:numId="19">
    <w:abstractNumId w:val="15"/>
  </w:num>
  <w:num w16cid:durableId="632634375" w:numId="20">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C3A0C"/>
    <w:rPr>
      <w:rFonts w:ascii="Calibri" w:hAnsi="Calibri"/>
    </w:rPr>
  </w:style>
  <w:style w:styleId="Heading1" w:type="paragraph">
    <w:name w:val="heading 1"/>
    <w:basedOn w:val="Normal"/>
    <w:next w:val="BodyText"/>
    <w:uiPriority w:val="9"/>
    <w:qFormat/>
    <w:rsid w:val="001C3A0C"/>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1C3A0C"/>
    <w:pPr>
      <w:keepNext/>
      <w:keepLines/>
      <w:numPr>
        <w:ilvl w:val="1"/>
        <w:numId w:val="20"/>
      </w:numPr>
      <w:spacing w:after="0" w:before="20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1C3A0C"/>
    <w:pPr>
      <w:keepNext/>
      <w:keepLines/>
      <w:numPr>
        <w:ilvl w:val="2"/>
        <w:numId w:val="20"/>
      </w:numPr>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1C3A0C"/>
    <w:pPr>
      <w:keepNext/>
      <w:keepLines/>
      <w:numPr>
        <w:ilvl w:val="3"/>
        <w:numId w:val="20"/>
      </w:numPr>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rsid w:val="001C3A0C"/>
    <w:pPr>
      <w:keepNext/>
      <w:keepLines/>
      <w:numPr>
        <w:ilvl w:val="4"/>
        <w:numId w:val="20"/>
      </w:numPr>
      <w:spacing w:after="0" w:before="200"/>
      <w:outlineLvl w:val="4"/>
    </w:pPr>
    <w:rPr>
      <w:rFonts w:asciiTheme="majorHAnsi" w:cstheme="majorBidi" w:eastAsiaTheme="majorEastAsia" w:hAnsiTheme="majorHAnsi"/>
      <w:iCs/>
      <w:color w:themeColor="text1" w:val="000000"/>
    </w:rPr>
  </w:style>
  <w:style w:styleId="Heading6" w:type="paragraph">
    <w:name w:val="heading 6"/>
    <w:basedOn w:val="Normal"/>
    <w:next w:val="BodyText"/>
    <w:uiPriority w:val="9"/>
    <w:unhideWhenUsed/>
    <w:qFormat/>
    <w:rsid w:val="001C3A0C"/>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1C3A0C"/>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1C3A0C"/>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1C3A0C"/>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C3A0C"/>
    <w:pPr>
      <w:keepNext/>
      <w:keepLines/>
      <w:spacing w:after="240" w:before="480"/>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1C3A0C"/>
    <w:pPr>
      <w:spacing w:before="240"/>
    </w:pPr>
    <w:rPr>
      <w:sz w:val="30"/>
      <w:szCs w:val="30"/>
    </w:rPr>
  </w:style>
  <w:style w:customStyle="1" w:styleId="Author" w:type="paragraph">
    <w:name w:val="Author"/>
    <w:next w:val="BodyText"/>
    <w:qFormat/>
    <w:rsid w:val="001C3A0C"/>
    <w:pPr>
      <w:keepNext/>
      <w:keepLines/>
    </w:pPr>
    <w:rPr>
      <w:rFonts w:ascii="Calibri" w:hAnsi="Calibri"/>
    </w:rPr>
  </w:style>
  <w:style w:styleId="Date" w:type="paragraph">
    <w:name w:val="Date"/>
    <w:next w:val="BodyText"/>
    <w:qFormat/>
    <w:rsid w:val="001C3A0C"/>
    <w:pPr>
      <w:keepNext/>
      <w:keepLines/>
    </w:pPr>
    <w:rPr>
      <w:rFonts w:ascii="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1C3A0C"/>
  </w:style>
  <w:style w:styleId="Header" w:type="paragraph">
    <w:name w:val="header"/>
    <w:basedOn w:val="Normal"/>
    <w:link w:val="HeaderChar"/>
    <w:unhideWhenUsed/>
    <w:rsid w:val="00606352"/>
    <w:pPr>
      <w:tabs>
        <w:tab w:pos="4680" w:val="center"/>
        <w:tab w:pos="9360" w:val="right"/>
      </w:tabs>
      <w:spacing w:after="0"/>
    </w:pPr>
  </w:style>
  <w:style w:customStyle="1" w:styleId="HeaderChar" w:type="character">
    <w:name w:val="Header Char"/>
    <w:basedOn w:val="DefaultParagraphFont"/>
    <w:link w:val="Header"/>
    <w:rsid w:val="00606352"/>
    <w:rPr>
      <w:rFonts w:ascii="Calibri" w:hAnsi="Calibri"/>
    </w:rPr>
  </w:style>
  <w:style w:styleId="Footer" w:type="paragraph">
    <w:name w:val="footer"/>
    <w:basedOn w:val="Normal"/>
    <w:link w:val="FooterChar"/>
    <w:unhideWhenUsed/>
    <w:rsid w:val="00606352"/>
    <w:pPr>
      <w:tabs>
        <w:tab w:pos="4680" w:val="center"/>
        <w:tab w:pos="9360" w:val="right"/>
      </w:tabs>
      <w:spacing w:after="0"/>
    </w:pPr>
  </w:style>
  <w:style w:customStyle="1" w:styleId="FooterChar" w:type="character">
    <w:name w:val="Footer Char"/>
    <w:basedOn w:val="DefaultParagraphFont"/>
    <w:link w:val="Footer"/>
    <w:rsid w:val="00606352"/>
    <w:rPr>
      <w:rFonts w:ascii="Calibri" w:hAnsi="Calibri"/>
    </w:rPr>
  </w:style>
  <w:style w:styleId="PageNumber" w:type="character">
    <w:name w:val="page number"/>
    <w:basedOn w:val="DefaultParagraphFont"/>
    <w:semiHidden/>
    <w:unhideWhenUsed/>
    <w:rsid w:val="00201DE2"/>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33" Target="" TargetMode="External" /><Relationship Type="http://schemas.openxmlformats.org/officeDocument/2006/relationships/hyperlink" Id="rId48" Target="../scheme-definitions.md" TargetMode="External" /><Relationship Type="http://schemas.openxmlformats.org/officeDocument/2006/relationships/hyperlink" Id="rId44" Target="./methods-of-tests.md" TargetMode="External" /><Relationship Type="http://schemas.openxmlformats.org/officeDocument/2006/relationships/hyperlink" Id="rId27" Target="./objca-credential-format.md" TargetMode="External" /><Relationship Type="http://schemas.openxmlformats.org/officeDocument/2006/relationships/hyperlink" Id="rId25" Target="./objca-digital-credential.md" TargetMode="External" /><Relationship Type="http://schemas.openxmlformats.org/officeDocument/2006/relationships/hyperlink" Id="rId26" Target="./objca-issuer.md" TargetMode="External" /><Relationship Type="http://schemas.openxmlformats.org/officeDocument/2006/relationships/hyperlink" Id="rId24" Target="./objca-template.md" TargetMode="External" /><Relationship Type="http://schemas.openxmlformats.org/officeDocument/2006/relationships/hyperlink" Id="rId37" Target="./use-cases.md" TargetMode="External" /><Relationship Type="http://schemas.openxmlformats.org/officeDocument/2006/relationships/hyperlink" Id="rId125" Target="/docs/DHS.W3C.VC-DID.Implemenation.Profile-20220929-SHARE.pdf" TargetMode="External" /><Relationship Type="http://schemas.openxmlformats.org/officeDocument/2006/relationships/hyperlink" Id="rId32" Target="/docs/statement-of-work.md" TargetMode="External" /><Relationship Type="http://schemas.openxmlformats.org/officeDocument/2006/relationships/hyperlink" Id="rId114" Target="findy-network.github.io" TargetMode="External" /><Relationship Type="http://schemas.openxmlformats.org/officeDocument/2006/relationships/hyperlink" Id="rId169" Target="http://www.csl.sri.com/papers/vcdm-did-crypto-recs/" TargetMode="External" /><Relationship Type="http://schemas.openxmlformats.org/officeDocument/2006/relationships/hyperlink" Id="rId130" Target="https://anoncreds-wg.github.io/anoncreds-spec/" TargetMode="External" /><Relationship Type="http://schemas.openxmlformats.org/officeDocument/2006/relationships/hyperlink" Id="rId161" Target="https://aries-interop.info/" TargetMode="External" /><Relationship Type="http://schemas.openxmlformats.org/officeDocument/2006/relationships/hyperlink" Id="rId165" Target="https://blog.cheqd.io/anoncreds-indy-pendence-4946367469d4" TargetMode="External" /><Relationship Type="http://schemas.openxmlformats.org/officeDocument/2006/relationships/hyperlink" Id="rId164" Target="https://blog.irvingwb.com/blog/2022/09/the-open-software-foundation.html" TargetMode="External" /><Relationship Type="http://schemas.openxmlformats.org/officeDocument/2006/relationships/hyperlink" Id="rId66" Target="https://ciostrategycouncil.com/standards/find-a-standard/standards-in-digital-trust/digital-trust-fundamentals/" TargetMode="External" /><Relationship Type="http://schemas.openxmlformats.org/officeDocument/2006/relationships/hyperlink" Id="rId173" Target="https://crypto.stanford.edu/~ananthr/docs/crypto-proofs.pdf" TargetMode="External" /><Relationship Type="http://schemas.openxmlformats.org/officeDocument/2006/relationships/hyperlink" Id="rId136" Target="https://datatracker.ietf.org/doc/draft-ietf-oauth-selective-disclosure-jwt/" TargetMode="External" /><Relationship Type="http://schemas.openxmlformats.org/officeDocument/2006/relationships/hyperlink" Id="rId137" Target="https://datatracker.ietf.org/doc/rfc8392/" TargetMode="External" /><Relationship Type="http://schemas.openxmlformats.org/officeDocument/2006/relationships/hyperlink" Id="rId101" Target="https://decentralized-id.com/government/europe/eSSIF/" TargetMode="External" /><Relationship Type="http://schemas.openxmlformats.org/officeDocument/2006/relationships/hyperlink" Id="rId155" Target="https://dev.uniresolver.io/" TargetMode="External" /><Relationship Type="http://schemas.openxmlformats.org/officeDocument/2006/relationships/hyperlink" Id="rId100" Target="https://digitalcredentials.mit.edu/" TargetMode="External" /><Relationship Type="http://schemas.openxmlformats.org/officeDocument/2006/relationships/hyperlink" Id="rId117" Target="https://digitalcredentials.mit.edu/docs/Learner-Credential-Wallet-Specification-May-2021.pdf" TargetMode="External" /><Relationship Type="http://schemas.openxmlformats.org/officeDocument/2006/relationships/hyperlink" Id="rId119" Target="https://docs.google.com/document/d/1FfeyooY6Kw016D-UxeM6NnL4lhRoUKJiZa8ctIx1sNg/edit" TargetMode="External" /><Relationship Type="http://schemas.openxmlformats.org/officeDocument/2006/relationships/hyperlink" Id="rId109" Target="https://docs.google.com/presentation/d/12K8EIzFjzsC2i1WwfzggsXISGXZ64f1xwHJ5qO5rylc/edit#slide=id.g142b7bb9163_0_26" TargetMode="External" /><Relationship Type="http://schemas.openxmlformats.org/officeDocument/2006/relationships/hyperlink" Id="rId171" Target="https://docs.google.com/presentation/d/1DsjJOfOCMhfXJgATbQAt6Ugk9Vmbq0zVrzL8thgsGVI/edit?usp=sharing" TargetMode="External" /><Relationship Type="http://schemas.openxmlformats.org/officeDocument/2006/relationships/hyperlink" Id="rId111" Target="https://docs.google.com/presentation/d/1JjfDbeXfE7aO7uYDNqNQ8ixVr9tXUQL7mhwudwxZN38/edit#slide=id.g1579e3d0398_1_1926" TargetMode="External" /><Relationship Type="http://schemas.openxmlformats.org/officeDocument/2006/relationships/hyperlink" Id="rId118" Target="https://docs.google.com/presentation/d/1hrqozY2EGZ8i8y40abyEuJmIb6hCiRS-37pdj6bhBLY/edit" TargetMode="External" /><Relationship Type="http://schemas.openxmlformats.org/officeDocument/2006/relationships/hyperlink" Id="rId107" Target="https://docs.google.com/presentation/d/1hrqozY2EGZ8i8y40abyEuJmIb6hCiRS-37pdj6bhBLY/edit#slide=id.p11" TargetMode="External" /><Relationship Type="http://schemas.openxmlformats.org/officeDocument/2006/relationships/hyperlink" Id="rId105" Target="https://docs.google.com/spreadsheets/d/1Z4cYfjbbE-rABcfC-xab8miocKLomivYMUFibOh9BVo/edit" TargetMode="External" /><Relationship Type="http://schemas.openxmlformats.org/officeDocument/2006/relationships/hyperlink" Id="rId126" Target="https://ec.europa.eu/digital-building-blocks/wikis/display/EBSI/What+is+ebsi" TargetMode="External" /><Relationship Type="http://schemas.openxmlformats.org/officeDocument/2006/relationships/hyperlink" Id="rId112" Target="https://ec.europa.eu/digital-building-blocks/wikis/display/EBSIDOC/Data+Models+and+Schemas" TargetMode="External" /><Relationship Type="http://schemas.openxmlformats.org/officeDocument/2006/relationships/hyperlink" Id="rId128" Target="https://eudiwalletconsortium.org/" TargetMode="External" /><Relationship Type="http://schemas.openxmlformats.org/officeDocument/2006/relationships/hyperlink" Id="rId152" Target="https://fidoalliance.org/specifications/download/" TargetMode="External" /><Relationship Type="http://schemas.openxmlformats.org/officeDocument/2006/relationships/hyperlink" Id="rId162" Target="https://github.com/Tonomy-Foundation/Antelope-SSI-Toolkit/issues/17#issuecomment-1263319391" TargetMode="External" /><Relationship Type="http://schemas.openxmlformats.org/officeDocument/2006/relationships/hyperlink" Id="rId123" Target="https://github.com/canada-ca/ucvdcc" TargetMode="External" /><Relationship Type="http://schemas.openxmlformats.org/officeDocument/2006/relationships/hyperlink" Id="rId142" Target="https://github.com/decentralized-identity/confidential-storage" TargetMode="External" /><Relationship Type="http://schemas.openxmlformats.org/officeDocument/2006/relationships/hyperlink" Id="rId170" Target="https://github.com/decentralized-identity/decentralized-identity.github.io/blob/master/assets/crosscommunity-architecture-survey-oct-2020.pdf" TargetMode="External" /><Relationship Type="http://schemas.openxmlformats.org/officeDocument/2006/relationships/hyperlink" Id="rId154" Target="https://github.com/decentralized-identity/universal-resolver" TargetMode="External" /><Relationship Type="http://schemas.openxmlformats.org/officeDocument/2006/relationships/hyperlink" Id="rId116" Target="https://github.com/hyperledger/aries" TargetMode="External" /><Relationship Type="http://schemas.openxmlformats.org/officeDocument/2006/relationships/hyperlink" Id="rId159" Target="https://github.com/hyperledger/aries-agent-test-harness" TargetMode="External" /><Relationship Type="http://schemas.openxmlformats.org/officeDocument/2006/relationships/hyperlink" Id="rId160" Target="https://github.com/hyperledger/aries-mobile-test-harness" TargetMode="External" /><Relationship Type="http://schemas.openxmlformats.org/officeDocument/2006/relationships/hyperlink" Id="rId131" Target="https://github.com/hyperledger/aries-rfcs/tree/main/concepts/0302-aries-interop-profile#aries-interop-profile-version-10" TargetMode="External" /><Relationship Type="http://schemas.openxmlformats.org/officeDocument/2006/relationships/hyperlink" Id="rId103" Target="https://github.com/openwallet-foundation" TargetMode="External" /><Relationship Type="http://schemas.openxmlformats.org/officeDocument/2006/relationships/hyperlink" Id="rId139" Target="https://github.com/trustoverip/tswg-trust-registry-tf/blob/main/docs/ToIP%20Trust%20Registry%20V1%20Specification.md" TargetMode="External" /><Relationship Type="http://schemas.openxmlformats.org/officeDocument/2006/relationships/hyperlink" Id="rId156" Target="https://github.com/w3c/vc-test-suite" TargetMode="External" /><Relationship Type="http://schemas.openxmlformats.org/officeDocument/2006/relationships/hyperlink" Id="rId143" Target="https://identity.foundation/bbs-signature/draft-looker-cfrg-bbs-signatures.html" TargetMode="External" /><Relationship Type="http://schemas.openxmlformats.org/officeDocument/2006/relationships/hyperlink" Id="rId140" Target="https://identity.foundation/didcomm-messaging/spec/" TargetMode="External" /><Relationship Type="http://schemas.openxmlformats.org/officeDocument/2006/relationships/hyperlink" Id="rId141" Target="https://identity.foundation/specs/did-configuration/" TargetMode="External" /><Relationship Type="http://schemas.openxmlformats.org/officeDocument/2006/relationships/hyperlink" Id="rId98" Target="https://isotc.iso.org/livelink/livelink?func=ll&amp;objId=20644954&amp;objAction=browse&amp;viewType=1" TargetMode="External" /><Relationship Type="http://schemas.openxmlformats.org/officeDocument/2006/relationships/hyperlink" Id="rId34" Target="https://leginfo.legislature.ca.gov/faces/billTextClient.xhtml?bill_id=202120220SB786#93ENR" TargetMode="External" /><Relationship Type="http://schemas.openxmlformats.org/officeDocument/2006/relationships/hyperlink" Id="rId124" Target="https://lists.w3.org/Archives/Public/public-credentials/2022Jul/att-0027/DHS.SVIP-Scaling.W3C.VC.DID.Interoperability-SHARE_20220712.pdf" TargetMode="External" /><Relationship Type="http://schemas.openxmlformats.org/officeDocument/2006/relationships/hyperlink" Id="rId146" Target="https://oauth.net/specs/" TargetMode="External" /><Relationship Type="http://schemas.openxmlformats.org/officeDocument/2006/relationships/hyperlink" Id="rId127" Target="https://oeil.secure.europarl.europa.eu/oeil/popups/ficheprocedure.do?reference=2021/0136(COD)&amp;l=en" TargetMode="External" /><Relationship Type="http://schemas.openxmlformats.org/officeDocument/2006/relationships/hyperlink" Id="rId149" Target="https://openid.net/specs/openid-4-verifiable-credential-issuance-1_0.html" TargetMode="External" /><Relationship Type="http://schemas.openxmlformats.org/officeDocument/2006/relationships/hyperlink" Id="rId150" Target="https://openid.net/specs/openid-4-verifiable-presentations-1_0.html" TargetMode="External" /><Relationship Type="http://schemas.openxmlformats.org/officeDocument/2006/relationships/hyperlink" Id="rId151" Target="https://openid.net/specs/openid-connect-self-issued-v2-1_0.html" TargetMode="External" /><Relationship Type="http://schemas.openxmlformats.org/officeDocument/2006/relationships/hyperlink" Id="rId167" Target="https://thewalletwars.s3.amazonaws.com/Wallet-UPDATE-Webinar-27OCT2021.pdf" TargetMode="External" /><Relationship Type="http://schemas.openxmlformats.org/officeDocument/2006/relationships/hyperlink" Id="rId120" Target="https://train.trust-scheme.de/info/" TargetMode="External" /><Relationship Type="http://schemas.openxmlformats.org/officeDocument/2006/relationships/hyperlink" Id="rId134" Target="https://w3c.github.io/vc-jwt/" TargetMode="External" /><Relationship Type="http://schemas.openxmlformats.org/officeDocument/2006/relationships/hyperlink" Id="rId122" Target="https://www.canada.ca/en/government/system/digital-government/digital-government-innovations/digital-credentials.html" TargetMode="External" /><Relationship Type="http://schemas.openxmlformats.org/officeDocument/2006/relationships/hyperlink" Id="rId168" Target="https://www.continuumloop.com/wp-content/uploads/2022/02/The-Current-and-Future-State-of-Digital-Wallets-v1.0-FINAL.pdf" TargetMode="External" /><Relationship Type="http://schemas.openxmlformats.org/officeDocument/2006/relationships/hyperlink" Id="rId144" Target="https://www.icao.int/Security/FAL/TRIP/PublishingImages/Pages/Publications/Guiding%20core%20principles%20for%20the%20development%20of%20a%20Digital%20Travel%20Credential%20%20%28DTC%29.PDF" TargetMode="External" /><Relationship Type="http://schemas.openxmlformats.org/officeDocument/2006/relationships/hyperlink" Id="rId145" Target="https://www.icao.int/publications/pages/publication.aspx?docnum=9303" TargetMode="External" /><Relationship Type="http://schemas.openxmlformats.org/officeDocument/2006/relationships/hyperlink" Id="rId166" Target="https://www.idlab.org/en/aries-agent-test-harness-enhancement-project/" TargetMode="External" /><Relationship Type="http://schemas.openxmlformats.org/officeDocument/2006/relationships/hyperlink" Id="rId158" Target="https://www.idlab.org/en/assessment-services/assessment-programs/" TargetMode="External" /><Relationship Type="http://schemas.openxmlformats.org/officeDocument/2006/relationships/hyperlink" Id="rId157" Target="https://www.idlab.org/en/our-services/assessment-services/w3c-vc-testing/" TargetMode="External" /><Relationship Type="http://schemas.openxmlformats.org/officeDocument/2006/relationships/hyperlink" Id="rId138" Target="https://www.ietf.org/archive/id/draft-jmiller-jose-json-web-proof-00.html" TargetMode="External" /><Relationship Type="http://schemas.openxmlformats.org/officeDocument/2006/relationships/hyperlink" Id="rId97" Target="https://www.iso.org/files/live/sites/isoorg/files/archive/pdf/en/pub100303.pdf" TargetMode="External" /><Relationship Type="http://schemas.openxmlformats.org/officeDocument/2006/relationships/hyperlink" Id="rId95" Target="https://www.iso.org/publication/PUB100303.html" TargetMode="External" /><Relationship Type="http://schemas.openxmlformats.org/officeDocument/2006/relationships/hyperlink" Id="rId135" Target="https://www.iso.org/standard/69084.html" TargetMode="External" /><Relationship Type="http://schemas.openxmlformats.org/officeDocument/2006/relationships/hyperlink" Id="rId147" Target="https://www.itu.int/rec/T-REC-X.509" TargetMode="External" /><Relationship Type="http://schemas.openxmlformats.org/officeDocument/2006/relationships/hyperlink" Id="rId148" Target="https://www.itu.int/rec/T-REC-X.509-201910-I/en" TargetMode="External" /><Relationship Type="http://schemas.openxmlformats.org/officeDocument/2006/relationships/hyperlink" Id="rId61" Target="https://www.json.org/json-en.html" TargetMode="External" /><Relationship Type="http://schemas.openxmlformats.org/officeDocument/2006/relationships/hyperlink" Id="rId106" Target="https://www.lfph.io/wp-content/uploads/2021/04/Verifiable-Credentials-Flavors-Explained-Infographic.pdf" TargetMode="External" /><Relationship Type="http://schemas.openxmlformats.org/officeDocument/2006/relationships/hyperlink" Id="rId102" Target="https://www.linuxfoundation.org/press/linux-foundation-announces-an-intent-to-form-the-openwallet-foundation" TargetMode="External" /><Relationship Type="http://schemas.openxmlformats.org/officeDocument/2006/relationships/hyperlink" Id="rId104" Target="https://www.ontario.ca/page/ontarios-digital-id-technology-and-standards" TargetMode="External" /><Relationship Type="http://schemas.openxmlformats.org/officeDocument/2006/relationships/hyperlink" Id="rId115" Target="https://www.procivis.ch/post/iso-iec-18013-5-vs-self-sovereign-identity-a-proposal-for-an-mdl-verifiable-credential" TargetMode="External" /><Relationship Type="http://schemas.openxmlformats.org/officeDocument/2006/relationships/hyperlink" Id="rId62" Target="https://www.rfc-editor.org/rfc/rfc7519" TargetMode="External" /><Relationship Type="http://schemas.openxmlformats.org/officeDocument/2006/relationships/hyperlink" Id="rId113" Target="https://www.sis.se/api/document/preview/80031411/" TargetMode="External" /><Relationship Type="http://schemas.openxmlformats.org/officeDocument/2006/relationships/hyperlink" Id="rId96" Target="https://www.unescap.org/sites/default/files/3%20-%20Introduction%20to%20Conformity%20Assessment%20and%20ISO%20CASCO.pdf" TargetMode="External" /><Relationship Type="http://schemas.openxmlformats.org/officeDocument/2006/relationships/hyperlink" Id="rId132" Target="https://www.w3.org/TR/did-core/" TargetMode="External" /><Relationship Type="http://schemas.openxmlformats.org/officeDocument/2006/relationships/hyperlink" Id="rId133" Target="https://www.w3.org/TR/vc-data-model/" TargetMode="External" /><Relationship Type="http://schemas.openxmlformats.org/officeDocument/2006/relationships/hyperlink" Id="rId108" Target="https://www.w3.org/TR/vc-use-cases/" TargetMode="External" /><Relationship Type="http://schemas.openxmlformats.org/officeDocument/2006/relationships/hyperlink" Id="rId110" Target="https://www.w3.org/community/applied-did-and-vc/" TargetMode="External" /></Relationships>
</file>

<file path=word/_rels/footnotes.xml.rels><?xml version="1.0" encoding="UTF-8"?><Relationships xmlns="http://schemas.openxmlformats.org/package/2006/relationships"><Relationship Type="http://schemas.openxmlformats.org/officeDocument/2006/relationships/hyperlink" Id="rId33" Target="" TargetMode="External" /><Relationship Type="http://schemas.openxmlformats.org/officeDocument/2006/relationships/hyperlink" Id="rId48" Target="../scheme-definitions.md" TargetMode="External" /><Relationship Type="http://schemas.openxmlformats.org/officeDocument/2006/relationships/hyperlink" Id="rId44" Target="./methods-of-tests.md" TargetMode="External" /><Relationship Type="http://schemas.openxmlformats.org/officeDocument/2006/relationships/hyperlink" Id="rId27" Target="./objca-credential-format.md" TargetMode="External" /><Relationship Type="http://schemas.openxmlformats.org/officeDocument/2006/relationships/hyperlink" Id="rId25" Target="./objca-digital-credential.md" TargetMode="External" /><Relationship Type="http://schemas.openxmlformats.org/officeDocument/2006/relationships/hyperlink" Id="rId26" Target="./objca-issuer.md" TargetMode="External" /><Relationship Type="http://schemas.openxmlformats.org/officeDocument/2006/relationships/hyperlink" Id="rId24" Target="./objca-template.md" TargetMode="External" /><Relationship Type="http://schemas.openxmlformats.org/officeDocument/2006/relationships/hyperlink" Id="rId37" Target="./use-cases.md" TargetMode="External" /><Relationship Type="http://schemas.openxmlformats.org/officeDocument/2006/relationships/hyperlink" Id="rId125" Target="/docs/DHS.W3C.VC-DID.Implemenation.Profile-20220929-SHARE.pdf" TargetMode="External" /><Relationship Type="http://schemas.openxmlformats.org/officeDocument/2006/relationships/hyperlink" Id="rId32" Target="/docs/statement-of-work.md" TargetMode="External" /><Relationship Type="http://schemas.openxmlformats.org/officeDocument/2006/relationships/hyperlink" Id="rId114" Target="findy-network.github.io" TargetMode="External" /><Relationship Type="http://schemas.openxmlformats.org/officeDocument/2006/relationships/hyperlink" Id="rId169" Target="http://www.csl.sri.com/papers/vcdm-did-crypto-recs/" TargetMode="External" /><Relationship Type="http://schemas.openxmlformats.org/officeDocument/2006/relationships/hyperlink" Id="rId130" Target="https://anoncreds-wg.github.io/anoncreds-spec/" TargetMode="External" /><Relationship Type="http://schemas.openxmlformats.org/officeDocument/2006/relationships/hyperlink" Id="rId161" Target="https://aries-interop.info/" TargetMode="External" /><Relationship Type="http://schemas.openxmlformats.org/officeDocument/2006/relationships/hyperlink" Id="rId165" Target="https://blog.cheqd.io/anoncreds-indy-pendence-4946367469d4" TargetMode="External" /><Relationship Type="http://schemas.openxmlformats.org/officeDocument/2006/relationships/hyperlink" Id="rId164" Target="https://blog.irvingwb.com/blog/2022/09/the-open-software-foundation.html" TargetMode="External" /><Relationship Type="http://schemas.openxmlformats.org/officeDocument/2006/relationships/hyperlink" Id="rId66" Target="https://ciostrategycouncil.com/standards/find-a-standard/standards-in-digital-trust/digital-trust-fundamentals/" TargetMode="External" /><Relationship Type="http://schemas.openxmlformats.org/officeDocument/2006/relationships/hyperlink" Id="rId173" Target="https://crypto.stanford.edu/~ananthr/docs/crypto-proofs.pdf" TargetMode="External" /><Relationship Type="http://schemas.openxmlformats.org/officeDocument/2006/relationships/hyperlink" Id="rId136" Target="https://datatracker.ietf.org/doc/draft-ietf-oauth-selective-disclosure-jwt/" TargetMode="External" /><Relationship Type="http://schemas.openxmlformats.org/officeDocument/2006/relationships/hyperlink" Id="rId137" Target="https://datatracker.ietf.org/doc/rfc8392/" TargetMode="External" /><Relationship Type="http://schemas.openxmlformats.org/officeDocument/2006/relationships/hyperlink" Id="rId101" Target="https://decentralized-id.com/government/europe/eSSIF/" TargetMode="External" /><Relationship Type="http://schemas.openxmlformats.org/officeDocument/2006/relationships/hyperlink" Id="rId155" Target="https://dev.uniresolver.io/" TargetMode="External" /><Relationship Type="http://schemas.openxmlformats.org/officeDocument/2006/relationships/hyperlink" Id="rId100" Target="https://digitalcredentials.mit.edu/" TargetMode="External" /><Relationship Type="http://schemas.openxmlformats.org/officeDocument/2006/relationships/hyperlink" Id="rId117" Target="https://digitalcredentials.mit.edu/docs/Learner-Credential-Wallet-Specification-May-2021.pdf" TargetMode="External" /><Relationship Type="http://schemas.openxmlformats.org/officeDocument/2006/relationships/hyperlink" Id="rId119" Target="https://docs.google.com/document/d/1FfeyooY6Kw016D-UxeM6NnL4lhRoUKJiZa8ctIx1sNg/edit" TargetMode="External" /><Relationship Type="http://schemas.openxmlformats.org/officeDocument/2006/relationships/hyperlink" Id="rId109" Target="https://docs.google.com/presentation/d/12K8EIzFjzsC2i1WwfzggsXISGXZ64f1xwHJ5qO5rylc/edit#slide=id.g142b7bb9163_0_26" TargetMode="External" /><Relationship Type="http://schemas.openxmlformats.org/officeDocument/2006/relationships/hyperlink" Id="rId171" Target="https://docs.google.com/presentation/d/1DsjJOfOCMhfXJgATbQAt6Ugk9Vmbq0zVrzL8thgsGVI/edit?usp=sharing" TargetMode="External" /><Relationship Type="http://schemas.openxmlformats.org/officeDocument/2006/relationships/hyperlink" Id="rId111" Target="https://docs.google.com/presentation/d/1JjfDbeXfE7aO7uYDNqNQ8ixVr9tXUQL7mhwudwxZN38/edit#slide=id.g1579e3d0398_1_1926" TargetMode="External" /><Relationship Type="http://schemas.openxmlformats.org/officeDocument/2006/relationships/hyperlink" Id="rId118" Target="https://docs.google.com/presentation/d/1hrqozY2EGZ8i8y40abyEuJmIb6hCiRS-37pdj6bhBLY/edit" TargetMode="External" /><Relationship Type="http://schemas.openxmlformats.org/officeDocument/2006/relationships/hyperlink" Id="rId107" Target="https://docs.google.com/presentation/d/1hrqozY2EGZ8i8y40abyEuJmIb6hCiRS-37pdj6bhBLY/edit#slide=id.p11" TargetMode="External" /><Relationship Type="http://schemas.openxmlformats.org/officeDocument/2006/relationships/hyperlink" Id="rId105" Target="https://docs.google.com/spreadsheets/d/1Z4cYfjbbE-rABcfC-xab8miocKLomivYMUFibOh9BVo/edit" TargetMode="External" /><Relationship Type="http://schemas.openxmlformats.org/officeDocument/2006/relationships/hyperlink" Id="rId126" Target="https://ec.europa.eu/digital-building-blocks/wikis/display/EBSI/What+is+ebsi" TargetMode="External" /><Relationship Type="http://schemas.openxmlformats.org/officeDocument/2006/relationships/hyperlink" Id="rId112" Target="https://ec.europa.eu/digital-building-blocks/wikis/display/EBSIDOC/Data+Models+and+Schemas" TargetMode="External" /><Relationship Type="http://schemas.openxmlformats.org/officeDocument/2006/relationships/hyperlink" Id="rId128" Target="https://eudiwalletconsortium.org/" TargetMode="External" /><Relationship Type="http://schemas.openxmlformats.org/officeDocument/2006/relationships/hyperlink" Id="rId152" Target="https://fidoalliance.org/specifications/download/" TargetMode="External" /><Relationship Type="http://schemas.openxmlformats.org/officeDocument/2006/relationships/hyperlink" Id="rId162" Target="https://github.com/Tonomy-Foundation/Antelope-SSI-Toolkit/issues/17#issuecomment-1263319391" TargetMode="External" /><Relationship Type="http://schemas.openxmlformats.org/officeDocument/2006/relationships/hyperlink" Id="rId123" Target="https://github.com/canada-ca/ucvdcc" TargetMode="External" /><Relationship Type="http://schemas.openxmlformats.org/officeDocument/2006/relationships/hyperlink" Id="rId142" Target="https://github.com/decentralized-identity/confidential-storage" TargetMode="External" /><Relationship Type="http://schemas.openxmlformats.org/officeDocument/2006/relationships/hyperlink" Id="rId170" Target="https://github.com/decentralized-identity/decentralized-identity.github.io/blob/master/assets/crosscommunity-architecture-survey-oct-2020.pdf" TargetMode="External" /><Relationship Type="http://schemas.openxmlformats.org/officeDocument/2006/relationships/hyperlink" Id="rId154" Target="https://github.com/decentralized-identity/universal-resolver" TargetMode="External" /><Relationship Type="http://schemas.openxmlformats.org/officeDocument/2006/relationships/hyperlink" Id="rId116" Target="https://github.com/hyperledger/aries" TargetMode="External" /><Relationship Type="http://schemas.openxmlformats.org/officeDocument/2006/relationships/hyperlink" Id="rId159" Target="https://github.com/hyperledger/aries-agent-test-harness" TargetMode="External" /><Relationship Type="http://schemas.openxmlformats.org/officeDocument/2006/relationships/hyperlink" Id="rId160" Target="https://github.com/hyperledger/aries-mobile-test-harness" TargetMode="External" /><Relationship Type="http://schemas.openxmlformats.org/officeDocument/2006/relationships/hyperlink" Id="rId131" Target="https://github.com/hyperledger/aries-rfcs/tree/main/concepts/0302-aries-interop-profile#aries-interop-profile-version-10" TargetMode="External" /><Relationship Type="http://schemas.openxmlformats.org/officeDocument/2006/relationships/hyperlink" Id="rId103" Target="https://github.com/openwallet-foundation" TargetMode="External" /><Relationship Type="http://schemas.openxmlformats.org/officeDocument/2006/relationships/hyperlink" Id="rId139" Target="https://github.com/trustoverip/tswg-trust-registry-tf/blob/main/docs/ToIP%20Trust%20Registry%20V1%20Specification.md" TargetMode="External" /><Relationship Type="http://schemas.openxmlformats.org/officeDocument/2006/relationships/hyperlink" Id="rId156" Target="https://github.com/w3c/vc-test-suite" TargetMode="External" /><Relationship Type="http://schemas.openxmlformats.org/officeDocument/2006/relationships/hyperlink" Id="rId143" Target="https://identity.foundation/bbs-signature/draft-looker-cfrg-bbs-signatures.html" TargetMode="External" /><Relationship Type="http://schemas.openxmlformats.org/officeDocument/2006/relationships/hyperlink" Id="rId140" Target="https://identity.foundation/didcomm-messaging/spec/" TargetMode="External" /><Relationship Type="http://schemas.openxmlformats.org/officeDocument/2006/relationships/hyperlink" Id="rId141" Target="https://identity.foundation/specs/did-configuration/" TargetMode="External" /><Relationship Type="http://schemas.openxmlformats.org/officeDocument/2006/relationships/hyperlink" Id="rId98" Target="https://isotc.iso.org/livelink/livelink?func=ll&amp;objId=20644954&amp;objAction=browse&amp;viewType=1" TargetMode="External" /><Relationship Type="http://schemas.openxmlformats.org/officeDocument/2006/relationships/hyperlink" Id="rId34" Target="https://leginfo.legislature.ca.gov/faces/billTextClient.xhtml?bill_id=202120220SB786#93ENR" TargetMode="External" /><Relationship Type="http://schemas.openxmlformats.org/officeDocument/2006/relationships/hyperlink" Id="rId124" Target="https://lists.w3.org/Archives/Public/public-credentials/2022Jul/att-0027/DHS.SVIP-Scaling.W3C.VC.DID.Interoperability-SHARE_20220712.pdf" TargetMode="External" /><Relationship Type="http://schemas.openxmlformats.org/officeDocument/2006/relationships/hyperlink" Id="rId146" Target="https://oauth.net/specs/" TargetMode="External" /><Relationship Type="http://schemas.openxmlformats.org/officeDocument/2006/relationships/hyperlink" Id="rId127" Target="https://oeil.secure.europarl.europa.eu/oeil/popups/ficheprocedure.do?reference=2021/0136(COD)&amp;l=en" TargetMode="External" /><Relationship Type="http://schemas.openxmlformats.org/officeDocument/2006/relationships/hyperlink" Id="rId149" Target="https://openid.net/specs/openid-4-verifiable-credential-issuance-1_0.html" TargetMode="External" /><Relationship Type="http://schemas.openxmlformats.org/officeDocument/2006/relationships/hyperlink" Id="rId150" Target="https://openid.net/specs/openid-4-verifiable-presentations-1_0.html" TargetMode="External" /><Relationship Type="http://schemas.openxmlformats.org/officeDocument/2006/relationships/hyperlink" Id="rId151" Target="https://openid.net/specs/openid-connect-self-issued-v2-1_0.html" TargetMode="External" /><Relationship Type="http://schemas.openxmlformats.org/officeDocument/2006/relationships/hyperlink" Id="rId167" Target="https://thewalletwars.s3.amazonaws.com/Wallet-UPDATE-Webinar-27OCT2021.pdf" TargetMode="External" /><Relationship Type="http://schemas.openxmlformats.org/officeDocument/2006/relationships/hyperlink" Id="rId120" Target="https://train.trust-scheme.de/info/" TargetMode="External" /><Relationship Type="http://schemas.openxmlformats.org/officeDocument/2006/relationships/hyperlink" Id="rId134" Target="https://w3c.github.io/vc-jwt/" TargetMode="External" /><Relationship Type="http://schemas.openxmlformats.org/officeDocument/2006/relationships/hyperlink" Id="rId122" Target="https://www.canada.ca/en/government/system/digital-government/digital-government-innovations/digital-credentials.html" TargetMode="External" /><Relationship Type="http://schemas.openxmlformats.org/officeDocument/2006/relationships/hyperlink" Id="rId168" Target="https://www.continuumloop.com/wp-content/uploads/2022/02/The-Current-and-Future-State-of-Digital-Wallets-v1.0-FINAL.pdf" TargetMode="External" /><Relationship Type="http://schemas.openxmlformats.org/officeDocument/2006/relationships/hyperlink" Id="rId144" Target="https://www.icao.int/Security/FAL/TRIP/PublishingImages/Pages/Publications/Guiding%20core%20principles%20for%20the%20development%20of%20a%20Digital%20Travel%20Credential%20%20%28DTC%29.PDF" TargetMode="External" /><Relationship Type="http://schemas.openxmlformats.org/officeDocument/2006/relationships/hyperlink" Id="rId145" Target="https://www.icao.int/publications/pages/publication.aspx?docnum=9303" TargetMode="External" /><Relationship Type="http://schemas.openxmlformats.org/officeDocument/2006/relationships/hyperlink" Id="rId166" Target="https://www.idlab.org/en/aries-agent-test-harness-enhancement-project/" TargetMode="External" /><Relationship Type="http://schemas.openxmlformats.org/officeDocument/2006/relationships/hyperlink" Id="rId158" Target="https://www.idlab.org/en/assessment-services/assessment-programs/" TargetMode="External" /><Relationship Type="http://schemas.openxmlformats.org/officeDocument/2006/relationships/hyperlink" Id="rId157" Target="https://www.idlab.org/en/our-services/assessment-services/w3c-vc-testing/" TargetMode="External" /><Relationship Type="http://schemas.openxmlformats.org/officeDocument/2006/relationships/hyperlink" Id="rId138" Target="https://www.ietf.org/archive/id/draft-jmiller-jose-json-web-proof-00.html" TargetMode="External" /><Relationship Type="http://schemas.openxmlformats.org/officeDocument/2006/relationships/hyperlink" Id="rId97" Target="https://www.iso.org/files/live/sites/isoorg/files/archive/pdf/en/pub100303.pdf" TargetMode="External" /><Relationship Type="http://schemas.openxmlformats.org/officeDocument/2006/relationships/hyperlink" Id="rId95" Target="https://www.iso.org/publication/PUB100303.html" TargetMode="External" /><Relationship Type="http://schemas.openxmlformats.org/officeDocument/2006/relationships/hyperlink" Id="rId135" Target="https://www.iso.org/standard/69084.html" TargetMode="External" /><Relationship Type="http://schemas.openxmlformats.org/officeDocument/2006/relationships/hyperlink" Id="rId147" Target="https://www.itu.int/rec/T-REC-X.509" TargetMode="External" /><Relationship Type="http://schemas.openxmlformats.org/officeDocument/2006/relationships/hyperlink" Id="rId148" Target="https://www.itu.int/rec/T-REC-X.509-201910-I/en" TargetMode="External" /><Relationship Type="http://schemas.openxmlformats.org/officeDocument/2006/relationships/hyperlink" Id="rId61" Target="https://www.json.org/json-en.html" TargetMode="External" /><Relationship Type="http://schemas.openxmlformats.org/officeDocument/2006/relationships/hyperlink" Id="rId106" Target="https://www.lfph.io/wp-content/uploads/2021/04/Verifiable-Credentials-Flavors-Explained-Infographic.pdf" TargetMode="External" /><Relationship Type="http://schemas.openxmlformats.org/officeDocument/2006/relationships/hyperlink" Id="rId102" Target="https://www.linuxfoundation.org/press/linux-foundation-announces-an-intent-to-form-the-openwallet-foundation" TargetMode="External" /><Relationship Type="http://schemas.openxmlformats.org/officeDocument/2006/relationships/hyperlink" Id="rId104" Target="https://www.ontario.ca/page/ontarios-digital-id-technology-and-standards" TargetMode="External" /><Relationship Type="http://schemas.openxmlformats.org/officeDocument/2006/relationships/hyperlink" Id="rId115" Target="https://www.procivis.ch/post/iso-iec-18013-5-vs-self-sovereign-identity-a-proposal-for-an-mdl-verifiable-credential" TargetMode="External" /><Relationship Type="http://schemas.openxmlformats.org/officeDocument/2006/relationships/hyperlink" Id="rId62" Target="https://www.rfc-editor.org/rfc/rfc7519" TargetMode="External" /><Relationship Type="http://schemas.openxmlformats.org/officeDocument/2006/relationships/hyperlink" Id="rId113" Target="https://www.sis.se/api/document/preview/80031411/" TargetMode="External" /><Relationship Type="http://schemas.openxmlformats.org/officeDocument/2006/relationships/hyperlink" Id="rId96" Target="https://www.unescap.org/sites/default/files/3%20-%20Introduction%20to%20Conformity%20Assessment%20and%20ISO%20CASCO.pdf" TargetMode="External" /><Relationship Type="http://schemas.openxmlformats.org/officeDocument/2006/relationships/hyperlink" Id="rId132" Target="https://www.w3.org/TR/did-core/" TargetMode="External" /><Relationship Type="http://schemas.openxmlformats.org/officeDocument/2006/relationships/hyperlink" Id="rId133" Target="https://www.w3.org/TR/vc-data-model/" TargetMode="External" /><Relationship Type="http://schemas.openxmlformats.org/officeDocument/2006/relationships/hyperlink" Id="rId108" Target="https://www.w3.org/TR/vc-use-cases/" TargetMode="External" /><Relationship Type="http://schemas.openxmlformats.org/officeDocument/2006/relationships/hyperlink" Id="rId110" Target="https://www.w3.org/community/applied-did-and-v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2022-10-11T15:50:34Z</dcterms:created>
  <dcterms:modified xsi:type="dcterms:W3CDTF">2022-10-11T15:50:34Z</dcterms:modified>
</cp:coreProperties>
</file>

<file path=docProps/custom.xml><?xml version="1.0" encoding="utf-8"?>
<Properties xmlns="http://schemas.openxmlformats.org/officeDocument/2006/custom-properties" xmlns:vt="http://schemas.openxmlformats.org/officeDocument/2006/docPropsVTypes"/>
</file>