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BB" w:rsidRDefault="008A2F70" w:rsidP="008A2F70">
      <w:pPr>
        <w:pStyle w:val="Heading1"/>
      </w:pPr>
      <w:r>
        <w:t>DIACC TFEC PCTF Verified Person – Expedited Review</w:t>
      </w:r>
    </w:p>
    <w:p w:rsidR="00695207" w:rsidRDefault="00695207" w:rsidP="008A2F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50"/>
      </w:tblGrid>
      <w:tr w:rsidR="00B1511E" w:rsidTr="00B1511E">
        <w:tc>
          <w:tcPr>
            <w:tcW w:w="2155" w:type="dxa"/>
          </w:tcPr>
          <w:p w:rsidR="00B1511E" w:rsidRPr="00B1511E" w:rsidRDefault="00B1511E" w:rsidP="00B1511E">
            <w:pPr>
              <w:jc w:val="right"/>
              <w:rPr>
                <w:b/>
              </w:rPr>
            </w:pPr>
            <w:r w:rsidRPr="00B1511E">
              <w:rPr>
                <w:b/>
              </w:rPr>
              <w:t>Prepared By:</w:t>
            </w:r>
          </w:p>
        </w:tc>
        <w:tc>
          <w:tcPr>
            <w:tcW w:w="4050" w:type="dxa"/>
          </w:tcPr>
          <w:p w:rsidR="00B1511E" w:rsidRPr="00734115" w:rsidRDefault="00B1511E" w:rsidP="008A2F70">
            <w:pPr>
              <w:rPr>
                <w:b/>
              </w:rPr>
            </w:pPr>
            <w:r w:rsidRPr="00734115">
              <w:rPr>
                <w:b/>
              </w:rPr>
              <w:t>IMSC PCTF Working Group</w:t>
            </w:r>
          </w:p>
        </w:tc>
      </w:tr>
      <w:tr w:rsidR="00B1511E" w:rsidTr="00B1511E">
        <w:tc>
          <w:tcPr>
            <w:tcW w:w="2155" w:type="dxa"/>
          </w:tcPr>
          <w:p w:rsidR="00B1511E" w:rsidRPr="00B1511E" w:rsidRDefault="00B1511E" w:rsidP="00B1511E">
            <w:pPr>
              <w:jc w:val="right"/>
              <w:rPr>
                <w:b/>
              </w:rPr>
            </w:pPr>
            <w:r w:rsidRPr="00B1511E">
              <w:rPr>
                <w:b/>
              </w:rPr>
              <w:t>Date Prepared:</w:t>
            </w:r>
          </w:p>
        </w:tc>
        <w:tc>
          <w:tcPr>
            <w:tcW w:w="4050" w:type="dxa"/>
          </w:tcPr>
          <w:p w:rsidR="00B1511E" w:rsidRDefault="00B1511E" w:rsidP="008A2F70">
            <w:r>
              <w:t>January 28, 2020</w:t>
            </w:r>
          </w:p>
        </w:tc>
      </w:tr>
      <w:tr w:rsidR="00B1511E" w:rsidTr="00B1511E">
        <w:tc>
          <w:tcPr>
            <w:tcW w:w="2155" w:type="dxa"/>
          </w:tcPr>
          <w:p w:rsidR="00B1511E" w:rsidRPr="00B1511E" w:rsidRDefault="00B1511E" w:rsidP="00B1511E">
            <w:pPr>
              <w:jc w:val="right"/>
              <w:rPr>
                <w:b/>
              </w:rPr>
            </w:pPr>
            <w:r w:rsidRPr="00B1511E">
              <w:rPr>
                <w:b/>
              </w:rPr>
              <w:t>Date Reviewed</w:t>
            </w:r>
            <w:r w:rsidR="002445A0">
              <w:rPr>
                <w:b/>
              </w:rPr>
              <w:t xml:space="preserve"> and WG Feedback Solicited</w:t>
            </w:r>
            <w:r w:rsidRPr="00B1511E">
              <w:rPr>
                <w:b/>
              </w:rPr>
              <w:t xml:space="preserve">: </w:t>
            </w:r>
          </w:p>
        </w:tc>
        <w:tc>
          <w:tcPr>
            <w:tcW w:w="4050" w:type="dxa"/>
          </w:tcPr>
          <w:p w:rsidR="00B1511E" w:rsidRDefault="00B1511E" w:rsidP="008A2F70">
            <w:r>
              <w:t>January 28, 2020</w:t>
            </w:r>
          </w:p>
        </w:tc>
      </w:tr>
      <w:tr w:rsidR="00B1511E" w:rsidTr="00B1511E">
        <w:tc>
          <w:tcPr>
            <w:tcW w:w="2155" w:type="dxa"/>
          </w:tcPr>
          <w:p w:rsidR="00B1511E" w:rsidRPr="00B1511E" w:rsidRDefault="00B1511E" w:rsidP="00B1511E">
            <w:pPr>
              <w:jc w:val="right"/>
              <w:rPr>
                <w:b/>
              </w:rPr>
            </w:pPr>
            <w:r w:rsidRPr="00B1511E">
              <w:rPr>
                <w:b/>
              </w:rPr>
              <w:t>Date Finalized:</w:t>
            </w:r>
          </w:p>
        </w:tc>
        <w:tc>
          <w:tcPr>
            <w:tcW w:w="4050" w:type="dxa"/>
          </w:tcPr>
          <w:p w:rsidR="00B1511E" w:rsidRDefault="00B1511E" w:rsidP="008A2F70">
            <w:r>
              <w:t>January 30, 202</w:t>
            </w:r>
            <w:r w:rsidR="002445A0">
              <w:t>0</w:t>
            </w:r>
          </w:p>
        </w:tc>
      </w:tr>
    </w:tbl>
    <w:p w:rsidR="00B1511E" w:rsidRDefault="00B1511E" w:rsidP="008A2F70"/>
    <w:p w:rsidR="00B1511E" w:rsidRDefault="00B1511E" w:rsidP="008A2F70">
      <w:r>
        <w:t>The expedited review has two parts:</w:t>
      </w:r>
    </w:p>
    <w:p w:rsidR="00B1511E" w:rsidRDefault="00B1511E" w:rsidP="00B1511E">
      <w:pPr>
        <w:numPr>
          <w:ilvl w:val="0"/>
          <w:numId w:val="4"/>
        </w:numPr>
      </w:pPr>
      <w:r w:rsidRPr="00B1511E">
        <w:rPr>
          <w:b/>
        </w:rPr>
        <w:t>Cross-Reference Review</w:t>
      </w:r>
      <w:r>
        <w:t xml:space="preserve"> of the </w:t>
      </w:r>
      <w:r w:rsidRPr="00B1511E">
        <w:rPr>
          <w:b/>
        </w:rPr>
        <w:t xml:space="preserve">DIACC TFEC </w:t>
      </w:r>
      <w:r>
        <w:rPr>
          <w:b/>
        </w:rPr>
        <w:t xml:space="preserve">PCTF </w:t>
      </w:r>
      <w:r w:rsidRPr="00B1511E">
        <w:rPr>
          <w:b/>
        </w:rPr>
        <w:t>Verified Person</w:t>
      </w:r>
      <w:r>
        <w:t xml:space="preserve"> Component Conformance Criteria</w:t>
      </w:r>
    </w:p>
    <w:p w:rsidR="00B1511E" w:rsidRPr="00A90289" w:rsidRDefault="00B1511E" w:rsidP="00B1511E">
      <w:pPr>
        <w:numPr>
          <w:ilvl w:val="0"/>
          <w:numId w:val="4"/>
        </w:numPr>
      </w:pPr>
      <w:r w:rsidRPr="00B1511E">
        <w:rPr>
          <w:b/>
        </w:rPr>
        <w:t>Global Review:</w:t>
      </w:r>
      <w:r>
        <w:t xml:space="preserve"> outlining key observations and issues related to the </w:t>
      </w:r>
      <w:r w:rsidRPr="00B1511E">
        <w:rPr>
          <w:b/>
        </w:rPr>
        <w:t>DIACC TFEC PCTF</w:t>
      </w:r>
    </w:p>
    <w:p w:rsidR="00A90289" w:rsidRDefault="00A90289" w:rsidP="00A90289">
      <w:r>
        <w:t xml:space="preserve">Please note that </w:t>
      </w:r>
      <w:r w:rsidRPr="00A90289">
        <w:t xml:space="preserve">due to the short turnaround requested, </w:t>
      </w:r>
      <w:r>
        <w:t>there may be additional</w:t>
      </w:r>
      <w:r w:rsidRPr="00A90289">
        <w:t xml:space="preserve"> feedback </w:t>
      </w:r>
      <w:r>
        <w:t xml:space="preserve">that has not yet been received from the IMSC PCTF WG. </w:t>
      </w:r>
    </w:p>
    <w:p w:rsidR="008A2F70" w:rsidRDefault="00037C71" w:rsidP="005A3C54">
      <w:pPr>
        <w:pStyle w:val="Heading2"/>
        <w:numPr>
          <w:ilvl w:val="0"/>
          <w:numId w:val="5"/>
        </w:numPr>
        <w:rPr>
          <w:color w:val="1F497D"/>
        </w:rPr>
      </w:pPr>
      <w:r>
        <w:t>Cross-Reference Review</w:t>
      </w:r>
      <w:r w:rsidR="00B1511E">
        <w:br/>
      </w:r>
      <w:r w:rsidR="00B1511E">
        <w:br/>
      </w:r>
      <w:r w:rsidR="008A2F70">
        <w:rPr>
          <w:color w:val="1F497D"/>
        </w:rPr>
        <w:t xml:space="preserve">A cross-reference of the </w:t>
      </w:r>
      <w:r w:rsidR="00695207" w:rsidRPr="00695207">
        <w:rPr>
          <w:b/>
          <w:color w:val="1F497D"/>
        </w:rPr>
        <w:t>DIACC TFEC PCTF</w:t>
      </w:r>
      <w:r w:rsidR="00695207">
        <w:rPr>
          <w:color w:val="1F497D"/>
        </w:rPr>
        <w:t xml:space="preserve"> </w:t>
      </w:r>
      <w:r w:rsidR="008A2F70">
        <w:rPr>
          <w:b/>
          <w:bCs/>
          <w:color w:val="1F497D"/>
        </w:rPr>
        <w:t>Verified Person Conformance</w:t>
      </w:r>
      <w:r w:rsidR="008A2F70">
        <w:rPr>
          <w:color w:val="1F497D"/>
        </w:rPr>
        <w:t xml:space="preserve"> criteria</w:t>
      </w:r>
      <w:r w:rsidR="00B1511E">
        <w:rPr>
          <w:color w:val="1F497D"/>
        </w:rPr>
        <w:t xml:space="preserve"> to the </w:t>
      </w:r>
      <w:r w:rsidR="00734115" w:rsidRPr="00734115">
        <w:rPr>
          <w:b/>
          <w:color w:val="1F497D"/>
        </w:rPr>
        <w:t>IMSC PSP-</w:t>
      </w:r>
      <w:r w:rsidR="00B1511E" w:rsidRPr="00734115">
        <w:rPr>
          <w:b/>
          <w:color w:val="1F497D"/>
        </w:rPr>
        <w:t>PCTF Version 1.0</w:t>
      </w:r>
      <w:r w:rsidR="00B1511E">
        <w:rPr>
          <w:color w:val="1F497D"/>
        </w:rPr>
        <w:t xml:space="preserve"> (July 4</w:t>
      </w:r>
      <w:r w:rsidR="00B1511E" w:rsidRPr="00B1511E">
        <w:rPr>
          <w:color w:val="1F497D"/>
          <w:vertAlign w:val="superscript"/>
        </w:rPr>
        <w:t>th</w:t>
      </w:r>
      <w:r w:rsidR="00B1511E">
        <w:rPr>
          <w:color w:val="1F497D"/>
        </w:rPr>
        <w:t>, 2019)</w:t>
      </w:r>
      <w:r w:rsidR="008A2F70">
        <w:rPr>
          <w:color w:val="1F497D"/>
        </w:rPr>
        <w:t>.</w:t>
      </w:r>
    </w:p>
    <w:p w:rsidR="008A2F70" w:rsidRDefault="008A2F70" w:rsidP="008A2F7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b/>
          <w:bCs/>
          <w:color w:val="1F497D"/>
        </w:rPr>
        <w:t>55</w:t>
      </w:r>
      <w:r>
        <w:rPr>
          <w:color w:val="1F497D"/>
        </w:rPr>
        <w:t xml:space="preserve"> requirements are specified in total</w:t>
      </w:r>
    </w:p>
    <w:p w:rsidR="008A2F70" w:rsidRDefault="008A2F70" w:rsidP="008A2F7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b/>
          <w:bCs/>
          <w:color w:val="1F497D"/>
        </w:rPr>
        <w:t>37</w:t>
      </w:r>
      <w:r>
        <w:rPr>
          <w:color w:val="1F497D"/>
        </w:rPr>
        <w:t xml:space="preserve"> can be mapped back to </w:t>
      </w:r>
      <w:r w:rsidR="00734115" w:rsidRPr="00734115">
        <w:rPr>
          <w:b/>
          <w:color w:val="1F497D"/>
        </w:rPr>
        <w:t>IMSC PSP-</w:t>
      </w:r>
      <w:r w:rsidRPr="00734115">
        <w:rPr>
          <w:b/>
          <w:color w:val="1F497D"/>
        </w:rPr>
        <w:t>PCTF</w:t>
      </w:r>
      <w:r w:rsidRPr="008A2F70">
        <w:rPr>
          <w:b/>
          <w:color w:val="1F497D"/>
        </w:rPr>
        <w:t xml:space="preserve"> Version 1.0</w:t>
      </w:r>
      <w:r>
        <w:rPr>
          <w:color w:val="1F497D"/>
        </w:rPr>
        <w:t xml:space="preserve"> (with some minor variations in wording)</w:t>
      </w:r>
    </w:p>
    <w:p w:rsidR="008A2F70" w:rsidRDefault="008A2F70" w:rsidP="008A2F7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b/>
          <w:bCs/>
          <w:color w:val="1F497D"/>
        </w:rPr>
        <w:t xml:space="preserve">18 new </w:t>
      </w:r>
      <w:r>
        <w:rPr>
          <w:color w:val="1F497D"/>
        </w:rPr>
        <w:t>requirements are in the Verified Person</w:t>
      </w:r>
    </w:p>
    <w:p w:rsidR="008A2F70" w:rsidRDefault="008A2F70" w:rsidP="008A2F7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6 are attributed to a new trusted process call </w:t>
      </w:r>
      <w:r>
        <w:rPr>
          <w:b/>
          <w:bCs/>
          <w:color w:val="1F497D"/>
        </w:rPr>
        <w:t>Establish Source</w:t>
      </w:r>
      <w:r>
        <w:rPr>
          <w:color w:val="1F497D"/>
        </w:rPr>
        <w:t>,</w:t>
      </w:r>
    </w:p>
    <w:p w:rsidR="008A2F70" w:rsidRDefault="008A2F70" w:rsidP="008A2F70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6 are attributed to </w:t>
      </w:r>
      <w:r>
        <w:rPr>
          <w:b/>
          <w:bCs/>
          <w:color w:val="1F497D"/>
        </w:rPr>
        <w:t>Identity Information Validation</w:t>
      </w:r>
    </w:p>
    <w:p w:rsidR="008A2F70" w:rsidRDefault="008A2F70" w:rsidP="008A2F70">
      <w:pPr>
        <w:pStyle w:val="ListParagraph"/>
        <w:numPr>
          <w:ilvl w:val="1"/>
          <w:numId w:val="1"/>
        </w:numPr>
        <w:spacing w:after="240"/>
        <w:rPr>
          <w:color w:val="1F497D"/>
        </w:rPr>
      </w:pPr>
      <w:r>
        <w:rPr>
          <w:color w:val="1F497D"/>
        </w:rPr>
        <w:t>The 6 remaining are spread throughout.</w:t>
      </w:r>
    </w:p>
    <w:p w:rsidR="008A2F70" w:rsidRDefault="008A2F70" w:rsidP="008A2F70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Key Observations: </w:t>
      </w:r>
    </w:p>
    <w:p w:rsidR="00695207" w:rsidRDefault="00037C71" w:rsidP="008A2F7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Mostly aligned, however t</w:t>
      </w:r>
      <w:r w:rsidR="00695207">
        <w:rPr>
          <w:color w:val="1F497D"/>
        </w:rPr>
        <w:t xml:space="preserve">here are new requirements and </w:t>
      </w:r>
      <w:r>
        <w:rPr>
          <w:color w:val="1F497D"/>
        </w:rPr>
        <w:t xml:space="preserve">atomic processes – likely originating from a difference </w:t>
      </w:r>
      <w:r w:rsidR="004C29B7">
        <w:rPr>
          <w:color w:val="1F497D"/>
        </w:rPr>
        <w:t>in</w:t>
      </w:r>
      <w:r>
        <w:rPr>
          <w:color w:val="1F497D"/>
        </w:rPr>
        <w:t xml:space="preserve"> perspectives.</w:t>
      </w:r>
    </w:p>
    <w:p w:rsidR="008A2F70" w:rsidRPr="00734115" w:rsidRDefault="008A2F70" w:rsidP="008A2F70">
      <w:pPr>
        <w:pStyle w:val="ListParagraph"/>
        <w:numPr>
          <w:ilvl w:val="0"/>
          <w:numId w:val="2"/>
        </w:numPr>
        <w:rPr>
          <w:b/>
          <w:color w:val="1F497D"/>
        </w:rPr>
      </w:pPr>
      <w:r>
        <w:rPr>
          <w:color w:val="1F497D"/>
        </w:rPr>
        <w:t xml:space="preserve">New requirements could be easily incorporated into the master spreadsheet for </w:t>
      </w:r>
      <w:r w:rsidR="00734115" w:rsidRPr="00734115">
        <w:rPr>
          <w:b/>
          <w:color w:val="1F497D"/>
        </w:rPr>
        <w:t>IMSC PSP-</w:t>
      </w:r>
      <w:r w:rsidRPr="00734115">
        <w:rPr>
          <w:b/>
          <w:color w:val="1F497D"/>
        </w:rPr>
        <w:t>PCTF Version 1.1</w:t>
      </w:r>
    </w:p>
    <w:p w:rsidR="008A2F70" w:rsidRDefault="00037C71" w:rsidP="008A2F7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The IMSC/</w:t>
      </w:r>
      <w:r w:rsidR="004C29B7">
        <w:rPr>
          <w:color w:val="1F497D"/>
        </w:rPr>
        <w:t>DIACC</w:t>
      </w:r>
      <w:r>
        <w:rPr>
          <w:color w:val="1F497D"/>
        </w:rPr>
        <w:t xml:space="preserve"> versions are </w:t>
      </w:r>
      <w:r w:rsidR="008A2F70">
        <w:rPr>
          <w:color w:val="1F497D"/>
        </w:rPr>
        <w:t xml:space="preserve">not 100% conceptually aligned on the </w:t>
      </w:r>
      <w:r>
        <w:rPr>
          <w:color w:val="1F497D"/>
        </w:rPr>
        <w:t>atomic</w:t>
      </w:r>
      <w:r w:rsidR="008A2F70">
        <w:rPr>
          <w:color w:val="1F497D"/>
        </w:rPr>
        <w:t xml:space="preserve"> process models. </w:t>
      </w:r>
      <w:r>
        <w:rPr>
          <w:color w:val="1F497D"/>
        </w:rPr>
        <w:t xml:space="preserve">This likely can be </w:t>
      </w:r>
      <w:r w:rsidR="008A2F70">
        <w:rPr>
          <w:color w:val="1F497D"/>
        </w:rPr>
        <w:t>resolve</w:t>
      </w:r>
      <w:r>
        <w:rPr>
          <w:color w:val="1F497D"/>
        </w:rPr>
        <w:t>d</w:t>
      </w:r>
      <w:r w:rsidR="008A2F70">
        <w:rPr>
          <w:color w:val="1F497D"/>
        </w:rPr>
        <w:t xml:space="preserve"> at the working level. </w:t>
      </w:r>
    </w:p>
    <w:p w:rsidR="008A2F70" w:rsidRDefault="008A2F70" w:rsidP="008A2F7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Validating the conformance criteria will take some work. This can only be done through testing in the assessment process.</w:t>
      </w:r>
    </w:p>
    <w:p w:rsidR="008A2F70" w:rsidRDefault="008A2F70" w:rsidP="008A2F70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Thus, the priority is to make sure we are aligned on the </w:t>
      </w:r>
      <w:r w:rsidR="004C29B7">
        <w:rPr>
          <w:color w:val="1F497D"/>
        </w:rPr>
        <w:t>atomic</w:t>
      </w:r>
      <w:r>
        <w:rPr>
          <w:color w:val="1F497D"/>
        </w:rPr>
        <w:t xml:space="preserve"> process model. </w:t>
      </w:r>
    </w:p>
    <w:p w:rsidR="00B1511E" w:rsidRPr="00734115" w:rsidRDefault="00037C71" w:rsidP="00F1268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34115">
        <w:rPr>
          <w:color w:val="1F497D"/>
        </w:rPr>
        <w:t>The</w:t>
      </w:r>
      <w:r w:rsidR="008A2F70" w:rsidRPr="00734115">
        <w:rPr>
          <w:color w:val="1F497D"/>
        </w:rPr>
        <w:t xml:space="preserve"> </w:t>
      </w:r>
      <w:r w:rsidR="008A2F70" w:rsidRPr="00734115">
        <w:rPr>
          <w:b/>
          <w:color w:val="1F497D"/>
        </w:rPr>
        <w:t>DIACC TFEC PCTF</w:t>
      </w:r>
      <w:r w:rsidR="008A2F70" w:rsidRPr="00734115">
        <w:rPr>
          <w:color w:val="1F497D"/>
        </w:rPr>
        <w:t xml:space="preserve"> </w:t>
      </w:r>
      <w:r w:rsidRPr="00734115">
        <w:rPr>
          <w:color w:val="1F497D"/>
        </w:rPr>
        <w:t xml:space="preserve">is structured as </w:t>
      </w:r>
      <w:r w:rsidR="008A2F70" w:rsidRPr="00734115">
        <w:rPr>
          <w:color w:val="1F497D"/>
        </w:rPr>
        <w:t xml:space="preserve">many </w:t>
      </w:r>
      <w:r w:rsidRPr="00734115">
        <w:rPr>
          <w:color w:val="1F497D"/>
        </w:rPr>
        <w:t xml:space="preserve">separate </w:t>
      </w:r>
      <w:r w:rsidR="008A2F70" w:rsidRPr="00734115">
        <w:rPr>
          <w:color w:val="1F497D"/>
        </w:rPr>
        <w:t>deliverables</w:t>
      </w:r>
      <w:r w:rsidR="004C29B7" w:rsidRPr="00734115">
        <w:rPr>
          <w:color w:val="1F497D"/>
        </w:rPr>
        <w:t>.</w:t>
      </w:r>
      <w:r w:rsidRPr="00734115">
        <w:rPr>
          <w:color w:val="1F497D"/>
        </w:rPr>
        <w:t xml:space="preserve"> It has</w:t>
      </w:r>
      <w:r w:rsidR="008A2F70" w:rsidRPr="00734115">
        <w:rPr>
          <w:color w:val="1F497D"/>
        </w:rPr>
        <w:t xml:space="preserve"> not gone through a holistic </w:t>
      </w:r>
      <w:r w:rsidRPr="00734115">
        <w:rPr>
          <w:color w:val="1F497D"/>
        </w:rPr>
        <w:t xml:space="preserve">review </w:t>
      </w:r>
      <w:r w:rsidR="008A2F70" w:rsidRPr="00734115">
        <w:rPr>
          <w:color w:val="1F497D"/>
        </w:rPr>
        <w:t>process as we have done</w:t>
      </w:r>
      <w:r w:rsidRPr="00734115">
        <w:rPr>
          <w:color w:val="1F497D"/>
        </w:rPr>
        <w:t xml:space="preserve"> in the </w:t>
      </w:r>
      <w:r w:rsidR="00734115" w:rsidRPr="00734115">
        <w:rPr>
          <w:b/>
          <w:color w:val="1F497D"/>
        </w:rPr>
        <w:t>IMSC PCTF Working G</w:t>
      </w:r>
      <w:r w:rsidRPr="00734115">
        <w:rPr>
          <w:b/>
          <w:color w:val="1F497D"/>
        </w:rPr>
        <w:t>roup</w:t>
      </w:r>
      <w:r w:rsidRPr="00734115">
        <w:rPr>
          <w:color w:val="1F497D"/>
        </w:rPr>
        <w:t xml:space="preserve">. This </w:t>
      </w:r>
      <w:r w:rsidR="004C29B7" w:rsidRPr="00734115">
        <w:rPr>
          <w:color w:val="1F497D"/>
        </w:rPr>
        <w:t xml:space="preserve">separated </w:t>
      </w:r>
      <w:r w:rsidRPr="00734115">
        <w:rPr>
          <w:color w:val="1F497D"/>
        </w:rPr>
        <w:t xml:space="preserve">structure </w:t>
      </w:r>
      <w:r w:rsidR="008A2F70" w:rsidRPr="00734115">
        <w:rPr>
          <w:color w:val="1F497D"/>
        </w:rPr>
        <w:t xml:space="preserve">will it make </w:t>
      </w:r>
      <w:r w:rsidR="004C29B7" w:rsidRPr="00734115">
        <w:rPr>
          <w:color w:val="1F497D"/>
        </w:rPr>
        <w:t xml:space="preserve">the DIACC version </w:t>
      </w:r>
      <w:r w:rsidR="008A2F70" w:rsidRPr="00734115">
        <w:rPr>
          <w:color w:val="1F497D"/>
        </w:rPr>
        <w:t xml:space="preserve">difficult to maintain and </w:t>
      </w:r>
      <w:r w:rsidRPr="00734115">
        <w:rPr>
          <w:color w:val="1F497D"/>
        </w:rPr>
        <w:t>to</w:t>
      </w:r>
      <w:r w:rsidR="008A2F70" w:rsidRPr="00734115">
        <w:rPr>
          <w:color w:val="1F497D"/>
        </w:rPr>
        <w:t xml:space="preserve"> apply.</w:t>
      </w:r>
      <w:r w:rsidR="00B1511E">
        <w:br w:type="page"/>
      </w:r>
    </w:p>
    <w:p w:rsidR="008A2F70" w:rsidRDefault="00037C71" w:rsidP="005A3C54">
      <w:pPr>
        <w:pStyle w:val="Heading2"/>
        <w:numPr>
          <w:ilvl w:val="0"/>
          <w:numId w:val="5"/>
        </w:numPr>
      </w:pPr>
      <w:r>
        <w:lastRenderedPageBreak/>
        <w:t>Global Review:</w:t>
      </w:r>
    </w:p>
    <w:p w:rsidR="00B1511E" w:rsidRDefault="00B1511E" w:rsidP="00037C71"/>
    <w:p w:rsidR="00037C71" w:rsidRDefault="00037C71" w:rsidP="00037C71">
      <w:r>
        <w:t xml:space="preserve">A global review of </w:t>
      </w:r>
      <w:r w:rsidRPr="00F4141D">
        <w:rPr>
          <w:b/>
        </w:rPr>
        <w:t>DIACC</w:t>
      </w:r>
      <w:r w:rsidR="00734115" w:rsidRPr="00F4141D">
        <w:rPr>
          <w:b/>
        </w:rPr>
        <w:t xml:space="preserve"> TFEC</w:t>
      </w:r>
      <w:r w:rsidRPr="00F4141D">
        <w:rPr>
          <w:b/>
        </w:rPr>
        <w:t xml:space="preserve"> PCTF</w:t>
      </w:r>
      <w:r>
        <w:t xml:space="preserve"> Verified Person </w:t>
      </w:r>
      <w:r w:rsidR="00B1511E">
        <w:t xml:space="preserve">outline key </w:t>
      </w:r>
      <w:r>
        <w:t>observations and issues: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t xml:space="preserve">DIACC TFEC Verified Person and Conformance Profile </w:t>
      </w:r>
      <w:r w:rsidR="004C29B7">
        <w:rPr>
          <w:b/>
          <w:bCs/>
        </w:rPr>
        <w:t xml:space="preserve">are </w:t>
      </w:r>
      <w:r>
        <w:rPr>
          <w:b/>
          <w:bCs/>
        </w:rPr>
        <w:t xml:space="preserve">separate deliverables </w:t>
      </w:r>
      <w:r w:rsidR="004C29B7">
        <w:rPr>
          <w:b/>
          <w:bCs/>
        </w:rPr>
        <w:t xml:space="preserve">from the other components </w:t>
      </w:r>
      <w:r>
        <w:rPr>
          <w:b/>
          <w:bCs/>
        </w:rPr>
        <w:t xml:space="preserve">leading to a complex </w:t>
      </w:r>
      <w:r w:rsidR="004C29B7">
        <w:rPr>
          <w:b/>
          <w:bCs/>
        </w:rPr>
        <w:t xml:space="preserve">and hard to apply </w:t>
      </w:r>
      <w:r>
        <w:rPr>
          <w:b/>
          <w:bCs/>
        </w:rPr>
        <w:t xml:space="preserve">product. 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At last count, the </w:t>
      </w:r>
      <w:r>
        <w:rPr>
          <w:b/>
          <w:bCs/>
        </w:rPr>
        <w:t>DIACC TFEC PCTF</w:t>
      </w:r>
      <w:r>
        <w:t xml:space="preserve"> is approximately ten different deliverables to date (in Word format). </w:t>
      </w:r>
      <w:r w:rsidRPr="001D1673">
        <w:rPr>
          <w:b/>
        </w:rPr>
        <w:t>Verified Person</w:t>
      </w:r>
      <w:r>
        <w:t xml:space="preserve"> is two deliverables.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In contrast the </w:t>
      </w:r>
      <w:r>
        <w:rPr>
          <w:b/>
          <w:bCs/>
        </w:rPr>
        <w:t>IMSC Public Sector Profile of the PCTF</w:t>
      </w:r>
      <w:r>
        <w:t xml:space="preserve"> (</w:t>
      </w:r>
      <w:r>
        <w:rPr>
          <w:b/>
          <w:bCs/>
        </w:rPr>
        <w:t>IMSC PSP PCTF</w:t>
      </w:r>
      <w:r>
        <w:t xml:space="preserve">) has been simplified and consolidated into two deliverables – a </w:t>
      </w:r>
      <w:r>
        <w:rPr>
          <w:b/>
          <w:bCs/>
        </w:rPr>
        <w:t xml:space="preserve">single </w:t>
      </w:r>
      <w:r w:rsidR="004C29B7">
        <w:rPr>
          <w:b/>
          <w:bCs/>
        </w:rPr>
        <w:t>integrated</w:t>
      </w:r>
      <w:r>
        <w:rPr>
          <w:b/>
          <w:bCs/>
        </w:rPr>
        <w:t xml:space="preserve"> document </w:t>
      </w:r>
      <w:r>
        <w:t xml:space="preserve">and an </w:t>
      </w:r>
      <w:r>
        <w:rPr>
          <w:b/>
          <w:bCs/>
        </w:rPr>
        <w:t>accompanying spreadsheet</w:t>
      </w:r>
      <w:r>
        <w:t xml:space="preserve"> containing all of the conformance criteria structured and cross-referenced in a way to facilitate the assessment process.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t>DIACC TFEC PCTF has not been tested in practice.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To our knowledge, the </w:t>
      </w:r>
      <w:r>
        <w:rPr>
          <w:b/>
          <w:bCs/>
        </w:rPr>
        <w:t>DIACC TFEC PCTF</w:t>
      </w:r>
      <w:r>
        <w:t xml:space="preserve"> artifacts have not been tested – they only have been developed by </w:t>
      </w:r>
      <w:r>
        <w:rPr>
          <w:b/>
          <w:bCs/>
        </w:rPr>
        <w:t>DIACC TFEC</w:t>
      </w:r>
      <w:r>
        <w:t xml:space="preserve"> working group and circulated for comment </w:t>
      </w:r>
      <w:r w:rsidR="004C29B7">
        <w:t xml:space="preserve">for the purposes of </w:t>
      </w:r>
      <w:r>
        <w:t>DIACC Board Approval.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In contrast, the </w:t>
      </w:r>
      <w:r>
        <w:rPr>
          <w:b/>
          <w:bCs/>
        </w:rPr>
        <w:t>IMSC PSP PCTF</w:t>
      </w:r>
      <w:r>
        <w:t xml:space="preserve"> has gone through two major iterations: 1) </w:t>
      </w:r>
      <w:r>
        <w:rPr>
          <w:b/>
          <w:bCs/>
        </w:rPr>
        <w:t>Province of Alberta</w:t>
      </w:r>
      <w:r>
        <w:t xml:space="preserve"> in mid-late 2018, and 2) </w:t>
      </w:r>
      <w:r>
        <w:rPr>
          <w:b/>
          <w:bCs/>
        </w:rPr>
        <w:t>Province of BC</w:t>
      </w:r>
      <w:r>
        <w:t xml:space="preserve"> in late 2019/early 2020, Based on these experiences, a formalized methodology document is now being developed.</w:t>
      </w:r>
      <w:r w:rsidR="004C29B7">
        <w:t xml:space="preserve"> Further iterations will result from other assessments.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t>DIACC TFEC PCTF has not yet integrated Verified Person and Verified Organization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In the </w:t>
      </w:r>
      <w:r>
        <w:rPr>
          <w:b/>
          <w:bCs/>
        </w:rPr>
        <w:t>DIACC TFEC PCTF</w:t>
      </w:r>
      <w:r>
        <w:t>, Verified Person and Verified Organization remain separate discrete components</w:t>
      </w:r>
      <w:r w:rsidR="00792752">
        <w:t xml:space="preserve"> (and separate documents)</w:t>
      </w:r>
      <w:r>
        <w:t>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With the release of the </w:t>
      </w:r>
      <w:r w:rsidRPr="00792752">
        <w:rPr>
          <w:b/>
        </w:rPr>
        <w:t>IMSC PSP PCTF</w:t>
      </w:r>
      <w:r>
        <w:t xml:space="preserve"> in July 2019, a key thematic issue was identified: that </w:t>
      </w:r>
      <w:r>
        <w:rPr>
          <w:b/>
          <w:bCs/>
        </w:rPr>
        <w:t>verified persons</w:t>
      </w:r>
      <w:r>
        <w:t xml:space="preserve">, </w:t>
      </w:r>
      <w:r>
        <w:rPr>
          <w:b/>
          <w:bCs/>
        </w:rPr>
        <w:t xml:space="preserve">verified </w:t>
      </w:r>
      <w:r w:rsidRPr="004C29B7">
        <w:rPr>
          <w:b/>
          <w:bCs/>
        </w:rPr>
        <w:t>organiz</w:t>
      </w:r>
      <w:r w:rsidRPr="004C29B7">
        <w:rPr>
          <w:b/>
        </w:rPr>
        <w:t>ations</w:t>
      </w:r>
      <w:r>
        <w:t xml:space="preserve"> and </w:t>
      </w:r>
      <w:r>
        <w:rPr>
          <w:b/>
          <w:bCs/>
        </w:rPr>
        <w:t>verified relationship</w:t>
      </w:r>
      <w:r>
        <w:t xml:space="preserve"> can be generalized into digital </w:t>
      </w:r>
      <w:r w:rsidR="004C29B7">
        <w:t>representations</w:t>
      </w:r>
      <w:r>
        <w:t xml:space="preserve">. Significant effort was invested to ensure inclusive discussion and definition of terms related to </w:t>
      </w:r>
      <w:r>
        <w:rPr>
          <w:b/>
          <w:bCs/>
        </w:rPr>
        <w:t>verified organization</w:t>
      </w:r>
      <w:r>
        <w:t xml:space="preserve"> (work continues on </w:t>
      </w:r>
      <w:r>
        <w:rPr>
          <w:b/>
          <w:bCs/>
        </w:rPr>
        <w:t>verified relationship</w:t>
      </w:r>
      <w:r>
        <w:t>)</w:t>
      </w:r>
      <w:r w:rsidR="004C29B7">
        <w:t>.</w:t>
      </w:r>
      <w:r>
        <w:t xml:space="preserve"> 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t>IMSC PSP PCTF is being aligned with emerging global frameworks</w:t>
      </w:r>
      <w:r w:rsidR="004C29B7">
        <w:rPr>
          <w:b/>
          <w:bCs/>
        </w:rPr>
        <w:t>.</w:t>
      </w:r>
      <w:r>
        <w:rPr>
          <w:b/>
          <w:bCs/>
        </w:rPr>
        <w:t xml:space="preserve"> DIACC TFEC PCTF is not yet at this stage.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While the Pan-Canadian context is the primary target for implementation, the </w:t>
      </w:r>
      <w:r>
        <w:rPr>
          <w:b/>
          <w:bCs/>
        </w:rPr>
        <w:t>IMSC PSP PCTF</w:t>
      </w:r>
      <w:r>
        <w:t xml:space="preserve"> is being aligned to established and emerging frameworks</w:t>
      </w:r>
      <w:r w:rsidR="004C29B7">
        <w:t>,</w:t>
      </w:r>
      <w:r>
        <w:t xml:space="preserve"> in particular </w:t>
      </w:r>
      <w:proofErr w:type="spellStart"/>
      <w:r>
        <w:rPr>
          <w:b/>
          <w:bCs/>
        </w:rPr>
        <w:t>eIDAS</w:t>
      </w:r>
      <w:proofErr w:type="spellEnd"/>
      <w:r>
        <w:t xml:space="preserve">, the </w:t>
      </w:r>
      <w:r>
        <w:rPr>
          <w:b/>
          <w:bCs/>
        </w:rPr>
        <w:t>Digital Identity Guidance</w:t>
      </w:r>
      <w:r>
        <w:t xml:space="preserve"> developed by the </w:t>
      </w:r>
      <w:r>
        <w:rPr>
          <w:b/>
          <w:bCs/>
        </w:rPr>
        <w:t>Financial Action Task Force</w:t>
      </w:r>
      <w:r>
        <w:t xml:space="preserve"> (FATF), the </w:t>
      </w:r>
      <w:r>
        <w:rPr>
          <w:b/>
          <w:bCs/>
        </w:rPr>
        <w:t>World Bank ID4D</w:t>
      </w:r>
      <w:r>
        <w:t xml:space="preserve">, and </w:t>
      </w:r>
      <w:r>
        <w:rPr>
          <w:b/>
          <w:bCs/>
        </w:rPr>
        <w:t>Digital Nations</w:t>
      </w:r>
      <w:r>
        <w:t xml:space="preserve">. 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To our knowledge, the </w:t>
      </w:r>
      <w:r>
        <w:rPr>
          <w:b/>
          <w:bCs/>
        </w:rPr>
        <w:t>DIACC PCTF TFEC</w:t>
      </w:r>
      <w:r>
        <w:t xml:space="preserve"> has not undertaken any alignment exercise (still at working group development – see point 2a)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lastRenderedPageBreak/>
        <w:t>Conformance Criteria decided at the working group (and then approved by a committee) needs considerable testing and validation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A major lesson learned during the </w:t>
      </w:r>
      <w:r>
        <w:rPr>
          <w:b/>
          <w:bCs/>
        </w:rPr>
        <w:t>IMSC PSP PCTF</w:t>
      </w:r>
      <w:r>
        <w:t xml:space="preserve"> application is that the conformance criteria need to be adjusted and tailored for the </w:t>
      </w:r>
      <w:r w:rsidR="004C29B7">
        <w:t xml:space="preserve">assessment </w:t>
      </w:r>
      <w:r>
        <w:t>context. For example, the notification and consent criteria were not applicable to the BC and AB assessment process, because these programs are operating under authorities that do not require consent.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Similarly, the </w:t>
      </w:r>
      <w:r>
        <w:rPr>
          <w:b/>
          <w:bCs/>
        </w:rPr>
        <w:t>DIACC TFEC PCTF</w:t>
      </w:r>
      <w:r>
        <w:t xml:space="preserve"> working group developed </w:t>
      </w:r>
      <w:r>
        <w:rPr>
          <w:b/>
          <w:bCs/>
        </w:rPr>
        <w:t>TFEC Privacy Conformance Criteria</w:t>
      </w:r>
      <w:r>
        <w:t xml:space="preserve">. Similar to the above point, these were not incorporated in the </w:t>
      </w:r>
      <w:r>
        <w:rPr>
          <w:b/>
          <w:bCs/>
        </w:rPr>
        <w:t>IMSC PSP PCTF</w:t>
      </w:r>
      <w:r>
        <w:t xml:space="preserve"> because privacy requirements are addressed by the </w:t>
      </w:r>
      <w:r w:rsidRPr="004C29B7">
        <w:rPr>
          <w:b/>
        </w:rPr>
        <w:t>Privacy Impact Assessment Process</w:t>
      </w:r>
      <w:r>
        <w:t>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At present, further work needs to be carried out to validate and refine the conformance criteria (including alignment to other frameworks), but this has to be done in a fair </w:t>
      </w:r>
      <w:r w:rsidR="004C29B7">
        <w:t xml:space="preserve">and </w:t>
      </w:r>
      <w:r>
        <w:t>transparent way that ensures that it is done in the public interest first.</w:t>
      </w:r>
    </w:p>
    <w:p w:rsidR="00037C71" w:rsidRDefault="00037C71" w:rsidP="00037C71">
      <w:pPr>
        <w:pStyle w:val="ListParagraph"/>
        <w:numPr>
          <w:ilvl w:val="0"/>
          <w:numId w:val="3"/>
        </w:numPr>
        <w:spacing w:after="240"/>
        <w:rPr>
          <w:b/>
          <w:bCs/>
        </w:rPr>
      </w:pPr>
      <w:r>
        <w:rPr>
          <w:b/>
          <w:bCs/>
        </w:rPr>
        <w:t>The trust world is evolving - the IMSC PSP</w:t>
      </w:r>
      <w:r w:rsidR="00F4141D">
        <w:rPr>
          <w:b/>
          <w:bCs/>
        </w:rPr>
        <w:t>-</w:t>
      </w:r>
      <w:r>
        <w:rPr>
          <w:b/>
          <w:bCs/>
        </w:rPr>
        <w:t>PCTF is at the forefront.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By applying the </w:t>
      </w:r>
      <w:r>
        <w:rPr>
          <w:b/>
          <w:bCs/>
        </w:rPr>
        <w:t>IMSC PSP</w:t>
      </w:r>
      <w:r w:rsidR="00F4141D">
        <w:rPr>
          <w:b/>
          <w:bCs/>
        </w:rPr>
        <w:t>-</w:t>
      </w:r>
      <w:r>
        <w:rPr>
          <w:b/>
          <w:bCs/>
        </w:rPr>
        <w:t>PCTF</w:t>
      </w:r>
      <w:r>
        <w:t xml:space="preserve"> and having weekly working group meetings where participants can reflect and share on what they are doing/learning, has put </w:t>
      </w:r>
      <w:r w:rsidR="004C29B7">
        <w:t xml:space="preserve">the </w:t>
      </w:r>
      <w:r>
        <w:t>Canadian Public Sector into a</w:t>
      </w:r>
      <w:r w:rsidR="004C29B7">
        <w:t>n unexpected</w:t>
      </w:r>
      <w:r>
        <w:t xml:space="preserve"> global leadership position. 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Due to the weekly calls, and application of the </w:t>
      </w:r>
      <w:r w:rsidRPr="00253294">
        <w:rPr>
          <w:b/>
        </w:rPr>
        <w:t>IMSC PSP</w:t>
      </w:r>
      <w:r w:rsidR="00F4141D">
        <w:rPr>
          <w:b/>
        </w:rPr>
        <w:t>-</w:t>
      </w:r>
      <w:r w:rsidRPr="00253294">
        <w:rPr>
          <w:b/>
        </w:rPr>
        <w:t>PCTF</w:t>
      </w:r>
      <w:r>
        <w:t>, significant learnings have been incorporated into the IMSC PSP PCTF or capture</w:t>
      </w:r>
      <w:r w:rsidR="004C29B7">
        <w:t>d</w:t>
      </w:r>
      <w:r>
        <w:t xml:space="preserve"> as thematic issues to be address</w:t>
      </w:r>
      <w:r w:rsidR="004C29B7">
        <w:t>ed</w:t>
      </w:r>
      <w:r>
        <w:t>, for example:</w:t>
      </w:r>
    </w:p>
    <w:p w:rsidR="00037C71" w:rsidRDefault="00037C71" w:rsidP="00037C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Defining the PCTF: </w:t>
      </w:r>
      <w:r>
        <w:t>Is it a standard, or is it a tool to apply standards?</w:t>
      </w:r>
    </w:p>
    <w:p w:rsidR="00037C71" w:rsidRDefault="00037C71" w:rsidP="00037C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Digital Relationships</w:t>
      </w:r>
      <w:r>
        <w:t xml:space="preserve">: Recognizing that this area needs </w:t>
      </w:r>
      <w:r w:rsidR="004C29B7">
        <w:t xml:space="preserve">further </w:t>
      </w:r>
      <w:r>
        <w:t>focused effort</w:t>
      </w:r>
      <w:r w:rsidR="004C29B7">
        <w:t>.</w:t>
      </w:r>
    </w:p>
    <w:p w:rsidR="00037C71" w:rsidRDefault="00037C71" w:rsidP="00037C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Evolving State of Credentials and Claims: </w:t>
      </w:r>
      <w:r w:rsidR="004C29B7">
        <w:t> R</w:t>
      </w:r>
      <w:r>
        <w:t>ecognizing the changing technology landscape.</w:t>
      </w:r>
    </w:p>
    <w:p w:rsidR="00037C71" w:rsidRDefault="00037C71" w:rsidP="00037C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Stakeholder, Roles and Actors: </w:t>
      </w:r>
      <w:r w:rsidR="004C29B7">
        <w:t> C</w:t>
      </w:r>
      <w:r>
        <w:t>larifying for the emerging ecosystem</w:t>
      </w:r>
      <w:r w:rsidR="004C29B7">
        <w:t>.</w:t>
      </w:r>
    </w:p>
    <w:p w:rsidR="00037C71" w:rsidRDefault="00037C71" w:rsidP="00037C71">
      <w:pPr>
        <w:pStyle w:val="ListParagraph"/>
        <w:numPr>
          <w:ilvl w:val="2"/>
          <w:numId w:val="3"/>
        </w:numPr>
        <w:spacing w:after="240"/>
        <w:rPr>
          <w:b/>
          <w:bCs/>
        </w:rPr>
      </w:pPr>
      <w:r>
        <w:rPr>
          <w:b/>
          <w:bCs/>
        </w:rPr>
        <w:t xml:space="preserve">Informed Consent: </w:t>
      </w:r>
      <w:r>
        <w:t> recognizing the change of narrative from consent to digi</w:t>
      </w:r>
      <w:r w:rsidR="004C392C">
        <w:t>tal rights.</w:t>
      </w:r>
    </w:p>
    <w:p w:rsidR="00037C71" w:rsidRDefault="00037C71" w:rsidP="00037C71">
      <w:pPr>
        <w:pStyle w:val="ListParagraph"/>
        <w:numPr>
          <w:ilvl w:val="1"/>
          <w:numId w:val="3"/>
        </w:numPr>
        <w:spacing w:after="240"/>
        <w:rPr>
          <w:b/>
          <w:bCs/>
        </w:rPr>
      </w:pPr>
      <w:r>
        <w:t xml:space="preserve">While, there is value in providing feedback to the </w:t>
      </w:r>
      <w:r w:rsidRPr="00253294">
        <w:rPr>
          <w:b/>
        </w:rPr>
        <w:t xml:space="preserve">DIACC TFEC </w:t>
      </w:r>
      <w:r w:rsidR="00F4141D" w:rsidRPr="00253294">
        <w:rPr>
          <w:b/>
        </w:rPr>
        <w:t xml:space="preserve">PCTF </w:t>
      </w:r>
      <w:r w:rsidRPr="00253294">
        <w:rPr>
          <w:b/>
        </w:rPr>
        <w:t>Verified Person</w:t>
      </w:r>
      <w:r>
        <w:t>, much of this value has already been generated by the IMSC PCTF Working Group</w:t>
      </w:r>
      <w:r w:rsidR="00253294">
        <w:t xml:space="preserve">. Additional value can be easily </w:t>
      </w:r>
      <w:r>
        <w:t xml:space="preserve">incorporated into </w:t>
      </w:r>
      <w:r w:rsidR="00253294">
        <w:t>the IMSC PSP PCTF (see cross-reference section)</w:t>
      </w:r>
    </w:p>
    <w:p w:rsidR="00037C71" w:rsidRDefault="00037C71" w:rsidP="00037C7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</w:t>
      </w:r>
      <w:r w:rsidRPr="00253294">
        <w:rPr>
          <w:b/>
        </w:rPr>
        <w:t>IMSC PSP</w:t>
      </w:r>
      <w:r w:rsidR="00F4141D">
        <w:rPr>
          <w:b/>
        </w:rPr>
        <w:t>-</w:t>
      </w:r>
      <w:bookmarkStart w:id="0" w:name="_GoBack"/>
      <w:bookmarkEnd w:id="0"/>
      <w:r w:rsidRPr="00253294">
        <w:rPr>
          <w:b/>
        </w:rPr>
        <w:t>PCTF</w:t>
      </w:r>
      <w:r>
        <w:t xml:space="preserve"> has been developed in the open (hosted on GitHub) </w:t>
      </w:r>
      <w:r w:rsidR="00253294" w:rsidRPr="004C392C">
        <w:rPr>
          <w:b/>
        </w:rPr>
        <w:t>IMSC PSP</w:t>
      </w:r>
      <w:r w:rsidR="00F4141D">
        <w:rPr>
          <w:b/>
        </w:rPr>
        <w:t>-</w:t>
      </w:r>
      <w:r w:rsidR="00253294" w:rsidRPr="004C392C">
        <w:rPr>
          <w:b/>
        </w:rPr>
        <w:t>PCTF</w:t>
      </w:r>
      <w:r w:rsidR="00253294">
        <w:t xml:space="preserve"> will be posted as Version 1.1. </w:t>
      </w:r>
      <w:r>
        <w:t xml:space="preserve"> DIACC </w:t>
      </w:r>
      <w:r w:rsidR="00253294">
        <w:t>may wish to</w:t>
      </w:r>
      <w:r>
        <w:t xml:space="preserve"> consult and incorporate what the public sector has developed.</w:t>
      </w:r>
    </w:p>
    <w:p w:rsidR="00037C71" w:rsidRDefault="00037C71" w:rsidP="00037C71"/>
    <w:p w:rsidR="00037C71" w:rsidRDefault="00037C71" w:rsidP="008A2F70"/>
    <w:p w:rsidR="00B1511E" w:rsidRPr="008A2F70" w:rsidRDefault="00B1511E" w:rsidP="00B1511E">
      <w:pPr>
        <w:jc w:val="center"/>
      </w:pPr>
      <w:r>
        <w:t>End of Document</w:t>
      </w:r>
    </w:p>
    <w:sectPr w:rsidR="00B1511E" w:rsidRPr="008A2F70" w:rsidSect="008A2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F70" w:rsidRDefault="008A2F70" w:rsidP="008A2F70">
      <w:pPr>
        <w:spacing w:after="0" w:line="240" w:lineRule="auto"/>
      </w:pPr>
      <w:r>
        <w:separator/>
      </w:r>
    </w:p>
  </w:endnote>
  <w:endnote w:type="continuationSeparator" w:id="0">
    <w:p w:rsidR="008A2F70" w:rsidRDefault="008A2F70" w:rsidP="008A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1" w:rsidRDefault="00223B91">
    <w:pPr>
      <w:pStyle w:val="Footer"/>
    </w:pPr>
    <w:r>
      <w:t>Page 2</w:t>
    </w:r>
  </w:p>
  <w:p w:rsidR="00223B91" w:rsidRDefault="00223B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1" w:rsidRDefault="00223B91">
    <w:pPr>
      <w:pStyle w:val="Footer"/>
    </w:pPr>
    <w:r>
      <w:t>Page 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1" w:rsidRDefault="00223B91">
    <w:pPr>
      <w:pStyle w:val="Footer"/>
    </w:pPr>
    <w:r>
      <w:t>Page 1</w:t>
    </w:r>
  </w:p>
  <w:p w:rsidR="00223B91" w:rsidRDefault="00223B91">
    <w:pPr>
      <w:pStyle w:val="Footer"/>
    </w:pPr>
  </w:p>
  <w:p w:rsidR="00223B91" w:rsidRDefault="00223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F70" w:rsidRDefault="008A2F70" w:rsidP="008A2F70">
      <w:pPr>
        <w:spacing w:after="0" w:line="240" w:lineRule="auto"/>
      </w:pPr>
      <w:r>
        <w:separator/>
      </w:r>
    </w:p>
  </w:footnote>
  <w:footnote w:type="continuationSeparator" w:id="0">
    <w:p w:rsidR="008A2F70" w:rsidRDefault="008A2F70" w:rsidP="008A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F70" w:rsidRDefault="00582421" w:rsidP="00582421">
    <w:pPr>
      <w:pStyle w:val="Header"/>
      <w:jc w:val="center"/>
    </w:pPr>
    <w:bookmarkStart w:id="1" w:name="TITUS1HeaderEvenPages"/>
    <w:r>
      <w:t>FOR DISCUSSION PURPSOSES ONLY</w:t>
    </w:r>
  </w:p>
  <w:bookmarkEnd w:id="1"/>
  <w:p w:rsidR="008A2F70" w:rsidRDefault="008A2F70" w:rsidP="008A2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F70" w:rsidRDefault="00582421" w:rsidP="00582421">
    <w:pPr>
      <w:pStyle w:val="Header"/>
      <w:jc w:val="center"/>
    </w:pPr>
    <w:bookmarkStart w:id="2" w:name="TITUS1HeaderPrimary"/>
    <w:r>
      <w:t>FOR DISCUSSION PURPOSES ONLY</w:t>
    </w:r>
  </w:p>
  <w:bookmarkEnd w:id="2"/>
  <w:p w:rsidR="008A2F70" w:rsidRDefault="008A2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F70" w:rsidRDefault="00582421" w:rsidP="00582421">
    <w:pPr>
      <w:pStyle w:val="Header"/>
      <w:jc w:val="center"/>
    </w:pPr>
    <w:bookmarkStart w:id="3" w:name="TITUS1HeaderFirstPage"/>
    <w:r>
      <w:t>FOR DISCUSSION PURPOSES ONLY</w:t>
    </w:r>
  </w:p>
  <w:bookmarkEnd w:id="3"/>
  <w:p w:rsidR="008A2F70" w:rsidRDefault="008A2F70" w:rsidP="008A2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0B07"/>
    <w:multiLevelType w:val="hybridMultilevel"/>
    <w:tmpl w:val="EE8896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617"/>
    <w:multiLevelType w:val="hybridMultilevel"/>
    <w:tmpl w:val="5BA66452"/>
    <w:lvl w:ilvl="0" w:tplc="1CBA809C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44958"/>
    <w:multiLevelType w:val="hybridMultilevel"/>
    <w:tmpl w:val="FC340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B3D09"/>
    <w:multiLevelType w:val="hybridMultilevel"/>
    <w:tmpl w:val="690EA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C7FAF"/>
    <w:multiLevelType w:val="hybridMultilevel"/>
    <w:tmpl w:val="42227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70"/>
    <w:rsid w:val="00037C71"/>
    <w:rsid w:val="000F118D"/>
    <w:rsid w:val="001D1673"/>
    <w:rsid w:val="00223B91"/>
    <w:rsid w:val="002445A0"/>
    <w:rsid w:val="00253294"/>
    <w:rsid w:val="004C29B7"/>
    <w:rsid w:val="004C392C"/>
    <w:rsid w:val="00582421"/>
    <w:rsid w:val="005A3C54"/>
    <w:rsid w:val="00695207"/>
    <w:rsid w:val="00734115"/>
    <w:rsid w:val="00792752"/>
    <w:rsid w:val="008A2F70"/>
    <w:rsid w:val="00A90289"/>
    <w:rsid w:val="00B1511E"/>
    <w:rsid w:val="00BF4D42"/>
    <w:rsid w:val="00D732A3"/>
    <w:rsid w:val="00D948BB"/>
    <w:rsid w:val="00E1012C"/>
    <w:rsid w:val="00EA65F0"/>
    <w:rsid w:val="00F4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1FE6D43-16E3-480F-AF78-F731528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F70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A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0"/>
  </w:style>
  <w:style w:type="paragraph" w:styleId="Footer">
    <w:name w:val="footer"/>
    <w:basedOn w:val="Normal"/>
    <w:link w:val="FooterChar"/>
    <w:uiPriority w:val="99"/>
    <w:unhideWhenUsed/>
    <w:rsid w:val="008A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0"/>
  </w:style>
  <w:style w:type="character" w:customStyle="1" w:styleId="Heading2Char">
    <w:name w:val="Heading 2 Char"/>
    <w:basedOn w:val="DefaultParagraphFont"/>
    <w:link w:val="Heading2"/>
    <w:uiPriority w:val="9"/>
    <w:rsid w:val="00037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1058</Words>
  <Characters>5645</Characters>
  <Application>Microsoft Office Word</Application>
  <DocSecurity>0</DocSecurity>
  <Lines>115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Bouma, Tim</dc:creator>
  <cp:keywords/>
  <dc:description/>
  <cp:lastModifiedBy>Bouma, Tim</cp:lastModifiedBy>
  <cp:revision>11</cp:revision>
  <dcterms:created xsi:type="dcterms:W3CDTF">2020-01-30T14:34:00Z</dcterms:created>
  <dcterms:modified xsi:type="dcterms:W3CDTF">2020-01-30T15:25:00Z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d275ffe7-0733-40d6-aefd-5278d380bb0b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