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BF708" w14:textId="7A289C70" w:rsidR="008C1A37" w:rsidRDefault="00B21D64" w:rsidP="00B21D64">
      <w:pPr>
        <w:pStyle w:val="Heading1"/>
      </w:pPr>
      <w:r>
        <w:t>Pan-Canadian Trust Framework</w:t>
      </w:r>
      <w:r w:rsidR="006A1F14">
        <w:t xml:space="preserve"> </w:t>
      </w:r>
      <w:r w:rsidR="0039641B">
        <w:t>Public Sector Profile</w:t>
      </w:r>
    </w:p>
    <w:p w14:paraId="4CF4D353" w14:textId="77777777" w:rsidR="002F68B6" w:rsidRDefault="002F68B6" w:rsidP="002F68B6"/>
    <w:p w14:paraId="0B567481" w14:textId="616C5E5A" w:rsidR="002D59B7" w:rsidRPr="003C4417" w:rsidRDefault="002D59B7" w:rsidP="002D59B7">
      <w:pPr>
        <w:pStyle w:val="ListParagraph"/>
        <w:numPr>
          <w:ilvl w:val="0"/>
          <w:numId w:val="12"/>
        </w:numPr>
        <w:rPr>
          <w:b/>
        </w:rPr>
      </w:pPr>
      <w:r>
        <w:rPr>
          <w:b/>
        </w:rPr>
        <w:t>What is the Pan-Canadian Trust Framework?</w:t>
      </w:r>
    </w:p>
    <w:p w14:paraId="0EC02DEA" w14:textId="77777777" w:rsidR="002D59B7" w:rsidRDefault="002D59B7" w:rsidP="002D59B7"/>
    <w:p w14:paraId="30F640FE" w14:textId="3CCAE3C5" w:rsidR="0026779F" w:rsidRDefault="0026779F" w:rsidP="00C86C43">
      <w:pPr>
        <w:rPr>
          <w:color w:val="000000" w:themeColor="text1"/>
        </w:rPr>
      </w:pPr>
      <w:r w:rsidRPr="00F104E5">
        <w:rPr>
          <w:color w:val="000000" w:themeColor="text1"/>
        </w:rPr>
        <w:t xml:space="preserve">The </w:t>
      </w:r>
      <w:r w:rsidRPr="0026779F">
        <w:rPr>
          <w:b/>
          <w:color w:val="000000" w:themeColor="text1"/>
        </w:rPr>
        <w:t>Pan-Canadian Trust Framework (PCTF)</w:t>
      </w:r>
      <w:r>
        <w:rPr>
          <w:color w:val="000000" w:themeColor="text1"/>
        </w:rPr>
        <w:t xml:space="preserve"> </w:t>
      </w:r>
      <w:r w:rsidR="00EC1E6A">
        <w:rPr>
          <w:color w:val="000000" w:themeColor="text1"/>
        </w:rPr>
        <w:t xml:space="preserve">is agreed-on model of processes, conformance criteria and assessment approach that are used to ensure alignment, interoperability, and confidence of digital identity solutions that are intended to work across organizational and jurisdictional boundaries. The PCTF is an outcome of the Pan-Canadian approach for federating identities, an agreement on principles and standards that will facilitate </w:t>
      </w:r>
      <w:r w:rsidRPr="00F104E5">
        <w:rPr>
          <w:color w:val="000000" w:themeColor="text1"/>
        </w:rPr>
        <w:t xml:space="preserve">the transition to a </w:t>
      </w:r>
      <w:r>
        <w:rPr>
          <w:color w:val="000000" w:themeColor="text1"/>
        </w:rPr>
        <w:t xml:space="preserve">trusted </w:t>
      </w:r>
      <w:r w:rsidRPr="00F104E5">
        <w:rPr>
          <w:color w:val="000000" w:themeColor="text1"/>
        </w:rPr>
        <w:t>digital identity ecosystem</w:t>
      </w:r>
      <w:r>
        <w:rPr>
          <w:color w:val="000000" w:themeColor="text1"/>
        </w:rPr>
        <w:t xml:space="preserve"> </w:t>
      </w:r>
      <w:r w:rsidR="00EC1E6A">
        <w:rPr>
          <w:color w:val="000000" w:themeColor="text1"/>
        </w:rPr>
        <w:t>and</w:t>
      </w:r>
      <w:r>
        <w:rPr>
          <w:color w:val="000000" w:themeColor="text1"/>
        </w:rPr>
        <w:t xml:space="preserve"> enable </w:t>
      </w:r>
      <w:r w:rsidRPr="00F104E5">
        <w:rPr>
          <w:color w:val="000000" w:themeColor="text1"/>
        </w:rPr>
        <w:t xml:space="preserve">transformative </w:t>
      </w:r>
      <w:r>
        <w:rPr>
          <w:color w:val="000000" w:themeColor="text1"/>
        </w:rPr>
        <w:t xml:space="preserve">digital service delivery </w:t>
      </w:r>
      <w:r w:rsidRPr="00F104E5">
        <w:rPr>
          <w:color w:val="000000" w:themeColor="text1"/>
        </w:rPr>
        <w:t>solution</w:t>
      </w:r>
      <w:r>
        <w:rPr>
          <w:color w:val="000000" w:themeColor="text1"/>
        </w:rPr>
        <w:t>s to</w:t>
      </w:r>
      <w:r w:rsidRPr="00F104E5">
        <w:rPr>
          <w:color w:val="000000" w:themeColor="text1"/>
        </w:rPr>
        <w:t xml:space="preserve"> Canadians.</w:t>
      </w:r>
      <w:r w:rsidR="009670D9">
        <w:rPr>
          <w:color w:val="000000" w:themeColor="text1"/>
        </w:rPr>
        <w:br/>
      </w:r>
    </w:p>
    <w:p w14:paraId="7A02141F" w14:textId="2721D293" w:rsidR="009670D9" w:rsidRPr="003C4417" w:rsidRDefault="009670D9" w:rsidP="009670D9">
      <w:pPr>
        <w:pStyle w:val="ListParagraph"/>
        <w:numPr>
          <w:ilvl w:val="0"/>
          <w:numId w:val="12"/>
        </w:numPr>
        <w:rPr>
          <w:b/>
        </w:rPr>
      </w:pPr>
      <w:r>
        <w:rPr>
          <w:b/>
        </w:rPr>
        <w:t xml:space="preserve">What is the </w:t>
      </w:r>
      <w:r>
        <w:rPr>
          <w:b/>
        </w:rPr>
        <w:t xml:space="preserve">IMSC Public Sector Profile of the </w:t>
      </w:r>
      <w:r>
        <w:rPr>
          <w:b/>
        </w:rPr>
        <w:t>Pan-Canadian Trust Framework?</w:t>
      </w:r>
    </w:p>
    <w:p w14:paraId="0192DBAC" w14:textId="77777777" w:rsidR="009670D9" w:rsidRDefault="009670D9" w:rsidP="00C86C43">
      <w:pPr>
        <w:rPr>
          <w:color w:val="000000" w:themeColor="text1"/>
        </w:rPr>
      </w:pPr>
    </w:p>
    <w:p w14:paraId="7FC0693B" w14:textId="77777777" w:rsidR="009670D9" w:rsidRDefault="001564BD" w:rsidP="00C86C43">
      <w:pPr>
        <w:rPr>
          <w:color w:val="000000" w:themeColor="text1"/>
        </w:rPr>
      </w:pPr>
      <w:r>
        <w:rPr>
          <w:color w:val="000000" w:themeColor="text1"/>
        </w:rPr>
        <w:t>The</w:t>
      </w:r>
      <w:r w:rsidR="0026779F">
        <w:rPr>
          <w:color w:val="000000" w:themeColor="text1"/>
        </w:rPr>
        <w:t xml:space="preserve"> </w:t>
      </w:r>
      <w:r w:rsidR="0026779F" w:rsidRPr="0026779F">
        <w:rPr>
          <w:b/>
          <w:color w:val="000000" w:themeColor="text1"/>
        </w:rPr>
        <w:t>IMSC</w:t>
      </w:r>
      <w:r>
        <w:rPr>
          <w:color w:val="000000" w:themeColor="text1"/>
        </w:rPr>
        <w:t xml:space="preserve"> </w:t>
      </w:r>
      <w:r w:rsidR="0026779F" w:rsidRPr="0026779F">
        <w:rPr>
          <w:b/>
          <w:color w:val="000000" w:themeColor="text1"/>
        </w:rPr>
        <w:t xml:space="preserve">Public Sector Profile </w:t>
      </w:r>
      <w:r w:rsidR="0026779F">
        <w:rPr>
          <w:b/>
          <w:color w:val="000000" w:themeColor="text1"/>
        </w:rPr>
        <w:t xml:space="preserve">of </w:t>
      </w:r>
      <w:r w:rsidRPr="00373439">
        <w:rPr>
          <w:b/>
          <w:color w:val="000000" w:themeColor="text1"/>
        </w:rPr>
        <w:t>Pan-Canadian Trust Framework (</w:t>
      </w:r>
      <w:r w:rsidR="0026779F">
        <w:rPr>
          <w:b/>
          <w:color w:val="000000" w:themeColor="text1"/>
        </w:rPr>
        <w:t>IMSC PSP-</w:t>
      </w:r>
      <w:r w:rsidRPr="00373439">
        <w:rPr>
          <w:b/>
          <w:color w:val="000000" w:themeColor="text1"/>
        </w:rPr>
        <w:t>PCTF)</w:t>
      </w:r>
      <w:r>
        <w:rPr>
          <w:color w:val="000000" w:themeColor="text1"/>
        </w:rPr>
        <w:t xml:space="preserve"> </w:t>
      </w:r>
      <w:r w:rsidR="009670D9">
        <w:rPr>
          <w:color w:val="000000" w:themeColor="text1"/>
        </w:rPr>
        <w:t xml:space="preserve">developed by the public sector </w:t>
      </w:r>
      <w:r w:rsidR="00887876">
        <w:rPr>
          <w:color w:val="000000" w:themeColor="text1"/>
        </w:rPr>
        <w:t>supports the acceptance and mutual recognition of</w:t>
      </w:r>
      <w:r w:rsidR="0039641B">
        <w:rPr>
          <w:color w:val="000000" w:themeColor="text1"/>
        </w:rPr>
        <w:t>:</w:t>
      </w:r>
      <w:r w:rsidR="00887876">
        <w:rPr>
          <w:color w:val="000000" w:themeColor="text1"/>
        </w:rPr>
        <w:t xml:space="preserve"> 1) </w:t>
      </w:r>
      <w:r w:rsidR="00887876" w:rsidRPr="0039641B">
        <w:rPr>
          <w:b/>
          <w:color w:val="000000" w:themeColor="text1"/>
        </w:rPr>
        <w:t>digital identities</w:t>
      </w:r>
      <w:r w:rsidR="00887876">
        <w:rPr>
          <w:color w:val="000000" w:themeColor="text1"/>
        </w:rPr>
        <w:t xml:space="preserve"> of persons and organizations, and 2) </w:t>
      </w:r>
      <w:r w:rsidR="00887876" w:rsidRPr="0039641B">
        <w:rPr>
          <w:b/>
          <w:color w:val="000000" w:themeColor="text1"/>
        </w:rPr>
        <w:t>digital relationships</w:t>
      </w:r>
      <w:r w:rsidR="00887876">
        <w:rPr>
          <w:color w:val="000000" w:themeColor="text1"/>
        </w:rPr>
        <w:t xml:space="preserve"> </w:t>
      </w:r>
      <w:r w:rsidR="0039641B">
        <w:rPr>
          <w:color w:val="000000" w:themeColor="text1"/>
        </w:rPr>
        <w:t>between persons, between organizations, and between persons and organizations.</w:t>
      </w:r>
      <w:r w:rsidR="00373439">
        <w:rPr>
          <w:color w:val="000000" w:themeColor="text1"/>
        </w:rPr>
        <w:t xml:space="preserve"> </w:t>
      </w:r>
    </w:p>
    <w:p w14:paraId="63E8FBB3" w14:textId="77777777" w:rsidR="009670D9" w:rsidRDefault="009670D9" w:rsidP="00C86C43">
      <w:pPr>
        <w:rPr>
          <w:color w:val="000000" w:themeColor="text1"/>
        </w:rPr>
      </w:pPr>
    </w:p>
    <w:p w14:paraId="7C0CEED2" w14:textId="622B32BC" w:rsidR="009670D9" w:rsidRDefault="00373439" w:rsidP="00C86C43">
      <w:pPr>
        <w:rPr>
          <w:color w:val="000000" w:themeColor="text1"/>
        </w:rPr>
      </w:pPr>
      <w:r>
        <w:rPr>
          <w:color w:val="000000" w:themeColor="text1"/>
        </w:rPr>
        <w:t>T</w:t>
      </w:r>
      <w:r w:rsidR="0039641B">
        <w:rPr>
          <w:color w:val="000000" w:themeColor="text1"/>
        </w:rPr>
        <w:t xml:space="preserve">he </w:t>
      </w:r>
      <w:r w:rsidR="0026779F" w:rsidRPr="005B2793">
        <w:rPr>
          <w:b/>
          <w:color w:val="000000" w:themeColor="text1"/>
        </w:rPr>
        <w:t xml:space="preserve">IMSC </w:t>
      </w:r>
      <w:r w:rsidR="0039641B" w:rsidRPr="005B2793">
        <w:rPr>
          <w:b/>
          <w:color w:val="000000" w:themeColor="text1"/>
        </w:rPr>
        <w:t>PCTF-PSP</w:t>
      </w:r>
      <w:r w:rsidR="009670D9">
        <w:rPr>
          <w:color w:val="000000" w:themeColor="text1"/>
        </w:rPr>
        <w:t>:</w:t>
      </w:r>
      <w:r w:rsidR="0039641B">
        <w:rPr>
          <w:color w:val="000000" w:themeColor="text1"/>
        </w:rPr>
        <w:t xml:space="preserve"> </w:t>
      </w:r>
    </w:p>
    <w:p w14:paraId="65D59DA1" w14:textId="675C2418" w:rsidR="009670D9" w:rsidRPr="009670D9" w:rsidRDefault="009670D9" w:rsidP="00B32081">
      <w:pPr>
        <w:numPr>
          <w:ilvl w:val="0"/>
          <w:numId w:val="21"/>
        </w:numPr>
        <w:rPr>
          <w:color w:val="000000" w:themeColor="text1"/>
        </w:rPr>
      </w:pPr>
      <w:r w:rsidRPr="005B2793">
        <w:rPr>
          <w:b/>
          <w:color w:val="000000" w:themeColor="text1"/>
        </w:rPr>
        <w:t>D</w:t>
      </w:r>
      <w:r w:rsidR="0039641B" w:rsidRPr="005B2793">
        <w:rPr>
          <w:b/>
          <w:color w:val="000000" w:themeColor="text1"/>
        </w:rPr>
        <w:t>efines</w:t>
      </w:r>
      <w:r w:rsidR="0039641B" w:rsidRPr="009670D9">
        <w:rPr>
          <w:color w:val="000000" w:themeColor="text1"/>
        </w:rPr>
        <w:t xml:space="preserve"> discrete patterns or </w:t>
      </w:r>
      <w:r w:rsidR="0039641B" w:rsidRPr="009670D9">
        <w:rPr>
          <w:b/>
          <w:color w:val="000000" w:themeColor="text1"/>
        </w:rPr>
        <w:t>atomic business processes</w:t>
      </w:r>
      <w:r w:rsidR="0039641B" w:rsidRPr="009670D9">
        <w:rPr>
          <w:color w:val="000000" w:themeColor="text1"/>
        </w:rPr>
        <w:t xml:space="preserve"> that can be mapped to </w:t>
      </w:r>
      <w:r w:rsidR="00887876" w:rsidRPr="009670D9">
        <w:rPr>
          <w:color w:val="000000" w:themeColor="text1"/>
        </w:rPr>
        <w:t>business processes</w:t>
      </w:r>
      <w:r w:rsidR="0039641B" w:rsidRPr="009670D9">
        <w:rPr>
          <w:color w:val="000000" w:themeColor="text1"/>
        </w:rPr>
        <w:t xml:space="preserve"> </w:t>
      </w:r>
      <w:r w:rsidR="00373439" w:rsidRPr="009670D9">
        <w:rPr>
          <w:color w:val="000000" w:themeColor="text1"/>
        </w:rPr>
        <w:t>to</w:t>
      </w:r>
      <w:r w:rsidR="00B017AA" w:rsidRPr="009670D9">
        <w:rPr>
          <w:color w:val="000000" w:themeColor="text1"/>
        </w:rPr>
        <w:t xml:space="preserve"> enabl</w:t>
      </w:r>
      <w:r w:rsidR="00373439" w:rsidRPr="009670D9">
        <w:rPr>
          <w:color w:val="000000" w:themeColor="text1"/>
        </w:rPr>
        <w:t>e</w:t>
      </w:r>
      <w:r w:rsidR="0039641B" w:rsidRPr="009670D9">
        <w:rPr>
          <w:color w:val="000000" w:themeColor="text1"/>
        </w:rPr>
        <w:t xml:space="preserve"> a structured assessment and evaluation </w:t>
      </w:r>
      <w:r w:rsidR="00373439" w:rsidRPr="009670D9">
        <w:rPr>
          <w:color w:val="000000" w:themeColor="text1"/>
        </w:rPr>
        <w:t xml:space="preserve">of a digital identity </w:t>
      </w:r>
      <w:r w:rsidR="00B017AA" w:rsidRPr="009670D9">
        <w:rPr>
          <w:color w:val="000000" w:themeColor="text1"/>
        </w:rPr>
        <w:t xml:space="preserve">and to identify any </w:t>
      </w:r>
      <w:r w:rsidR="0039641B" w:rsidRPr="009670D9">
        <w:rPr>
          <w:color w:val="000000" w:themeColor="text1"/>
        </w:rPr>
        <w:t xml:space="preserve">dependencies on </w:t>
      </w:r>
      <w:r w:rsidR="00373439" w:rsidRPr="009670D9">
        <w:rPr>
          <w:color w:val="000000" w:themeColor="text1"/>
        </w:rPr>
        <w:t>external</w:t>
      </w:r>
      <w:r w:rsidR="0039641B" w:rsidRPr="009670D9">
        <w:rPr>
          <w:color w:val="000000" w:themeColor="text1"/>
        </w:rPr>
        <w:t xml:space="preserve"> organizations </w:t>
      </w:r>
      <w:r w:rsidR="00373439" w:rsidRPr="009670D9">
        <w:rPr>
          <w:color w:val="000000" w:themeColor="text1"/>
        </w:rPr>
        <w:t xml:space="preserve">and </w:t>
      </w:r>
      <w:r w:rsidR="0039641B" w:rsidRPr="009670D9">
        <w:rPr>
          <w:color w:val="000000" w:themeColor="text1"/>
        </w:rPr>
        <w:t>providers.</w:t>
      </w:r>
    </w:p>
    <w:p w14:paraId="0755A1E9" w14:textId="403F945B" w:rsidR="00373439" w:rsidRPr="009670D9" w:rsidRDefault="009670D9" w:rsidP="00373439">
      <w:pPr>
        <w:numPr>
          <w:ilvl w:val="0"/>
          <w:numId w:val="21"/>
        </w:numPr>
        <w:rPr>
          <w:color w:val="000000" w:themeColor="text1"/>
        </w:rPr>
      </w:pPr>
      <w:r w:rsidRPr="005B2793">
        <w:rPr>
          <w:b/>
        </w:rPr>
        <w:t>A</w:t>
      </w:r>
      <w:r w:rsidR="00373439" w:rsidRPr="005B2793">
        <w:rPr>
          <w:b/>
        </w:rPr>
        <w:t>llows</w:t>
      </w:r>
      <w:r w:rsidR="00373439" w:rsidRPr="00D10AA1">
        <w:t xml:space="preserve"> for the interoperability of different platforms, services, architectures, and technologies working together as a coherent whole.</w:t>
      </w:r>
      <w:r w:rsidR="00373439">
        <w:t xml:space="preserve"> Furthermore, t</w:t>
      </w:r>
      <w:r w:rsidR="00373439" w:rsidRPr="009670D9">
        <w:rPr>
          <w:color w:val="000000" w:themeColor="text1"/>
        </w:rPr>
        <w:t xml:space="preserve">he </w:t>
      </w:r>
      <w:r w:rsidR="0026779F" w:rsidRPr="009670D9">
        <w:rPr>
          <w:b/>
          <w:color w:val="000000" w:themeColor="text1"/>
        </w:rPr>
        <w:t>IMSC PSP-</w:t>
      </w:r>
      <w:r w:rsidR="00373439" w:rsidRPr="009670D9">
        <w:rPr>
          <w:b/>
          <w:color w:val="000000" w:themeColor="text1"/>
        </w:rPr>
        <w:t>PCTF</w:t>
      </w:r>
      <w:r w:rsidR="00373439" w:rsidRPr="009670D9">
        <w:rPr>
          <w:color w:val="000000" w:themeColor="text1"/>
        </w:rPr>
        <w:t xml:space="preserve"> is designed to leverage international digital identity frameworks (such as, </w:t>
      </w:r>
      <w:proofErr w:type="spellStart"/>
      <w:r w:rsidR="00373439" w:rsidRPr="009670D9">
        <w:rPr>
          <w:b/>
          <w:color w:val="000000" w:themeColor="text1"/>
        </w:rPr>
        <w:t>eIDAS</w:t>
      </w:r>
      <w:proofErr w:type="spellEnd"/>
      <w:r w:rsidR="00373439" w:rsidRPr="009670D9">
        <w:rPr>
          <w:color w:val="000000" w:themeColor="text1"/>
        </w:rPr>
        <w:t xml:space="preserve"> and </w:t>
      </w:r>
      <w:r w:rsidR="00373439" w:rsidRPr="009670D9">
        <w:rPr>
          <w:b/>
          <w:color w:val="000000" w:themeColor="text1"/>
        </w:rPr>
        <w:t>FATF</w:t>
      </w:r>
      <w:r w:rsidR="00373439" w:rsidRPr="009670D9">
        <w:rPr>
          <w:color w:val="000000" w:themeColor="text1"/>
        </w:rPr>
        <w:t xml:space="preserve">) and </w:t>
      </w:r>
    </w:p>
    <w:p w14:paraId="7C5513D2" w14:textId="77777777" w:rsidR="00EC1E6A" w:rsidRDefault="00EC1E6A" w:rsidP="008E4413"/>
    <w:p w14:paraId="6956493F" w14:textId="27A54CE9" w:rsidR="00373439" w:rsidRDefault="005B2793" w:rsidP="008E4413">
      <w:pPr>
        <w:rPr>
          <w:color w:val="000000" w:themeColor="text1"/>
        </w:rPr>
      </w:pPr>
      <w:r>
        <w:t>In relation to the above</w:t>
      </w:r>
      <w:bookmarkStart w:id="0" w:name="_GoBack"/>
      <w:bookmarkEnd w:id="0"/>
      <w:r>
        <w:t xml:space="preserve">, </w:t>
      </w:r>
      <w:r w:rsidRPr="00F104E5">
        <w:rPr>
          <w:color w:val="000000" w:themeColor="text1"/>
        </w:rPr>
        <w:t>IMSC</w:t>
      </w:r>
      <w:r w:rsidR="0026779F" w:rsidRPr="0026779F">
        <w:rPr>
          <w:b/>
          <w:color w:val="000000" w:themeColor="text1"/>
        </w:rPr>
        <w:t xml:space="preserve"> </w:t>
      </w:r>
      <w:r w:rsidR="00F104E5" w:rsidRPr="0026779F">
        <w:rPr>
          <w:b/>
          <w:color w:val="000000" w:themeColor="text1"/>
        </w:rPr>
        <w:t>PCTF</w:t>
      </w:r>
      <w:r w:rsidR="00373439" w:rsidRPr="0026779F">
        <w:rPr>
          <w:b/>
          <w:color w:val="000000" w:themeColor="text1"/>
        </w:rPr>
        <w:t>-PSP</w:t>
      </w:r>
      <w:r w:rsidR="00F104E5" w:rsidRPr="00F104E5">
        <w:rPr>
          <w:color w:val="000000" w:themeColor="text1"/>
        </w:rPr>
        <w:t xml:space="preserve"> </w:t>
      </w:r>
      <w:r w:rsidR="00F104E5">
        <w:rPr>
          <w:color w:val="000000" w:themeColor="text1"/>
        </w:rPr>
        <w:t xml:space="preserve">is intended to </w:t>
      </w:r>
      <w:r w:rsidR="00F104E5" w:rsidRPr="00F104E5">
        <w:rPr>
          <w:color w:val="000000" w:themeColor="text1"/>
        </w:rPr>
        <w:t>facilitate</w:t>
      </w:r>
      <w:r w:rsidR="00C86C43">
        <w:rPr>
          <w:color w:val="000000" w:themeColor="text1"/>
        </w:rPr>
        <w:t xml:space="preserve"> </w:t>
      </w:r>
      <w:r w:rsidR="00F104E5" w:rsidRPr="00F104E5">
        <w:rPr>
          <w:color w:val="000000" w:themeColor="text1"/>
        </w:rPr>
        <w:t>a common approach between</w:t>
      </w:r>
      <w:r w:rsidR="00373439">
        <w:rPr>
          <w:color w:val="000000" w:themeColor="text1"/>
        </w:rPr>
        <w:t>:</w:t>
      </w:r>
      <w:r w:rsidR="00C81C5E">
        <w:rPr>
          <w:color w:val="000000" w:themeColor="text1"/>
        </w:rPr>
        <w:br/>
      </w:r>
      <w:r w:rsidR="00373439">
        <w:rPr>
          <w:color w:val="000000" w:themeColor="text1"/>
        </w:rPr>
        <w:t xml:space="preserve"> </w:t>
      </w:r>
    </w:p>
    <w:p w14:paraId="11526390" w14:textId="2946EF1D" w:rsidR="00373439" w:rsidRPr="00373439" w:rsidRDefault="0026779F" w:rsidP="00373439">
      <w:pPr>
        <w:numPr>
          <w:ilvl w:val="0"/>
          <w:numId w:val="20"/>
        </w:numPr>
      </w:pPr>
      <w:r>
        <w:rPr>
          <w:color w:val="000000" w:themeColor="text1"/>
        </w:rPr>
        <w:t>T</w:t>
      </w:r>
      <w:r w:rsidR="00373439">
        <w:rPr>
          <w:color w:val="000000" w:themeColor="text1"/>
        </w:rPr>
        <w:t xml:space="preserve">he public sector, including </w:t>
      </w:r>
      <w:r w:rsidR="00F104E5" w:rsidRPr="00F104E5">
        <w:rPr>
          <w:color w:val="000000" w:themeColor="text1"/>
        </w:rPr>
        <w:t xml:space="preserve">all levels of government </w:t>
      </w:r>
      <w:r w:rsidR="00373439">
        <w:rPr>
          <w:color w:val="000000" w:themeColor="text1"/>
        </w:rPr>
        <w:t xml:space="preserve">illustrating a clear linkage to legislation and policies and ensuring ongoing legal and policy compliance, </w:t>
      </w:r>
      <w:r w:rsidR="00F104E5" w:rsidRPr="00F104E5">
        <w:rPr>
          <w:color w:val="000000" w:themeColor="text1"/>
        </w:rPr>
        <w:t xml:space="preserve">and </w:t>
      </w:r>
    </w:p>
    <w:p w14:paraId="1EE8F624" w14:textId="1383E13A" w:rsidR="008E4413" w:rsidRPr="00EC1E6A" w:rsidRDefault="0026779F" w:rsidP="00373439">
      <w:pPr>
        <w:numPr>
          <w:ilvl w:val="0"/>
          <w:numId w:val="20"/>
        </w:numPr>
      </w:pPr>
      <w:r>
        <w:rPr>
          <w:color w:val="000000" w:themeColor="text1"/>
        </w:rPr>
        <w:t>T</w:t>
      </w:r>
      <w:r w:rsidR="00F104E5" w:rsidRPr="00F104E5">
        <w:rPr>
          <w:color w:val="000000" w:themeColor="text1"/>
        </w:rPr>
        <w:t>he private sector</w:t>
      </w:r>
      <w:r w:rsidR="00373439">
        <w:rPr>
          <w:color w:val="000000" w:themeColor="text1"/>
        </w:rPr>
        <w:t xml:space="preserve">, </w:t>
      </w:r>
      <w:r w:rsidR="00F104E5" w:rsidRPr="00F104E5">
        <w:rPr>
          <w:color w:val="000000" w:themeColor="text1"/>
        </w:rPr>
        <w:t xml:space="preserve">defined in a way that encourages innovation and the evolution of the </w:t>
      </w:r>
      <w:r w:rsidR="00C86C43">
        <w:rPr>
          <w:color w:val="000000" w:themeColor="text1"/>
        </w:rPr>
        <w:t xml:space="preserve">trusted </w:t>
      </w:r>
      <w:r w:rsidR="00F104E5" w:rsidRPr="00F104E5">
        <w:rPr>
          <w:color w:val="000000" w:themeColor="text1"/>
        </w:rPr>
        <w:t>digital identity ecosystem.</w:t>
      </w:r>
      <w:r w:rsidR="008E4413">
        <w:rPr>
          <w:color w:val="000000" w:themeColor="text1"/>
        </w:rPr>
        <w:t xml:space="preserve"> </w:t>
      </w:r>
    </w:p>
    <w:p w14:paraId="2EDF6999" w14:textId="77777777" w:rsidR="00EC1E6A" w:rsidRDefault="00EC1E6A" w:rsidP="00EC1E6A">
      <w:pPr>
        <w:rPr>
          <w:color w:val="000000" w:themeColor="text1"/>
        </w:rPr>
      </w:pPr>
    </w:p>
    <w:p w14:paraId="5B8EFD2A" w14:textId="6506F2B2" w:rsidR="00EC1E6A" w:rsidRDefault="00EC1E6A" w:rsidP="00EC1E6A">
      <w:r>
        <w:t>Finally, i</w:t>
      </w:r>
      <w:r>
        <w:t>t should be noted that the PCTF, in itself, is not a governance framework</w:t>
      </w:r>
      <w:r>
        <w:t xml:space="preserve"> (see Way Forward section at the end of this document)</w:t>
      </w:r>
      <w:r>
        <w:t xml:space="preserve">. </w:t>
      </w:r>
      <w:r>
        <w:t>Instead,</w:t>
      </w:r>
      <w:r>
        <w:t xml:space="preserve"> it is a tool to help </w:t>
      </w:r>
      <w:r w:rsidR="00FA1686">
        <w:t xml:space="preserve">assess a digital identity program that </w:t>
      </w:r>
      <w:r>
        <w:t>put</w:t>
      </w:r>
      <w:r w:rsidR="00FA1686">
        <w:t>s</w:t>
      </w:r>
      <w:r>
        <w:t xml:space="preserve"> into effect </w:t>
      </w:r>
      <w:r w:rsidR="00FA1686">
        <w:t xml:space="preserve">the </w:t>
      </w:r>
      <w:r>
        <w:t>relevant legislation, policy, regulation and agreements between parties.</w:t>
      </w:r>
    </w:p>
    <w:p w14:paraId="4BE2EC45" w14:textId="77777777" w:rsidR="00EC1E6A" w:rsidRDefault="00EC1E6A" w:rsidP="00EC1E6A"/>
    <w:p w14:paraId="1F2347E4" w14:textId="34956CD0" w:rsidR="00080A5D" w:rsidRDefault="00080A5D">
      <w:pPr>
        <w:spacing w:after="160" w:line="259" w:lineRule="auto"/>
      </w:pPr>
      <w:r>
        <w:br w:type="page"/>
      </w:r>
    </w:p>
    <w:p w14:paraId="13F58037" w14:textId="3B59D956" w:rsidR="00B35458" w:rsidRPr="003C4417" w:rsidRDefault="00B35458" w:rsidP="003C4417">
      <w:pPr>
        <w:pStyle w:val="ListParagraph"/>
        <w:numPr>
          <w:ilvl w:val="0"/>
          <w:numId w:val="12"/>
        </w:numPr>
        <w:rPr>
          <w:b/>
        </w:rPr>
      </w:pPr>
      <w:r w:rsidRPr="003C4417">
        <w:rPr>
          <w:b/>
        </w:rPr>
        <w:lastRenderedPageBreak/>
        <w:t xml:space="preserve">Who are the </w:t>
      </w:r>
      <w:r w:rsidR="0026779F">
        <w:rPr>
          <w:b/>
        </w:rPr>
        <w:t>key</w:t>
      </w:r>
      <w:r w:rsidRPr="003C4417">
        <w:rPr>
          <w:b/>
        </w:rPr>
        <w:t xml:space="preserve"> players?</w:t>
      </w:r>
    </w:p>
    <w:p w14:paraId="4C4482C4" w14:textId="77777777" w:rsidR="00B35458" w:rsidRDefault="00B35458" w:rsidP="00B35458">
      <w:pPr>
        <w:rPr>
          <w:b/>
        </w:rPr>
      </w:pPr>
    </w:p>
    <w:p w14:paraId="66A6ED37" w14:textId="079EFF15" w:rsidR="002D59B7" w:rsidRPr="002D59B7" w:rsidRDefault="002D59B7" w:rsidP="00F96B75">
      <w:pPr>
        <w:pStyle w:val="ListParagraph"/>
        <w:numPr>
          <w:ilvl w:val="0"/>
          <w:numId w:val="13"/>
        </w:numPr>
        <w:rPr>
          <w:b/>
        </w:rPr>
      </w:pPr>
      <w:r w:rsidRPr="002D59B7">
        <w:rPr>
          <w:b/>
        </w:rPr>
        <w:t>Identity Management Sub-Committee (IMSC):</w:t>
      </w:r>
      <w:r w:rsidRPr="00A31A4C">
        <w:t xml:space="preserve"> </w:t>
      </w:r>
      <w:r>
        <w:t xml:space="preserve">IMSC was first established in 2008 </w:t>
      </w:r>
      <w:r w:rsidR="002B5EB8">
        <w:t xml:space="preserve">and </w:t>
      </w:r>
      <w:r>
        <w:t xml:space="preserve">report to the FPT DM Table for Service Delivery. In 2011, the IMSC </w:t>
      </w:r>
      <w:r w:rsidR="002B5EB8">
        <w:t>reporting was changed to the</w:t>
      </w:r>
      <w:r>
        <w:t xml:space="preserve"> Joint Councils.  </w:t>
      </w:r>
      <w:r w:rsidR="002B5EB8">
        <w:t xml:space="preserve">The purpose of the IMSC is to provide a venue to share information, leverage knowledge, and to develop strategy, policy positions and recommendations to encourage a Pan-Canadian approach to identity. The IMSC began work on the PCTF in 2015. </w:t>
      </w:r>
      <w:r w:rsidRPr="00A31A4C">
        <w:t xml:space="preserve">Participants </w:t>
      </w:r>
      <w:r w:rsidRPr="003C4417">
        <w:t>include federal, provincial, territorial, and municipal public-sector leaders.</w:t>
      </w:r>
      <w:r>
        <w:br/>
      </w:r>
    </w:p>
    <w:p w14:paraId="013E0C44" w14:textId="4F690680" w:rsidR="00B35458" w:rsidRPr="00EE7EF8" w:rsidRDefault="00B35458" w:rsidP="004F4A6C">
      <w:pPr>
        <w:pStyle w:val="ListParagraph"/>
        <w:numPr>
          <w:ilvl w:val="0"/>
          <w:numId w:val="13"/>
        </w:numPr>
        <w:rPr>
          <w:b/>
        </w:rPr>
      </w:pPr>
      <w:r w:rsidRPr="00EE7EF8">
        <w:rPr>
          <w:rFonts w:asciiTheme="minorHAnsi" w:hAnsiTheme="minorHAnsi" w:cstheme="minorHAnsi"/>
          <w:b/>
        </w:rPr>
        <w:t xml:space="preserve">Digital ID and Authentication Council of Canada (DIACC): </w:t>
      </w:r>
      <w:proofErr w:type="gramStart"/>
      <w:r w:rsidR="00EE7EF8" w:rsidRPr="00A31A4C">
        <w:rPr>
          <w:rFonts w:asciiTheme="minorHAnsi" w:hAnsiTheme="minorHAnsi" w:cstheme="minorHAnsi"/>
          <w:sz w:val="21"/>
          <w:szCs w:val="21"/>
          <w:shd w:val="clear" w:color="auto" w:fill="FAFAFA"/>
        </w:rPr>
        <w:t>Between 2010-2012,</w:t>
      </w:r>
      <w:proofErr w:type="gramEnd"/>
      <w:r w:rsidR="00EE7EF8" w:rsidRPr="00A31A4C">
        <w:rPr>
          <w:rFonts w:asciiTheme="minorHAnsi" w:hAnsiTheme="minorHAnsi" w:cstheme="minorHAnsi"/>
          <w:sz w:val="21"/>
          <w:szCs w:val="21"/>
          <w:shd w:val="clear" w:color="auto" w:fill="FAFAFA"/>
        </w:rPr>
        <w:t xml:space="preserve"> the Minister of Finance appointed a Task Force for the Payments System Review. One of the key recommendations of that Task Force was that digital ID and authentication are integral to the success of digital payments and to Canada’s digital economy. A working group was created with representatives of the public and private sectors, privacy commissioner’s offices, and consumer advocates to better understand the subject. The working group developed a vision of a robust, secure, scalable, and privacy-enhancing structure for transacting online. DIACC was created to continue the activities of the working group after the wrap-up of the Task Force.</w:t>
      </w:r>
      <w:r w:rsidR="00EE7EF8" w:rsidRPr="00A31A4C">
        <w:rPr>
          <w:rFonts w:asciiTheme="minorHAnsi" w:hAnsiTheme="minorHAnsi" w:cstheme="minorHAnsi"/>
        </w:rPr>
        <w:t xml:space="preserve"> Today, DIACC </w:t>
      </w:r>
      <w:r w:rsidR="00EE7EF8" w:rsidRPr="00EE7EF8">
        <w:rPr>
          <w:rFonts w:asciiTheme="minorHAnsi" w:hAnsiTheme="minorHAnsi" w:cstheme="minorHAnsi"/>
        </w:rPr>
        <w:t xml:space="preserve">is a </w:t>
      </w:r>
      <w:r w:rsidRPr="00EE7EF8">
        <w:rPr>
          <w:rFonts w:asciiTheme="minorHAnsi" w:hAnsiTheme="minorHAnsi" w:cstheme="minorHAnsi"/>
        </w:rPr>
        <w:t>non-profit coalition of public an</w:t>
      </w:r>
      <w:r w:rsidR="0064267E" w:rsidRPr="00EE7EF8">
        <w:rPr>
          <w:rFonts w:asciiTheme="minorHAnsi" w:hAnsiTheme="minorHAnsi" w:cstheme="minorHAnsi"/>
        </w:rPr>
        <w:t>d private sector leaders that are</w:t>
      </w:r>
      <w:r w:rsidRPr="00EE7EF8">
        <w:rPr>
          <w:rFonts w:asciiTheme="minorHAnsi" w:hAnsiTheme="minorHAnsi" w:cstheme="minorHAnsi"/>
        </w:rPr>
        <w:t xml:space="preserve"> developing a Canadian digital identification and authentication framework.</w:t>
      </w:r>
      <w:r w:rsidR="00EE7EF8">
        <w:rPr>
          <w:rFonts w:asciiTheme="minorHAnsi" w:hAnsiTheme="minorHAnsi" w:cstheme="minorHAnsi"/>
        </w:rPr>
        <w:t xml:space="preserve"> </w:t>
      </w:r>
      <w:r w:rsidR="0026779F">
        <w:rPr>
          <w:rFonts w:asciiTheme="minorHAnsi" w:hAnsiTheme="minorHAnsi" w:cstheme="minorHAnsi"/>
        </w:rPr>
        <w:t>Under the Trust Framework Experts Committee (TFEC), DIACC is developing the DIACC TFEC version of the PCTF (</w:t>
      </w:r>
      <w:r w:rsidR="0026779F" w:rsidRPr="0026779F">
        <w:rPr>
          <w:rFonts w:asciiTheme="minorHAnsi" w:hAnsiTheme="minorHAnsi" w:cstheme="minorHAnsi"/>
          <w:b/>
        </w:rPr>
        <w:t>DIACC TFEC</w:t>
      </w:r>
      <w:r w:rsidR="0026779F">
        <w:rPr>
          <w:rFonts w:asciiTheme="minorHAnsi" w:hAnsiTheme="minorHAnsi" w:cstheme="minorHAnsi"/>
          <w:b/>
        </w:rPr>
        <w:t>-</w:t>
      </w:r>
      <w:r w:rsidR="0026779F" w:rsidRPr="0026779F">
        <w:rPr>
          <w:rFonts w:asciiTheme="minorHAnsi" w:hAnsiTheme="minorHAnsi" w:cstheme="minorHAnsi"/>
          <w:b/>
        </w:rPr>
        <w:t>PCTF</w:t>
      </w:r>
      <w:r w:rsidR="0026779F">
        <w:rPr>
          <w:rFonts w:asciiTheme="minorHAnsi" w:hAnsiTheme="minorHAnsi" w:cstheme="minorHAnsi"/>
        </w:rPr>
        <w:t>)</w:t>
      </w:r>
    </w:p>
    <w:p w14:paraId="62933D6A" w14:textId="77777777" w:rsidR="00EE7EF8" w:rsidRPr="00EE7EF8" w:rsidRDefault="00EE7EF8" w:rsidP="00EE7EF8">
      <w:pPr>
        <w:pStyle w:val="ListParagraph"/>
        <w:rPr>
          <w:b/>
        </w:rPr>
      </w:pPr>
    </w:p>
    <w:p w14:paraId="164A9591" w14:textId="4B8BCF85" w:rsidR="006A7C21" w:rsidRPr="00140D47" w:rsidRDefault="00B03D14" w:rsidP="005A4F86">
      <w:pPr>
        <w:pStyle w:val="ListParagraph"/>
        <w:numPr>
          <w:ilvl w:val="0"/>
          <w:numId w:val="12"/>
        </w:numPr>
        <w:rPr>
          <w:b/>
        </w:rPr>
      </w:pPr>
      <w:r w:rsidRPr="00140D47">
        <w:rPr>
          <w:b/>
        </w:rPr>
        <w:t>Key similarities and differences</w:t>
      </w:r>
      <w:r w:rsidR="0026779F">
        <w:rPr>
          <w:b/>
        </w:rPr>
        <w:t xml:space="preserve"> between the DIACC TFEC-PCTF </w:t>
      </w:r>
      <w:r w:rsidR="0026779F" w:rsidRPr="0026779F">
        <w:t>and the</w:t>
      </w:r>
      <w:r w:rsidR="0026779F">
        <w:rPr>
          <w:b/>
        </w:rPr>
        <w:t xml:space="preserve"> IMSC PSP-PCTF</w:t>
      </w:r>
    </w:p>
    <w:p w14:paraId="4658A2DC" w14:textId="77777777" w:rsidR="00BF399C" w:rsidRPr="00140D47" w:rsidRDefault="00BF399C" w:rsidP="005A4F86"/>
    <w:tbl>
      <w:tblPr>
        <w:tblStyle w:val="TableGrid"/>
        <w:tblW w:w="9138" w:type="dxa"/>
        <w:tblInd w:w="355" w:type="dxa"/>
        <w:tblLook w:val="04A0" w:firstRow="1" w:lastRow="0" w:firstColumn="1" w:lastColumn="0" w:noHBand="0" w:noVBand="1"/>
      </w:tblPr>
      <w:tblGrid>
        <w:gridCol w:w="1710"/>
        <w:gridCol w:w="3510"/>
        <w:gridCol w:w="3918"/>
      </w:tblGrid>
      <w:tr w:rsidR="00140D47" w:rsidRPr="00140D47" w14:paraId="1FD72096" w14:textId="77777777" w:rsidTr="004461DD">
        <w:trPr>
          <w:tblHeader/>
        </w:trPr>
        <w:tc>
          <w:tcPr>
            <w:tcW w:w="1710" w:type="dxa"/>
            <w:shd w:val="clear" w:color="auto" w:fill="BDD6EE" w:themeFill="accent1" w:themeFillTint="66"/>
          </w:tcPr>
          <w:p w14:paraId="516C9AD4" w14:textId="77777777" w:rsidR="006A7C21" w:rsidRPr="00140D47" w:rsidRDefault="006A7C21" w:rsidP="005A4F86">
            <w:pPr>
              <w:rPr>
                <w:i/>
              </w:rPr>
            </w:pPr>
          </w:p>
        </w:tc>
        <w:tc>
          <w:tcPr>
            <w:tcW w:w="3510" w:type="dxa"/>
            <w:shd w:val="clear" w:color="auto" w:fill="BDD6EE" w:themeFill="accent1" w:themeFillTint="66"/>
          </w:tcPr>
          <w:p w14:paraId="4E7C86BD" w14:textId="7ED494DF" w:rsidR="006A7C21" w:rsidRPr="00140D47" w:rsidRDefault="00C81C5E" w:rsidP="00E10064">
            <w:pPr>
              <w:rPr>
                <w:i/>
              </w:rPr>
            </w:pPr>
            <w:r>
              <w:rPr>
                <w:b/>
              </w:rPr>
              <w:t>DIACC TFEC</w:t>
            </w:r>
            <w:r w:rsidR="00E10064">
              <w:rPr>
                <w:b/>
              </w:rPr>
              <w:t>-</w:t>
            </w:r>
            <w:r w:rsidR="00A31A4C" w:rsidRPr="00140D47">
              <w:rPr>
                <w:b/>
              </w:rPr>
              <w:t xml:space="preserve">PCTF </w:t>
            </w:r>
          </w:p>
        </w:tc>
        <w:tc>
          <w:tcPr>
            <w:tcW w:w="3918" w:type="dxa"/>
            <w:shd w:val="clear" w:color="auto" w:fill="BDD6EE" w:themeFill="accent1" w:themeFillTint="66"/>
          </w:tcPr>
          <w:p w14:paraId="1A49E4B1" w14:textId="2E8FB4B0" w:rsidR="006A7C21" w:rsidRPr="00140D47" w:rsidRDefault="00F43799" w:rsidP="008E1352">
            <w:pPr>
              <w:rPr>
                <w:b/>
              </w:rPr>
            </w:pPr>
            <w:r w:rsidRPr="00140D47">
              <w:rPr>
                <w:b/>
              </w:rPr>
              <w:t>Public Sector Profile (</w:t>
            </w:r>
            <w:r w:rsidR="001F380E">
              <w:rPr>
                <w:b/>
              </w:rPr>
              <w:t>PCTF-</w:t>
            </w:r>
            <w:r w:rsidRPr="00140D47">
              <w:rPr>
                <w:b/>
              </w:rPr>
              <w:t>PSP)</w:t>
            </w:r>
          </w:p>
        </w:tc>
      </w:tr>
      <w:tr w:rsidR="00140D47" w:rsidRPr="00140D47" w14:paraId="6984C8C7" w14:textId="77777777" w:rsidTr="004461DD">
        <w:tc>
          <w:tcPr>
            <w:tcW w:w="1710" w:type="dxa"/>
          </w:tcPr>
          <w:p w14:paraId="1B09DC82" w14:textId="77777777" w:rsidR="006A7C21" w:rsidRPr="00140D47" w:rsidRDefault="006A7C21" w:rsidP="005A4F86">
            <w:pPr>
              <w:rPr>
                <w:b/>
                <w:i/>
              </w:rPr>
            </w:pPr>
            <w:r w:rsidRPr="00140D47">
              <w:rPr>
                <w:b/>
                <w:i/>
              </w:rPr>
              <w:t>Who:</w:t>
            </w:r>
          </w:p>
        </w:tc>
        <w:tc>
          <w:tcPr>
            <w:tcW w:w="3510" w:type="dxa"/>
          </w:tcPr>
          <w:p w14:paraId="645D1BAD" w14:textId="0395B18F" w:rsidR="006A7C21" w:rsidRPr="00CF4660" w:rsidRDefault="004461DD" w:rsidP="004461DD">
            <w:pPr>
              <w:rPr>
                <w:b/>
                <w:i/>
              </w:rPr>
            </w:pPr>
            <w:r w:rsidRPr="00CF4660">
              <w:rPr>
                <w:b/>
              </w:rPr>
              <w:t>DIACC</w:t>
            </w:r>
          </w:p>
        </w:tc>
        <w:tc>
          <w:tcPr>
            <w:tcW w:w="3918" w:type="dxa"/>
          </w:tcPr>
          <w:p w14:paraId="62FB9B61" w14:textId="0B57E455" w:rsidR="006A7C21" w:rsidRPr="00CF4660" w:rsidRDefault="004461DD" w:rsidP="005A4F86">
            <w:pPr>
              <w:rPr>
                <w:b/>
              </w:rPr>
            </w:pPr>
            <w:r w:rsidRPr="00CF4660">
              <w:rPr>
                <w:b/>
              </w:rPr>
              <w:t>IMSC</w:t>
            </w:r>
          </w:p>
        </w:tc>
      </w:tr>
      <w:tr w:rsidR="00140D47" w:rsidRPr="00140D47" w14:paraId="2E2EA5E8" w14:textId="77777777" w:rsidTr="004461DD">
        <w:trPr>
          <w:trHeight w:val="612"/>
        </w:trPr>
        <w:tc>
          <w:tcPr>
            <w:tcW w:w="1710" w:type="dxa"/>
          </w:tcPr>
          <w:p w14:paraId="261773C1" w14:textId="670AE66E" w:rsidR="006A7C21" w:rsidRPr="00140D47" w:rsidRDefault="00BF399C" w:rsidP="005C523A">
            <w:pPr>
              <w:rPr>
                <w:b/>
                <w:i/>
              </w:rPr>
            </w:pPr>
            <w:r w:rsidRPr="00140D47">
              <w:rPr>
                <w:b/>
                <w:i/>
              </w:rPr>
              <w:t>Governance</w:t>
            </w:r>
          </w:p>
        </w:tc>
        <w:tc>
          <w:tcPr>
            <w:tcW w:w="3510" w:type="dxa"/>
          </w:tcPr>
          <w:p w14:paraId="76F61710" w14:textId="76E326B3" w:rsidR="002C4896" w:rsidRDefault="004461DD" w:rsidP="002C4896">
            <w:pPr>
              <w:numPr>
                <w:ilvl w:val="0"/>
                <w:numId w:val="19"/>
              </w:numPr>
            </w:pPr>
            <w:r>
              <w:t xml:space="preserve">Developed by the </w:t>
            </w:r>
            <w:r w:rsidR="002C4896">
              <w:t xml:space="preserve">DIACC </w:t>
            </w:r>
            <w:r w:rsidR="00EE7EF8" w:rsidRPr="00140D47">
              <w:t>Trust Framework Expert Committee</w:t>
            </w:r>
            <w:r w:rsidR="002C4896">
              <w:t xml:space="preserve"> (TFEC)</w:t>
            </w:r>
            <w:r w:rsidR="00EE7EF8" w:rsidRPr="00140D47">
              <w:t xml:space="preserve"> </w:t>
            </w:r>
          </w:p>
          <w:p w14:paraId="6CC07772" w14:textId="0FC16DFC" w:rsidR="005C523A" w:rsidRPr="00140D47" w:rsidRDefault="002C4896" w:rsidP="00CF4660">
            <w:pPr>
              <w:numPr>
                <w:ilvl w:val="0"/>
                <w:numId w:val="19"/>
              </w:numPr>
            </w:pPr>
            <w:r>
              <w:t>A</w:t>
            </w:r>
            <w:r w:rsidR="00EE7EF8" w:rsidRPr="00140D47">
              <w:t>pprov</w:t>
            </w:r>
            <w:r w:rsidR="00CF4660">
              <w:t>al</w:t>
            </w:r>
            <w:r w:rsidR="00533CCD" w:rsidRPr="00140D47">
              <w:t xml:space="preserve"> by the DIACC Board</w:t>
            </w:r>
            <w:r w:rsidR="00EE7EF8" w:rsidRPr="00140D47">
              <w:t xml:space="preserve">. </w:t>
            </w:r>
          </w:p>
        </w:tc>
        <w:tc>
          <w:tcPr>
            <w:tcW w:w="3918" w:type="dxa"/>
          </w:tcPr>
          <w:p w14:paraId="3C889A4B" w14:textId="1DEF0D6F" w:rsidR="004461DD" w:rsidRDefault="004461DD" w:rsidP="004461DD">
            <w:pPr>
              <w:numPr>
                <w:ilvl w:val="0"/>
                <w:numId w:val="18"/>
              </w:numPr>
            </w:pPr>
            <w:r>
              <w:t xml:space="preserve">Developed by the </w:t>
            </w:r>
            <w:r w:rsidR="00533CCD" w:rsidRPr="00140D47">
              <w:t>PCTF Working Group</w:t>
            </w:r>
            <w:r>
              <w:t xml:space="preserve"> reporting to the IMSC</w:t>
            </w:r>
          </w:p>
          <w:p w14:paraId="2EB3436E" w14:textId="7EB3D300" w:rsidR="005C523A" w:rsidRPr="00140D47" w:rsidRDefault="00CF4660" w:rsidP="004461DD">
            <w:pPr>
              <w:numPr>
                <w:ilvl w:val="0"/>
                <w:numId w:val="18"/>
              </w:numPr>
            </w:pPr>
            <w:r>
              <w:t>Endorsement</w:t>
            </w:r>
            <w:r w:rsidR="002C4896">
              <w:t xml:space="preserve"> </w:t>
            </w:r>
            <w:r w:rsidR="00533CCD" w:rsidRPr="00140D47">
              <w:t xml:space="preserve">by </w:t>
            </w:r>
            <w:r w:rsidR="002C4896">
              <w:t xml:space="preserve">the </w:t>
            </w:r>
            <w:r w:rsidR="004461DD">
              <w:t>IMSC/</w:t>
            </w:r>
            <w:r w:rsidR="00533CCD" w:rsidRPr="00140D47">
              <w:t>Joint Councils</w:t>
            </w:r>
            <w:r w:rsidR="002C4896">
              <w:t>.</w:t>
            </w:r>
          </w:p>
        </w:tc>
      </w:tr>
      <w:tr w:rsidR="00140D47" w:rsidRPr="00140D47" w14:paraId="7248771C" w14:textId="77777777" w:rsidTr="004461DD">
        <w:trPr>
          <w:trHeight w:val="1151"/>
        </w:trPr>
        <w:tc>
          <w:tcPr>
            <w:tcW w:w="1710" w:type="dxa"/>
          </w:tcPr>
          <w:p w14:paraId="4E9F920B" w14:textId="5AC7AC13" w:rsidR="006A7C21" w:rsidRPr="00140D47" w:rsidRDefault="003C4417" w:rsidP="00B35458">
            <w:pPr>
              <w:rPr>
                <w:i/>
              </w:rPr>
            </w:pPr>
            <w:r w:rsidRPr="00140D47">
              <w:rPr>
                <w:b/>
                <w:i/>
              </w:rPr>
              <w:t>Current Status</w:t>
            </w:r>
          </w:p>
        </w:tc>
        <w:tc>
          <w:tcPr>
            <w:tcW w:w="3510" w:type="dxa"/>
          </w:tcPr>
          <w:p w14:paraId="11E99F8F" w14:textId="05866182" w:rsidR="004461DD" w:rsidRDefault="004461DD" w:rsidP="005C4EAD">
            <w:pPr>
              <w:numPr>
                <w:ilvl w:val="0"/>
                <w:numId w:val="8"/>
              </w:numPr>
            </w:pPr>
            <w:r>
              <w:t xml:space="preserve">Consists of </w:t>
            </w:r>
            <w:r w:rsidR="0026779F">
              <w:t>10</w:t>
            </w:r>
            <w:r>
              <w:t xml:space="preserve"> </w:t>
            </w:r>
            <w:r w:rsidR="00CF4660">
              <w:t>(or</w:t>
            </w:r>
            <w:r>
              <w:t xml:space="preserve"> more?)</w:t>
            </w:r>
            <w:r w:rsidR="003C4417" w:rsidRPr="00140D47">
              <w:t xml:space="preserve"> </w:t>
            </w:r>
            <w:r w:rsidR="0026779F">
              <w:t>deliverables.</w:t>
            </w:r>
            <w:r w:rsidR="005C4EAD" w:rsidRPr="00140D47">
              <w:t xml:space="preserve"> </w:t>
            </w:r>
          </w:p>
          <w:p w14:paraId="04F2BF7A" w14:textId="4E77701F" w:rsidR="002C4896" w:rsidRDefault="004461DD" w:rsidP="005C4EAD">
            <w:pPr>
              <w:numPr>
                <w:ilvl w:val="0"/>
                <w:numId w:val="8"/>
              </w:numPr>
            </w:pPr>
            <w:r>
              <w:t>Currently</w:t>
            </w:r>
            <w:r w:rsidR="003C4417" w:rsidRPr="00140D47">
              <w:t xml:space="preserve"> </w:t>
            </w:r>
            <w:r>
              <w:t xml:space="preserve">in various </w:t>
            </w:r>
            <w:r w:rsidR="003C4417" w:rsidRPr="00140D47">
              <w:t>draft</w:t>
            </w:r>
            <w:r>
              <w:t xml:space="preserve"> recommendations </w:t>
            </w:r>
            <w:r w:rsidR="003C4417" w:rsidRPr="00140D47">
              <w:t>and receiving comment</w:t>
            </w:r>
            <w:r w:rsidR="00CA24EE" w:rsidRPr="00140D47">
              <w:t xml:space="preserve">. </w:t>
            </w:r>
          </w:p>
          <w:p w14:paraId="5AB284E3" w14:textId="2A5C5867" w:rsidR="00BD127E" w:rsidRPr="00140D47" w:rsidRDefault="002C4896" w:rsidP="002C4896">
            <w:pPr>
              <w:numPr>
                <w:ilvl w:val="0"/>
                <w:numId w:val="8"/>
              </w:numPr>
            </w:pPr>
            <w:r>
              <w:t>Documents not yet</w:t>
            </w:r>
            <w:r w:rsidR="00CA24EE" w:rsidRPr="00140D47">
              <w:t xml:space="preserve"> </w:t>
            </w:r>
            <w:r w:rsidR="004461DD" w:rsidRPr="00140D47">
              <w:t xml:space="preserve">applied </w:t>
            </w:r>
            <w:r w:rsidR="004461DD">
              <w:t xml:space="preserve">or test </w:t>
            </w:r>
            <w:r w:rsidR="00620642" w:rsidRPr="00140D47">
              <w:t>in practic</w:t>
            </w:r>
            <w:r w:rsidR="00CA24EE" w:rsidRPr="00140D47">
              <w:t>e.</w:t>
            </w:r>
          </w:p>
        </w:tc>
        <w:tc>
          <w:tcPr>
            <w:tcW w:w="3918" w:type="dxa"/>
          </w:tcPr>
          <w:p w14:paraId="04B3E394" w14:textId="0C98CA8F" w:rsidR="004461DD" w:rsidRDefault="004461DD" w:rsidP="004A6BF9">
            <w:pPr>
              <w:numPr>
                <w:ilvl w:val="0"/>
                <w:numId w:val="8"/>
              </w:numPr>
            </w:pPr>
            <w:r>
              <w:t xml:space="preserve">Consists of one </w:t>
            </w:r>
            <w:r w:rsidR="00CF4660">
              <w:t>integrated</w:t>
            </w:r>
            <w:r>
              <w:t xml:space="preserve"> document plus one assessment worksheet (plus related briefings, summaries, etc.)</w:t>
            </w:r>
          </w:p>
          <w:p w14:paraId="2E487F61" w14:textId="36D52BD0" w:rsidR="004461DD" w:rsidRDefault="004461DD" w:rsidP="00FA399C">
            <w:pPr>
              <w:numPr>
                <w:ilvl w:val="0"/>
                <w:numId w:val="8"/>
              </w:numPr>
            </w:pPr>
            <w:r>
              <w:t>PCTF first Alpha tested in Alberta, Sept 2018. Feedback resulted in streamlining of documents.</w:t>
            </w:r>
          </w:p>
          <w:p w14:paraId="618C17D3" w14:textId="1D14316A" w:rsidR="004461DD" w:rsidRDefault="00F43799" w:rsidP="00F43799">
            <w:pPr>
              <w:numPr>
                <w:ilvl w:val="0"/>
                <w:numId w:val="8"/>
              </w:numPr>
            </w:pPr>
            <w:r w:rsidRPr="00140D47">
              <w:t>PSP</w:t>
            </w:r>
            <w:r w:rsidR="00533CCD" w:rsidRPr="00140D47">
              <w:t xml:space="preserve"> Recommendation Draft Versio</w:t>
            </w:r>
            <w:r w:rsidRPr="00140D47">
              <w:t xml:space="preserve">n 1.0 </w:t>
            </w:r>
            <w:r w:rsidR="004461DD">
              <w:t>finalized July 2019</w:t>
            </w:r>
          </w:p>
          <w:p w14:paraId="7C42DA7B" w14:textId="15EFEEFE" w:rsidR="00533CCD" w:rsidRPr="00140D47" w:rsidRDefault="00F43799" w:rsidP="00F43799">
            <w:pPr>
              <w:numPr>
                <w:ilvl w:val="0"/>
                <w:numId w:val="8"/>
              </w:numPr>
            </w:pPr>
            <w:r w:rsidRPr="00140D47">
              <w:t>V</w:t>
            </w:r>
            <w:r w:rsidR="006B0E03" w:rsidRPr="00140D47">
              <w:t>ersion 1.1</w:t>
            </w:r>
            <w:r w:rsidR="004461DD">
              <w:t xml:space="preserve"> has received comments and is being finalized by end of Jan 2020.</w:t>
            </w:r>
          </w:p>
          <w:p w14:paraId="0DA0F0F4" w14:textId="33180E86" w:rsidR="00E7092C" w:rsidRPr="00140D47" w:rsidRDefault="002C4896" w:rsidP="002C4896">
            <w:pPr>
              <w:numPr>
                <w:ilvl w:val="0"/>
                <w:numId w:val="8"/>
              </w:numPr>
            </w:pPr>
            <w:r>
              <w:t xml:space="preserve">Version 1.0 used for </w:t>
            </w:r>
            <w:r w:rsidR="00E7092C" w:rsidRPr="00140D47">
              <w:t>BC</w:t>
            </w:r>
            <w:r>
              <w:t xml:space="preserve"> assessment, January 2020.</w:t>
            </w:r>
          </w:p>
        </w:tc>
      </w:tr>
      <w:tr w:rsidR="00140D47" w:rsidRPr="00140D47" w14:paraId="04AC51FB" w14:textId="77777777" w:rsidTr="00CF4660">
        <w:trPr>
          <w:trHeight w:val="2690"/>
        </w:trPr>
        <w:tc>
          <w:tcPr>
            <w:tcW w:w="1710" w:type="dxa"/>
          </w:tcPr>
          <w:p w14:paraId="1F85B919" w14:textId="7EE9217C" w:rsidR="009E3651" w:rsidRPr="00140D47" w:rsidRDefault="009E3651" w:rsidP="005A4F86">
            <w:pPr>
              <w:rPr>
                <w:b/>
                <w:i/>
              </w:rPr>
            </w:pPr>
            <w:r w:rsidRPr="00140D47">
              <w:rPr>
                <w:b/>
                <w:i/>
              </w:rPr>
              <w:lastRenderedPageBreak/>
              <w:t>Similarities</w:t>
            </w:r>
          </w:p>
        </w:tc>
        <w:tc>
          <w:tcPr>
            <w:tcW w:w="7428" w:type="dxa"/>
            <w:gridSpan w:val="2"/>
          </w:tcPr>
          <w:p w14:paraId="61C72B43" w14:textId="47C27F15" w:rsidR="002C4896" w:rsidRDefault="002C4896" w:rsidP="004326B3">
            <w:pPr>
              <w:numPr>
                <w:ilvl w:val="0"/>
                <w:numId w:val="8"/>
              </w:numPr>
            </w:pPr>
            <w:r w:rsidRPr="00140D47">
              <w:t>Supports the creation of an interoperable, trusted digital identity that is recognised across Canada.</w:t>
            </w:r>
          </w:p>
          <w:p w14:paraId="7A957DCF" w14:textId="6B6BC228" w:rsidR="00F04800" w:rsidRPr="00140D47" w:rsidRDefault="00F04800" w:rsidP="006B0E03">
            <w:pPr>
              <w:numPr>
                <w:ilvl w:val="0"/>
                <w:numId w:val="8"/>
              </w:numPr>
            </w:pPr>
            <w:r w:rsidRPr="00140D47">
              <w:t>Based on prior work developed by the public sector dating back to 2007.</w:t>
            </w:r>
            <w:r w:rsidR="002C4896">
              <w:t xml:space="preserve"> Initial PCTF artifacts were produced by IMSC in 2015.</w:t>
            </w:r>
          </w:p>
          <w:p w14:paraId="28BD8867" w14:textId="2C6B3EBA" w:rsidR="006B0E03" w:rsidRPr="00140D47" w:rsidRDefault="006B0E03" w:rsidP="00717426">
            <w:pPr>
              <w:numPr>
                <w:ilvl w:val="0"/>
                <w:numId w:val="8"/>
              </w:numPr>
            </w:pPr>
            <w:r w:rsidRPr="00140D47">
              <w:t>Draw</w:t>
            </w:r>
            <w:r w:rsidR="0089033D" w:rsidRPr="00140D47">
              <w:t>s</w:t>
            </w:r>
            <w:r w:rsidRPr="00140D47">
              <w:t xml:space="preserve"> from the DIACC Pan-Canadian Trust Framework Overview (2016) </w:t>
            </w:r>
          </w:p>
          <w:p w14:paraId="79E35111" w14:textId="593E879D" w:rsidR="006B0E03" w:rsidRPr="00140D47" w:rsidRDefault="006B0E03" w:rsidP="006B0E03">
            <w:pPr>
              <w:numPr>
                <w:ilvl w:val="0"/>
                <w:numId w:val="8"/>
              </w:numPr>
            </w:pPr>
            <w:r w:rsidRPr="00140D47">
              <w:t>Focus on common principles, including but not limited to:</w:t>
            </w:r>
          </w:p>
          <w:p w14:paraId="5307FB99" w14:textId="27FDAFB0" w:rsidR="006B0E03" w:rsidRPr="00140D47" w:rsidRDefault="006B0E03" w:rsidP="00DB6199">
            <w:pPr>
              <w:pStyle w:val="ListParagraph"/>
              <w:numPr>
                <w:ilvl w:val="0"/>
                <w:numId w:val="15"/>
              </w:numPr>
            </w:pPr>
            <w:r w:rsidRPr="00140D47">
              <w:t>Implement, protect and enhance privacy by design;</w:t>
            </w:r>
          </w:p>
          <w:p w14:paraId="23DA00A5" w14:textId="4A49B70C" w:rsidR="006B0E03" w:rsidRPr="00140D47" w:rsidRDefault="006B0E03" w:rsidP="00DB6199">
            <w:pPr>
              <w:pStyle w:val="ListParagraph"/>
              <w:numPr>
                <w:ilvl w:val="0"/>
                <w:numId w:val="15"/>
              </w:numPr>
            </w:pPr>
            <w:r w:rsidRPr="00140D47">
              <w:t>Transparent in governance and operation;</w:t>
            </w:r>
          </w:p>
          <w:p w14:paraId="656C3EA6" w14:textId="09002579" w:rsidR="006B0E03" w:rsidRPr="00140D47" w:rsidRDefault="006B0E03" w:rsidP="00DB6199">
            <w:pPr>
              <w:pStyle w:val="ListParagraph"/>
              <w:numPr>
                <w:ilvl w:val="0"/>
                <w:numId w:val="15"/>
              </w:numPr>
            </w:pPr>
            <w:r w:rsidRPr="00140D47">
              <w:t>Provides Canadians choice, control and convenience.</w:t>
            </w:r>
          </w:p>
        </w:tc>
      </w:tr>
      <w:tr w:rsidR="00140D47" w:rsidRPr="00140D47" w14:paraId="2BEF9F37" w14:textId="77777777" w:rsidTr="004461DD">
        <w:trPr>
          <w:trHeight w:val="2948"/>
        </w:trPr>
        <w:tc>
          <w:tcPr>
            <w:tcW w:w="1710" w:type="dxa"/>
          </w:tcPr>
          <w:p w14:paraId="776BC9B9" w14:textId="42A1FF5A" w:rsidR="00717426" w:rsidRPr="00140D47" w:rsidRDefault="00717426" w:rsidP="005A4F86">
            <w:pPr>
              <w:rPr>
                <w:b/>
                <w:i/>
              </w:rPr>
            </w:pPr>
            <w:r w:rsidRPr="00140D47">
              <w:rPr>
                <w:b/>
                <w:i/>
              </w:rPr>
              <w:t>Differences</w:t>
            </w:r>
          </w:p>
        </w:tc>
        <w:tc>
          <w:tcPr>
            <w:tcW w:w="3510" w:type="dxa"/>
          </w:tcPr>
          <w:p w14:paraId="6D4B0AE2" w14:textId="77777777" w:rsidR="006B0E03" w:rsidRPr="00140D47" w:rsidRDefault="006B0E03" w:rsidP="00717426">
            <w:pPr>
              <w:numPr>
                <w:ilvl w:val="0"/>
                <w:numId w:val="8"/>
              </w:numPr>
            </w:pPr>
            <w:r w:rsidRPr="00140D47">
              <w:t>Greater focus on private sector needs</w:t>
            </w:r>
          </w:p>
          <w:p w14:paraId="227DFAB3" w14:textId="43DDF048" w:rsidR="00AB7B31" w:rsidRPr="00140D47" w:rsidRDefault="00AB7B31" w:rsidP="00717426">
            <w:pPr>
              <w:numPr>
                <w:ilvl w:val="0"/>
                <w:numId w:val="8"/>
              </w:numPr>
            </w:pPr>
            <w:r w:rsidRPr="00140D47">
              <w:t>Views digital ID as a commercial opportunity</w:t>
            </w:r>
          </w:p>
          <w:p w14:paraId="7D26B6FD" w14:textId="27ED0B04" w:rsidR="00717426" w:rsidRPr="00140D47" w:rsidRDefault="006B0E03" w:rsidP="00AB7B31">
            <w:pPr>
              <w:numPr>
                <w:ilvl w:val="0"/>
                <w:numId w:val="8"/>
              </w:numPr>
            </w:pPr>
            <w:r w:rsidRPr="00140D47">
              <w:t>Frames digital ID in terms of economic benefits (e.g. GDP growth</w:t>
            </w:r>
            <w:r w:rsidR="00AB7B31" w:rsidRPr="00140D47">
              <w:t>, return on investment</w:t>
            </w:r>
            <w:r w:rsidRPr="00140D47">
              <w:t>)</w:t>
            </w:r>
          </w:p>
        </w:tc>
        <w:tc>
          <w:tcPr>
            <w:tcW w:w="3918" w:type="dxa"/>
          </w:tcPr>
          <w:p w14:paraId="1A249528" w14:textId="5B331EE9" w:rsidR="006B0E03" w:rsidRPr="00140D47" w:rsidRDefault="00EE7EF8" w:rsidP="00620642">
            <w:pPr>
              <w:numPr>
                <w:ilvl w:val="0"/>
                <w:numId w:val="8"/>
              </w:numPr>
            </w:pPr>
            <w:r w:rsidRPr="00140D47">
              <w:t>Specific</w:t>
            </w:r>
            <w:r w:rsidR="006B0E03" w:rsidRPr="00140D47">
              <w:t xml:space="preserve"> focus on public sector needs</w:t>
            </w:r>
          </w:p>
          <w:p w14:paraId="3457DE7C" w14:textId="3B102BC8" w:rsidR="00AB7B31" w:rsidRPr="00140D47" w:rsidRDefault="00AB7B31" w:rsidP="00620642">
            <w:pPr>
              <w:numPr>
                <w:ilvl w:val="0"/>
                <w:numId w:val="8"/>
              </w:numPr>
            </w:pPr>
            <w:r w:rsidRPr="00140D47">
              <w:t>Views digital ID as a public policy initiative</w:t>
            </w:r>
          </w:p>
          <w:p w14:paraId="62ED639F" w14:textId="7F12430C" w:rsidR="00AB7B31" w:rsidRPr="00140D47" w:rsidRDefault="006B0E03" w:rsidP="00FC4BE9">
            <w:pPr>
              <w:numPr>
                <w:ilvl w:val="0"/>
                <w:numId w:val="8"/>
              </w:numPr>
            </w:pPr>
            <w:r w:rsidRPr="00140D47">
              <w:t>Frames digital ID in terms of publ</w:t>
            </w:r>
            <w:r w:rsidR="00FC4BE9" w:rsidRPr="00140D47">
              <w:t>ic benefits and priorities (i.e. simplified citizen access to federal services</w:t>
            </w:r>
            <w:r w:rsidRPr="00140D47">
              <w:t>)</w:t>
            </w:r>
          </w:p>
          <w:p w14:paraId="3B030A6C" w14:textId="13C73B32" w:rsidR="00620642" w:rsidRPr="00140D47" w:rsidRDefault="00620642" w:rsidP="00620642">
            <w:pPr>
              <w:numPr>
                <w:ilvl w:val="0"/>
                <w:numId w:val="8"/>
              </w:numPr>
            </w:pPr>
            <w:r w:rsidRPr="00140D47">
              <w:t>Includes lessons learned from MyAlbe</w:t>
            </w:r>
            <w:r w:rsidR="00AB7B31" w:rsidRPr="00140D47">
              <w:t>rta Digital Identity Assessment</w:t>
            </w:r>
          </w:p>
          <w:p w14:paraId="5147009E" w14:textId="3103A84A" w:rsidR="00717426" w:rsidRPr="00140D47" w:rsidRDefault="00620642" w:rsidP="00AB7B31">
            <w:pPr>
              <w:numPr>
                <w:ilvl w:val="0"/>
                <w:numId w:val="8"/>
              </w:numPr>
            </w:pPr>
            <w:r w:rsidRPr="00140D47">
              <w:t>Generalized to work in international contexts (</w:t>
            </w:r>
            <w:r w:rsidR="006B0E03" w:rsidRPr="00140D47">
              <w:t xml:space="preserve">EU, </w:t>
            </w:r>
            <w:r w:rsidRPr="00140D47">
              <w:t>World Bank</w:t>
            </w:r>
            <w:r w:rsidR="006B0E03" w:rsidRPr="00140D47">
              <w:t>,</w:t>
            </w:r>
            <w:r w:rsidRPr="00140D47">
              <w:t xml:space="preserve"> UNHCR).</w:t>
            </w:r>
          </w:p>
        </w:tc>
      </w:tr>
      <w:tr w:rsidR="008A223D" w:rsidRPr="00140D47" w14:paraId="12BF0A63" w14:textId="77777777" w:rsidTr="006A1F14">
        <w:trPr>
          <w:trHeight w:val="1992"/>
        </w:trPr>
        <w:tc>
          <w:tcPr>
            <w:tcW w:w="1710" w:type="dxa"/>
          </w:tcPr>
          <w:p w14:paraId="5BF9BCB9" w14:textId="4EF24512" w:rsidR="008A223D" w:rsidRPr="00140D47" w:rsidRDefault="008A223D" w:rsidP="005A4F86">
            <w:pPr>
              <w:rPr>
                <w:b/>
                <w:i/>
              </w:rPr>
            </w:pPr>
            <w:r w:rsidRPr="00140D47">
              <w:rPr>
                <w:b/>
                <w:i/>
              </w:rPr>
              <w:t xml:space="preserve">Way Forward </w:t>
            </w:r>
          </w:p>
        </w:tc>
        <w:tc>
          <w:tcPr>
            <w:tcW w:w="7428" w:type="dxa"/>
            <w:gridSpan w:val="2"/>
          </w:tcPr>
          <w:p w14:paraId="110E0ADA" w14:textId="1C0AF6A2" w:rsidR="000A4643" w:rsidRPr="000A4643" w:rsidRDefault="000A4643" w:rsidP="00C754C6">
            <w:pPr>
              <w:numPr>
                <w:ilvl w:val="0"/>
                <w:numId w:val="16"/>
              </w:numPr>
            </w:pPr>
            <w:r w:rsidRPr="000A4643">
              <w:rPr>
                <w:b/>
              </w:rPr>
              <w:t>PCTF Development</w:t>
            </w:r>
            <w:r>
              <w:t xml:space="preserve">:  Continue development via the </w:t>
            </w:r>
            <w:r w:rsidR="00966104">
              <w:t xml:space="preserve">IMSC </w:t>
            </w:r>
            <w:r>
              <w:t xml:space="preserve">PCTF Working Group, consulting additional stakeholders as required. </w:t>
            </w:r>
          </w:p>
          <w:p w14:paraId="2F360B95" w14:textId="6156CF75" w:rsidR="00C754C6" w:rsidRDefault="00A24161" w:rsidP="00C754C6">
            <w:pPr>
              <w:numPr>
                <w:ilvl w:val="0"/>
                <w:numId w:val="16"/>
              </w:numPr>
            </w:pPr>
            <w:r w:rsidRPr="00A24161">
              <w:rPr>
                <w:b/>
              </w:rPr>
              <w:t>PCTF Assessment Process:</w:t>
            </w:r>
            <w:r>
              <w:t xml:space="preserve"> Continue assessments with province and refine methodology. </w:t>
            </w:r>
          </w:p>
          <w:p w14:paraId="51041D04" w14:textId="6BA4564D" w:rsidR="002E216B" w:rsidRPr="00140D47" w:rsidRDefault="00966104" w:rsidP="00C754C6">
            <w:pPr>
              <w:numPr>
                <w:ilvl w:val="0"/>
                <w:numId w:val="16"/>
              </w:numPr>
            </w:pPr>
            <w:r>
              <w:rPr>
                <w:b/>
              </w:rPr>
              <w:t xml:space="preserve">IMSC </w:t>
            </w:r>
            <w:r w:rsidR="0055739F">
              <w:rPr>
                <w:b/>
              </w:rPr>
              <w:t xml:space="preserve">PCTF </w:t>
            </w:r>
            <w:r w:rsidR="000A4643" w:rsidRPr="000A4643">
              <w:rPr>
                <w:b/>
              </w:rPr>
              <w:t>Governance:</w:t>
            </w:r>
            <w:r w:rsidR="000A4643">
              <w:t xml:space="preserve"> W</w:t>
            </w:r>
            <w:r w:rsidR="00C754C6" w:rsidRPr="00140D47">
              <w:t>ay forward</w:t>
            </w:r>
            <w:r w:rsidR="00C754C6">
              <w:t xml:space="preserve"> will be </w:t>
            </w:r>
            <w:r w:rsidR="00C754C6" w:rsidRPr="00140D47">
              <w:t xml:space="preserve">based on </w:t>
            </w:r>
            <w:r w:rsidR="00C754C6">
              <w:t xml:space="preserve">outcome of the </w:t>
            </w:r>
            <w:r w:rsidR="00C754C6" w:rsidRPr="00CF4660">
              <w:rPr>
                <w:b/>
              </w:rPr>
              <w:t>Pan-Canadian Digital ID Proposal</w:t>
            </w:r>
            <w:r w:rsidR="00C754C6">
              <w:t xml:space="preserve"> that will </w:t>
            </w:r>
            <w:r w:rsidR="0055739F">
              <w:t>i</w:t>
            </w:r>
            <w:r w:rsidR="0055739F" w:rsidRPr="00140D47">
              <w:t>nclude</w:t>
            </w:r>
            <w:r w:rsidR="008A223D" w:rsidRPr="00140D47">
              <w:t xml:space="preserve"> recommendations outlining</w:t>
            </w:r>
            <w:r w:rsidR="006D0C85" w:rsidRPr="00140D47">
              <w:t xml:space="preserve"> the</w:t>
            </w:r>
            <w:r w:rsidR="008A223D" w:rsidRPr="00140D47">
              <w:t xml:space="preserve"> roles and responsibilities envisaged for a joint public and private sector digital identity forum</w:t>
            </w:r>
            <w:r w:rsidR="0055739F">
              <w:t>.</w:t>
            </w:r>
            <w:r w:rsidR="00232C27" w:rsidRPr="00140D47">
              <w:t xml:space="preserve"> </w:t>
            </w:r>
          </w:p>
          <w:p w14:paraId="5CDFDA1A" w14:textId="3A5405E4" w:rsidR="008A223D" w:rsidRPr="00140D47" w:rsidRDefault="008A223D" w:rsidP="008A223D">
            <w:pPr>
              <w:ind w:left="360"/>
            </w:pPr>
          </w:p>
        </w:tc>
      </w:tr>
    </w:tbl>
    <w:p w14:paraId="40ACA872" w14:textId="01AFDC8B" w:rsidR="00BF399C" w:rsidRPr="00140D47" w:rsidRDefault="00BF399C" w:rsidP="005A4F86">
      <w:pPr>
        <w:rPr>
          <w:b/>
        </w:rPr>
      </w:pPr>
      <w:bookmarkStart w:id="1" w:name="_MailEndCompose"/>
      <w:bookmarkEnd w:id="1"/>
    </w:p>
    <w:p w14:paraId="28FD6119" w14:textId="01E7B25E" w:rsidR="00BF399C" w:rsidRPr="00140D47" w:rsidRDefault="00BF399C" w:rsidP="00A120DB">
      <w:pPr>
        <w:spacing w:after="160" w:line="259" w:lineRule="auto"/>
        <w:rPr>
          <w:b/>
        </w:rPr>
      </w:pPr>
    </w:p>
    <w:sectPr w:rsidR="00BF399C" w:rsidRPr="00140D47" w:rsidSect="005A4F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FE995" w14:textId="77777777" w:rsidR="00CB45D8" w:rsidRDefault="00CB45D8" w:rsidP="005A4F86">
      <w:r>
        <w:separator/>
      </w:r>
    </w:p>
  </w:endnote>
  <w:endnote w:type="continuationSeparator" w:id="0">
    <w:p w14:paraId="5081C743" w14:textId="77777777" w:rsidR="00CB45D8" w:rsidRDefault="00CB45D8" w:rsidP="005A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4357200"/>
      <w:docPartObj>
        <w:docPartGallery w:val="Page Numbers (Bottom of Page)"/>
        <w:docPartUnique/>
      </w:docPartObj>
    </w:sdtPr>
    <w:sdtEndPr>
      <w:rPr>
        <w:color w:val="7F7F7F" w:themeColor="background1" w:themeShade="7F"/>
        <w:spacing w:val="60"/>
      </w:rPr>
    </w:sdtEndPr>
    <w:sdtContent>
      <w:p w14:paraId="556E186E" w14:textId="138BB849" w:rsidR="0002576E" w:rsidRDefault="000257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70D9" w:rsidRPr="009670D9">
          <w:rPr>
            <w:b/>
            <w:bCs/>
            <w:noProof/>
          </w:rPr>
          <w:t>2</w:t>
        </w:r>
        <w:r>
          <w:rPr>
            <w:b/>
            <w:bCs/>
            <w:noProof/>
          </w:rPr>
          <w:fldChar w:fldCharType="end"/>
        </w:r>
        <w:r>
          <w:rPr>
            <w:b/>
            <w:bCs/>
          </w:rPr>
          <w:t xml:space="preserve"> | </w:t>
        </w:r>
        <w:r>
          <w:rPr>
            <w:color w:val="7F7F7F" w:themeColor="background1" w:themeShade="7F"/>
            <w:spacing w:val="60"/>
          </w:rPr>
          <w:t>Page</w:t>
        </w:r>
      </w:p>
    </w:sdtContent>
  </w:sdt>
  <w:p w14:paraId="4C6EE5AE" w14:textId="77777777" w:rsidR="0002576E" w:rsidRDefault="000257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621357"/>
      <w:docPartObj>
        <w:docPartGallery w:val="Page Numbers (Bottom of Page)"/>
        <w:docPartUnique/>
      </w:docPartObj>
    </w:sdtPr>
    <w:sdtEndPr>
      <w:rPr>
        <w:color w:val="7F7F7F" w:themeColor="background1" w:themeShade="7F"/>
        <w:spacing w:val="60"/>
      </w:rPr>
    </w:sdtEndPr>
    <w:sdtContent>
      <w:p w14:paraId="691D529A" w14:textId="28ECA092" w:rsidR="00A120DB" w:rsidRDefault="00A120D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70D9" w:rsidRPr="009670D9">
          <w:rPr>
            <w:b/>
            <w:bCs/>
            <w:noProof/>
          </w:rPr>
          <w:t>3</w:t>
        </w:r>
        <w:r>
          <w:rPr>
            <w:b/>
            <w:bCs/>
            <w:noProof/>
          </w:rPr>
          <w:fldChar w:fldCharType="end"/>
        </w:r>
        <w:r>
          <w:rPr>
            <w:b/>
            <w:bCs/>
          </w:rPr>
          <w:t xml:space="preserve"> | </w:t>
        </w:r>
        <w:r>
          <w:rPr>
            <w:color w:val="7F7F7F" w:themeColor="background1" w:themeShade="7F"/>
            <w:spacing w:val="60"/>
          </w:rPr>
          <w:t>Page</w:t>
        </w:r>
      </w:p>
    </w:sdtContent>
  </w:sdt>
  <w:p w14:paraId="4A1FDB6F" w14:textId="77777777" w:rsidR="005A4F86" w:rsidRDefault="005A4F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723233"/>
      <w:docPartObj>
        <w:docPartGallery w:val="Page Numbers (Bottom of Page)"/>
        <w:docPartUnique/>
      </w:docPartObj>
    </w:sdtPr>
    <w:sdtEndPr>
      <w:rPr>
        <w:color w:val="7F7F7F" w:themeColor="background1" w:themeShade="7F"/>
        <w:spacing w:val="60"/>
      </w:rPr>
    </w:sdtEndPr>
    <w:sdtContent>
      <w:p w14:paraId="0F812EC5" w14:textId="1E68E633" w:rsidR="0002576E" w:rsidRDefault="000257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B2793" w:rsidRPr="005B2793">
          <w:rPr>
            <w:b/>
            <w:bCs/>
            <w:noProof/>
          </w:rPr>
          <w:t>1</w:t>
        </w:r>
        <w:r>
          <w:rPr>
            <w:b/>
            <w:bCs/>
            <w:noProof/>
          </w:rPr>
          <w:fldChar w:fldCharType="end"/>
        </w:r>
        <w:r>
          <w:rPr>
            <w:b/>
            <w:bCs/>
          </w:rPr>
          <w:t xml:space="preserve"> | </w:t>
        </w:r>
        <w:r>
          <w:rPr>
            <w:color w:val="7F7F7F" w:themeColor="background1" w:themeShade="7F"/>
            <w:spacing w:val="60"/>
          </w:rPr>
          <w:t>Page</w:t>
        </w:r>
      </w:p>
    </w:sdtContent>
  </w:sdt>
  <w:p w14:paraId="6DD7EBE2" w14:textId="77777777" w:rsidR="0002576E" w:rsidRDefault="000257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AAC86" w14:textId="77777777" w:rsidR="00CB45D8" w:rsidRDefault="00CB45D8" w:rsidP="005A4F86">
      <w:r>
        <w:separator/>
      </w:r>
    </w:p>
  </w:footnote>
  <w:footnote w:type="continuationSeparator" w:id="0">
    <w:p w14:paraId="61B63584" w14:textId="77777777" w:rsidR="00CB45D8" w:rsidRDefault="00CB45D8" w:rsidP="005A4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F53A0" w14:textId="77777777" w:rsidR="005A4F86" w:rsidRDefault="005A4F86" w:rsidP="005A4F86">
    <w:pPr>
      <w:pStyle w:val="Header"/>
    </w:pPr>
    <w:bookmarkStart w:id="2" w:name="TITUS1HeaderEvenPages"/>
  </w:p>
  <w:bookmarkEnd w:id="2"/>
  <w:p w14:paraId="5FC7EE86" w14:textId="77777777" w:rsidR="005A4F86" w:rsidRDefault="005A4F86" w:rsidP="005A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149F5" w14:textId="77777777" w:rsidR="005A4F86" w:rsidRDefault="005A4F86" w:rsidP="005A4F86">
    <w:pPr>
      <w:pStyle w:val="Header"/>
    </w:pPr>
    <w:bookmarkStart w:id="3" w:name="TITUS1HeaderPrimary"/>
  </w:p>
  <w:bookmarkEnd w:id="3"/>
  <w:p w14:paraId="3B3F18C4" w14:textId="77777777" w:rsidR="005A4F86" w:rsidRDefault="005A4F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CF05C" w14:textId="77777777" w:rsidR="005A4F86" w:rsidRDefault="005A4F86" w:rsidP="005A4F86">
    <w:pPr>
      <w:pStyle w:val="Header"/>
    </w:pPr>
    <w:bookmarkStart w:id="4" w:name="TITUS1HeaderFirstPage"/>
  </w:p>
  <w:bookmarkEnd w:id="4"/>
  <w:p w14:paraId="213DF821" w14:textId="77777777" w:rsidR="005A4F86" w:rsidRDefault="005A4F86" w:rsidP="005A4F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4730"/>
    <w:multiLevelType w:val="hybridMultilevel"/>
    <w:tmpl w:val="6A6E62C8"/>
    <w:lvl w:ilvl="0" w:tplc="5082F2C0">
      <w:start w:val="1"/>
      <w:numFmt w:val="decimal"/>
      <w:lvlText w:val="%1)"/>
      <w:lvlJc w:val="left"/>
      <w:pPr>
        <w:ind w:left="720" w:hanging="36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307CF9"/>
    <w:multiLevelType w:val="hybridMultilevel"/>
    <w:tmpl w:val="0BC4E080"/>
    <w:lvl w:ilvl="0" w:tplc="355443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A40205"/>
    <w:multiLevelType w:val="hybridMultilevel"/>
    <w:tmpl w:val="2E0A83DA"/>
    <w:lvl w:ilvl="0" w:tplc="F44EF58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2533AD"/>
    <w:multiLevelType w:val="hybridMultilevel"/>
    <w:tmpl w:val="BE02D7E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501093C"/>
    <w:multiLevelType w:val="hybridMultilevel"/>
    <w:tmpl w:val="4412E6A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678309A"/>
    <w:multiLevelType w:val="hybridMultilevel"/>
    <w:tmpl w:val="92880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CD70931"/>
    <w:multiLevelType w:val="hybridMultilevel"/>
    <w:tmpl w:val="C09EE39A"/>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C8241EE"/>
    <w:multiLevelType w:val="hybridMultilevel"/>
    <w:tmpl w:val="12A8FC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F5E5FDA"/>
    <w:multiLevelType w:val="hybridMultilevel"/>
    <w:tmpl w:val="1EB2FCE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2D74B4"/>
    <w:multiLevelType w:val="hybridMultilevel"/>
    <w:tmpl w:val="C2FAADB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3">
      <w:start w:val="1"/>
      <w:numFmt w:val="bullet"/>
      <w:lvlText w:val="o"/>
      <w:lvlJc w:val="left"/>
      <w:pPr>
        <w:ind w:left="1210" w:hanging="360"/>
      </w:pPr>
      <w:rPr>
        <w:rFonts w:ascii="Courier New" w:hAnsi="Courier New" w:cs="Courier New"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3AB869E0"/>
    <w:multiLevelType w:val="hybridMultilevel"/>
    <w:tmpl w:val="FA204F0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3914DCC"/>
    <w:multiLevelType w:val="hybridMultilevel"/>
    <w:tmpl w:val="A9941E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53738B"/>
    <w:multiLevelType w:val="hybridMultilevel"/>
    <w:tmpl w:val="E438F2B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207349"/>
    <w:multiLevelType w:val="hybridMultilevel"/>
    <w:tmpl w:val="76203F9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53424E19"/>
    <w:multiLevelType w:val="hybridMultilevel"/>
    <w:tmpl w:val="FC76DF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6FD6131"/>
    <w:multiLevelType w:val="hybridMultilevel"/>
    <w:tmpl w:val="5BE622A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8E333AD"/>
    <w:multiLevelType w:val="hybridMultilevel"/>
    <w:tmpl w:val="E90628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6814BC"/>
    <w:multiLevelType w:val="hybridMultilevel"/>
    <w:tmpl w:val="6CC64B0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5FDC4B21"/>
    <w:multiLevelType w:val="hybridMultilevel"/>
    <w:tmpl w:val="DDEAE2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6B074ACB"/>
    <w:multiLevelType w:val="hybridMultilevel"/>
    <w:tmpl w:val="413E5EA8"/>
    <w:lvl w:ilvl="0" w:tplc="1978666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2840070"/>
    <w:multiLevelType w:val="hybridMultilevel"/>
    <w:tmpl w:val="F67C78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7"/>
  </w:num>
  <w:num w:numId="2">
    <w:abstractNumId w:val="14"/>
  </w:num>
  <w:num w:numId="3">
    <w:abstractNumId w:val="18"/>
  </w:num>
  <w:num w:numId="4">
    <w:abstractNumId w:val="6"/>
  </w:num>
  <w:num w:numId="5">
    <w:abstractNumId w:val="3"/>
  </w:num>
  <w:num w:numId="6">
    <w:abstractNumId w:val="16"/>
  </w:num>
  <w:num w:numId="7">
    <w:abstractNumId w:val="15"/>
  </w:num>
  <w:num w:numId="8">
    <w:abstractNumId w:val="10"/>
  </w:num>
  <w:num w:numId="9">
    <w:abstractNumId w:val="19"/>
  </w:num>
  <w:num w:numId="10">
    <w:abstractNumId w:val="11"/>
  </w:num>
  <w:num w:numId="11">
    <w:abstractNumId w:val="1"/>
  </w:num>
  <w:num w:numId="12">
    <w:abstractNumId w:val="4"/>
  </w:num>
  <w:num w:numId="13">
    <w:abstractNumId w:val="8"/>
  </w:num>
  <w:num w:numId="14">
    <w:abstractNumId w:val="2"/>
  </w:num>
  <w:num w:numId="15">
    <w:abstractNumId w:val="12"/>
  </w:num>
  <w:num w:numId="16">
    <w:abstractNumId w:val="9"/>
  </w:num>
  <w:num w:numId="17">
    <w:abstractNumId w:val="17"/>
  </w:num>
  <w:num w:numId="18">
    <w:abstractNumId w:val="13"/>
  </w:num>
  <w:num w:numId="19">
    <w:abstractNumId w:val="20"/>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86"/>
    <w:rsid w:val="0002576E"/>
    <w:rsid w:val="00036388"/>
    <w:rsid w:val="0006783F"/>
    <w:rsid w:val="00080A5D"/>
    <w:rsid w:val="000A4643"/>
    <w:rsid w:val="000F118D"/>
    <w:rsid w:val="000F36D1"/>
    <w:rsid w:val="001075D5"/>
    <w:rsid w:val="00140D47"/>
    <w:rsid w:val="001564BD"/>
    <w:rsid w:val="001830DF"/>
    <w:rsid w:val="001A5379"/>
    <w:rsid w:val="001E3F1C"/>
    <w:rsid w:val="001F380E"/>
    <w:rsid w:val="00205F7A"/>
    <w:rsid w:val="002220D8"/>
    <w:rsid w:val="00232C27"/>
    <w:rsid w:val="0026779F"/>
    <w:rsid w:val="002A5464"/>
    <w:rsid w:val="002B0264"/>
    <w:rsid w:val="002B5EB8"/>
    <w:rsid w:val="002C4896"/>
    <w:rsid w:val="002D59B7"/>
    <w:rsid w:val="002E216B"/>
    <w:rsid w:val="002F0AAA"/>
    <w:rsid w:val="002F68B6"/>
    <w:rsid w:val="003070D6"/>
    <w:rsid w:val="00345466"/>
    <w:rsid w:val="003569E7"/>
    <w:rsid w:val="00373439"/>
    <w:rsid w:val="0039641B"/>
    <w:rsid w:val="003A33A7"/>
    <w:rsid w:val="003B781D"/>
    <w:rsid w:val="003C4417"/>
    <w:rsid w:val="003D3FD1"/>
    <w:rsid w:val="003E11FF"/>
    <w:rsid w:val="00402C0E"/>
    <w:rsid w:val="004030C9"/>
    <w:rsid w:val="00406D7B"/>
    <w:rsid w:val="004461DD"/>
    <w:rsid w:val="004B1566"/>
    <w:rsid w:val="004D1EB6"/>
    <w:rsid w:val="005312E1"/>
    <w:rsid w:val="00533CCD"/>
    <w:rsid w:val="00535B7D"/>
    <w:rsid w:val="0055739F"/>
    <w:rsid w:val="00564284"/>
    <w:rsid w:val="005948FE"/>
    <w:rsid w:val="005A4F86"/>
    <w:rsid w:val="005B2793"/>
    <w:rsid w:val="005C4EAD"/>
    <w:rsid w:val="005C523A"/>
    <w:rsid w:val="005E3E5B"/>
    <w:rsid w:val="00620642"/>
    <w:rsid w:val="0064267E"/>
    <w:rsid w:val="0067699A"/>
    <w:rsid w:val="00684802"/>
    <w:rsid w:val="00685B0D"/>
    <w:rsid w:val="006A1F14"/>
    <w:rsid w:val="006A7C21"/>
    <w:rsid w:val="006B0E03"/>
    <w:rsid w:val="006D0C85"/>
    <w:rsid w:val="00717426"/>
    <w:rsid w:val="0072274E"/>
    <w:rsid w:val="00731761"/>
    <w:rsid w:val="00753F8D"/>
    <w:rsid w:val="00791F3D"/>
    <w:rsid w:val="0079493A"/>
    <w:rsid w:val="008441A0"/>
    <w:rsid w:val="00886A22"/>
    <w:rsid w:val="00887876"/>
    <w:rsid w:val="0089033D"/>
    <w:rsid w:val="00895180"/>
    <w:rsid w:val="008A223D"/>
    <w:rsid w:val="008C1A37"/>
    <w:rsid w:val="008E1352"/>
    <w:rsid w:val="008E4413"/>
    <w:rsid w:val="00912575"/>
    <w:rsid w:val="00925737"/>
    <w:rsid w:val="00966104"/>
    <w:rsid w:val="009670D9"/>
    <w:rsid w:val="009D6516"/>
    <w:rsid w:val="009E2F38"/>
    <w:rsid w:val="009E3651"/>
    <w:rsid w:val="009F3280"/>
    <w:rsid w:val="00A0615F"/>
    <w:rsid w:val="00A120DB"/>
    <w:rsid w:val="00A24161"/>
    <w:rsid w:val="00A30B2E"/>
    <w:rsid w:val="00A31A4C"/>
    <w:rsid w:val="00AB7B31"/>
    <w:rsid w:val="00AC7E8A"/>
    <w:rsid w:val="00AE036A"/>
    <w:rsid w:val="00B017AA"/>
    <w:rsid w:val="00B03D14"/>
    <w:rsid w:val="00B15B91"/>
    <w:rsid w:val="00B21D64"/>
    <w:rsid w:val="00B23268"/>
    <w:rsid w:val="00B34B8C"/>
    <w:rsid w:val="00B35458"/>
    <w:rsid w:val="00B615E4"/>
    <w:rsid w:val="00B64C8B"/>
    <w:rsid w:val="00BA5503"/>
    <w:rsid w:val="00BD127E"/>
    <w:rsid w:val="00BF399C"/>
    <w:rsid w:val="00BF4D42"/>
    <w:rsid w:val="00C00985"/>
    <w:rsid w:val="00C15216"/>
    <w:rsid w:val="00C728BB"/>
    <w:rsid w:val="00C754C6"/>
    <w:rsid w:val="00C81C5E"/>
    <w:rsid w:val="00C86C43"/>
    <w:rsid w:val="00CA24EE"/>
    <w:rsid w:val="00CB45D8"/>
    <w:rsid w:val="00CE1AEE"/>
    <w:rsid w:val="00CF4660"/>
    <w:rsid w:val="00D27F19"/>
    <w:rsid w:val="00D4548F"/>
    <w:rsid w:val="00D57AC6"/>
    <w:rsid w:val="00D931FE"/>
    <w:rsid w:val="00D93FB2"/>
    <w:rsid w:val="00DB6199"/>
    <w:rsid w:val="00DC6AA9"/>
    <w:rsid w:val="00DF44BF"/>
    <w:rsid w:val="00DF4C16"/>
    <w:rsid w:val="00E024B7"/>
    <w:rsid w:val="00E0342C"/>
    <w:rsid w:val="00E10064"/>
    <w:rsid w:val="00E156C3"/>
    <w:rsid w:val="00E4121C"/>
    <w:rsid w:val="00E7092C"/>
    <w:rsid w:val="00E860C1"/>
    <w:rsid w:val="00EC1E6A"/>
    <w:rsid w:val="00ED5447"/>
    <w:rsid w:val="00EE7EF8"/>
    <w:rsid w:val="00F04800"/>
    <w:rsid w:val="00F104E5"/>
    <w:rsid w:val="00F24619"/>
    <w:rsid w:val="00F43799"/>
    <w:rsid w:val="00F726A0"/>
    <w:rsid w:val="00F97E54"/>
    <w:rsid w:val="00FA1686"/>
    <w:rsid w:val="00FC4BE9"/>
    <w:rsid w:val="00FD4B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E09A"/>
  <w15:chartTrackingRefBased/>
  <w15:docId w15:val="{1E39F92E-593D-435D-967F-A3AEC8AF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F8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21D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23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F86"/>
    <w:pPr>
      <w:tabs>
        <w:tab w:val="center" w:pos="4680"/>
        <w:tab w:val="right" w:pos="9360"/>
      </w:tabs>
    </w:pPr>
  </w:style>
  <w:style w:type="character" w:customStyle="1" w:styleId="HeaderChar">
    <w:name w:val="Header Char"/>
    <w:basedOn w:val="DefaultParagraphFont"/>
    <w:link w:val="Header"/>
    <w:uiPriority w:val="99"/>
    <w:rsid w:val="005A4F86"/>
    <w:rPr>
      <w:rFonts w:ascii="Calibri" w:hAnsi="Calibri" w:cs="Times New Roman"/>
    </w:rPr>
  </w:style>
  <w:style w:type="paragraph" w:styleId="Footer">
    <w:name w:val="footer"/>
    <w:basedOn w:val="Normal"/>
    <w:link w:val="FooterChar"/>
    <w:uiPriority w:val="99"/>
    <w:unhideWhenUsed/>
    <w:rsid w:val="005A4F86"/>
    <w:pPr>
      <w:tabs>
        <w:tab w:val="center" w:pos="4680"/>
        <w:tab w:val="right" w:pos="9360"/>
      </w:tabs>
    </w:pPr>
  </w:style>
  <w:style w:type="character" w:customStyle="1" w:styleId="FooterChar">
    <w:name w:val="Footer Char"/>
    <w:basedOn w:val="DefaultParagraphFont"/>
    <w:link w:val="Footer"/>
    <w:uiPriority w:val="99"/>
    <w:rsid w:val="005A4F86"/>
    <w:rPr>
      <w:rFonts w:ascii="Calibri" w:hAnsi="Calibri" w:cs="Times New Roman"/>
    </w:rPr>
  </w:style>
  <w:style w:type="character" w:styleId="CommentReference">
    <w:name w:val="annotation reference"/>
    <w:basedOn w:val="DefaultParagraphFont"/>
    <w:uiPriority w:val="99"/>
    <w:semiHidden/>
    <w:unhideWhenUsed/>
    <w:rsid w:val="00B23268"/>
    <w:rPr>
      <w:sz w:val="16"/>
      <w:szCs w:val="16"/>
    </w:rPr>
  </w:style>
  <w:style w:type="paragraph" w:styleId="CommentText">
    <w:name w:val="annotation text"/>
    <w:basedOn w:val="Normal"/>
    <w:link w:val="CommentTextChar"/>
    <w:uiPriority w:val="99"/>
    <w:semiHidden/>
    <w:unhideWhenUsed/>
    <w:rsid w:val="00B23268"/>
    <w:rPr>
      <w:sz w:val="20"/>
      <w:szCs w:val="20"/>
    </w:rPr>
  </w:style>
  <w:style w:type="character" w:customStyle="1" w:styleId="CommentTextChar">
    <w:name w:val="Comment Text Char"/>
    <w:basedOn w:val="DefaultParagraphFont"/>
    <w:link w:val="CommentText"/>
    <w:uiPriority w:val="99"/>
    <w:semiHidden/>
    <w:rsid w:val="00B2326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B23268"/>
    <w:rPr>
      <w:b/>
      <w:bCs/>
    </w:rPr>
  </w:style>
  <w:style w:type="character" w:customStyle="1" w:styleId="CommentSubjectChar">
    <w:name w:val="Comment Subject Char"/>
    <w:basedOn w:val="CommentTextChar"/>
    <w:link w:val="CommentSubject"/>
    <w:uiPriority w:val="99"/>
    <w:semiHidden/>
    <w:rsid w:val="00B23268"/>
    <w:rPr>
      <w:rFonts w:ascii="Calibri" w:hAnsi="Calibri" w:cs="Times New Roman"/>
      <w:b/>
      <w:bCs/>
      <w:sz w:val="20"/>
      <w:szCs w:val="20"/>
    </w:rPr>
  </w:style>
  <w:style w:type="paragraph" w:styleId="BalloonText">
    <w:name w:val="Balloon Text"/>
    <w:basedOn w:val="Normal"/>
    <w:link w:val="BalloonTextChar"/>
    <w:uiPriority w:val="99"/>
    <w:semiHidden/>
    <w:unhideWhenUsed/>
    <w:rsid w:val="00B232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268"/>
    <w:rPr>
      <w:rFonts w:ascii="Segoe UI" w:hAnsi="Segoe UI" w:cs="Segoe UI"/>
      <w:sz w:val="18"/>
      <w:szCs w:val="18"/>
    </w:rPr>
  </w:style>
  <w:style w:type="table" w:styleId="TableGrid">
    <w:name w:val="Table Grid"/>
    <w:basedOn w:val="TableNormal"/>
    <w:uiPriority w:val="39"/>
    <w:rsid w:val="006A7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5180"/>
    <w:rPr>
      <w:color w:val="0563C1" w:themeColor="hyperlink"/>
      <w:u w:val="single"/>
    </w:rPr>
  </w:style>
  <w:style w:type="character" w:customStyle="1" w:styleId="Heading1Char">
    <w:name w:val="Heading 1 Char"/>
    <w:basedOn w:val="DefaultParagraphFont"/>
    <w:link w:val="Heading1"/>
    <w:uiPriority w:val="9"/>
    <w:rsid w:val="00B21D6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31761"/>
    <w:rPr>
      <w:color w:val="954F72" w:themeColor="followedHyperlink"/>
      <w:u w:val="single"/>
    </w:rPr>
  </w:style>
  <w:style w:type="character" w:customStyle="1" w:styleId="Heading2Char">
    <w:name w:val="Heading 2 Char"/>
    <w:basedOn w:val="DefaultParagraphFont"/>
    <w:link w:val="Heading2"/>
    <w:uiPriority w:val="9"/>
    <w:rsid w:val="005C523A"/>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791F3D"/>
    <w:pPr>
      <w:spacing w:after="0" w:line="240" w:lineRule="auto"/>
    </w:pPr>
    <w:rPr>
      <w:rFonts w:ascii="Calibri" w:hAnsi="Calibri" w:cs="Times New Roman"/>
    </w:rPr>
  </w:style>
  <w:style w:type="paragraph" w:styleId="ListParagraph">
    <w:name w:val="List Paragraph"/>
    <w:basedOn w:val="Normal"/>
    <w:uiPriority w:val="34"/>
    <w:qFormat/>
    <w:rsid w:val="00CA2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59475-0982-4DA3-8FD8-0A5E7D406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Pages>
  <Words>916</Words>
  <Characters>5363</Characters>
  <Application>Microsoft Office Word</Application>
  <DocSecurity>0</DocSecurity>
  <Lines>137</Lines>
  <Paragraphs>56</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Bouma, Tim</cp:lastModifiedBy>
  <cp:revision>28</cp:revision>
  <dcterms:created xsi:type="dcterms:W3CDTF">2020-01-16T19:23:00Z</dcterms:created>
  <dcterms:modified xsi:type="dcterms:W3CDTF">2020-01-30T15:08:00Z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7c3fbdeb-7490-481e-9cb5-34e4c36cf134</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