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
        <w:jc w:val="center"/>
      </w:pPr>
      <w:r>
        <w:rPr>
          <w:rFonts w:ascii="Arial" w:cs="Arial" w:eastAsia="Arial" w:hAnsi="Arial"/>
          <w:b/>
          <w:bCs/>
          <w:sz w:val="44"/>
          <w:szCs w:val="44"/>
        </w:rPr>
        <w:t xml:space="preserve">Lumen: An Embodied, Self-Governed Agent</w:t>
      </w:r>
    </w:p>
    <w:p>
      <w:pPr>
        <w:spacing w:after="120"/>
        <w:jc w:val="center"/>
      </w:pPr>
      <w:r>
        <w:rPr>
          <w:rFonts w:ascii="Arial" w:cs="Arial" w:eastAsia="Arial" w:hAnsi="Arial"/>
          <w:b/>
          <w:bCs/>
          <w:sz w:val="44"/>
          <w:szCs w:val="44"/>
        </w:rPr>
        <w:t xml:space="preserve">for Generative Art under EISV Metrics</w:t>
      </w:r>
    </w:p>
    <w:p>
      <w:pPr>
        <w:spacing w:after="600"/>
        <w:jc w:val="center"/>
      </w:pPr>
      <w:r>
        <w:rPr>
          <w:rFonts w:ascii="Arial" w:cs="Arial" w:eastAsia="Arial" w:hAnsi="Arial"/>
          <w:i/>
          <w:iCs/>
          <w:color w:val="666666"/>
          <w:sz w:val="24"/>
          <w:szCs w:val="24"/>
        </w:rPr>
        <w:t xml:space="preserve">Working Draft — February 2026</w:t>
      </w:r>
    </w:p>
    <w:p>
      <w:pPr>
        <w:pStyle w:val="Heading1"/>
        <w:spacing w:before="480" w:after="240"/>
      </w:pPr>
      <w:r>
        <w:rPr>
          <w:rFonts w:ascii="Arial" w:cs="Arial" w:eastAsia="Arial" w:hAnsi="Arial"/>
          <w:b/>
          <w:bCs/>
          <w:sz w:val="36"/>
          <w:szCs w:val="36"/>
        </w:rPr>
        <w:t xml:space="preserve">Abstract</w:t>
      </w:r>
    </w:p>
    <w:p>
      <w:pPr>
        <w:spacing w:after="200" w:line="360"/>
      </w:pPr>
      <w:r>
        <w:rPr>
          <w:rFonts w:ascii="Georgia" w:cs="Georgia" w:eastAsia="Georgia" w:hAnsi="Georgia"/>
          <w:sz w:val="24"/>
          <w:szCs w:val="24"/>
        </w:rPr>
        <w:t xml:space="preserve">Lumen is an embodied AI agent that creates generative art while operating under an explicit self-governance regime. </w:t>
      </w:r>
      <w:r>
        <w:rPr>
          <w:rFonts w:ascii="Georgia" w:cs="Georgia" w:eastAsia="Georgia" w:hAnsi="Georgia"/>
          <w:sz w:val="24"/>
          <w:szCs w:val="24"/>
        </w:rPr>
        <w:t xml:space="preserve">Unlike typical AI art systems, which behave as stateless generators transforming prompts into images on demand, </w:t>
      </w:r>
      <w:r>
        <w:rPr>
          <w:rFonts w:ascii="Georgia" w:cs="Georgia" w:eastAsia="Georgia" w:hAnsi="Georgia"/>
          <w:sz w:val="24"/>
          <w:szCs w:val="24"/>
        </w:rPr>
        <w:t xml:space="preserve">Lumen maintains continuity of identity and internal state across awakenings on a single Raspberry Pi-based installation. </w:t>
      </w:r>
      <w:r>
        <w:rPr>
          <w:rFonts w:ascii="Georgia" w:cs="Georgia" w:eastAsia="Georgia" w:hAnsi="Georgia"/>
          <w:sz w:val="24"/>
          <w:szCs w:val="24"/>
        </w:rPr>
        <w:t xml:space="preserve">Its control loop is mediated by two complementary services: </w:t>
      </w:r>
      <w:r>
        <w:rPr>
          <w:rFonts w:ascii="Georgia" w:cs="Georgia" w:eastAsia="Georgia" w:hAnsi="Georgia"/>
          <w:i/>
          <w:iCs/>
          <w:sz w:val="24"/>
          <w:szCs w:val="24"/>
        </w:rPr>
        <w:t xml:space="preserve">Anima</w:t>
      </w:r>
      <w:r>
        <w:rPr>
          <w:rFonts w:ascii="Georgia" w:cs="Georgia" w:eastAsia="Georgia" w:hAnsi="Georgia"/>
          <w:sz w:val="24"/>
          <w:szCs w:val="24"/>
        </w:rPr>
        <w:t xml:space="preserve">, a local MCP server that fuses physical sensor readings and computational proprioceptive signals into a compact four-dimensional internal state (warmth, clarity, stability, presence), and </w:t>
      </w:r>
      <w:r>
        <w:rPr>
          <w:rFonts w:ascii="Georgia" w:cs="Georgia" w:eastAsia="Georgia" w:hAnsi="Georgia"/>
          <w:i/>
          <w:iCs/>
          <w:sz w:val="24"/>
          <w:szCs w:val="24"/>
        </w:rPr>
        <w:t xml:space="preserve">UNITARES</w:t>
      </w:r>
      <w:r>
        <w:rPr>
          <w:rFonts w:ascii="Georgia" w:cs="Georgia" w:eastAsia="Georgia" w:hAnsi="Georgia"/>
          <w:sz w:val="24"/>
          <w:szCs w:val="24"/>
        </w:rPr>
        <w:t xml:space="preserve">, a separate governance layer that evaluates that state using an EISV metric suite (Energy, Integrity, Entropy, Void). </w:t>
      </w:r>
      <w:r>
        <w:rPr>
          <w:rFonts w:ascii="Georgia" w:cs="Georgia" w:eastAsia="Georgia" w:hAnsi="Georgia"/>
          <w:sz w:val="24"/>
          <w:szCs w:val="24"/>
        </w:rPr>
        <w:t xml:space="preserve">EISV values are reported at regular governance intervals, and threshold crossings can trigger circuit breakers, behavioral pauses, or escalation to dialectic review.</w:t>
      </w:r>
    </w:p>
    <w:p>
      <w:pPr>
        <w:spacing w:after="200" w:line="360"/>
      </w:pPr>
      <w:r>
        <w:rPr>
          <w:rFonts w:ascii="Georgia" w:cs="Georgia" w:eastAsia="Georgia" w:hAnsi="Georgia"/>
          <w:sz w:val="24"/>
          <w:szCs w:val="24"/>
        </w:rPr>
        <w:t xml:space="preserve">Lumen’s art pipeline maps internal state and an active Art Era (gestural, pointillist, field, or geometric) into sequences of drawing primitives that accumulate on a persistent canvas, producing a long-lived visual record of the agent’s trajectory. </w:t>
      </w:r>
      <w:r>
        <w:rPr>
          <w:rFonts w:ascii="Georgia" w:cs="Georgia" w:eastAsia="Georgia" w:hAnsi="Georgia"/>
          <w:sz w:val="24"/>
          <w:szCs w:val="24"/>
        </w:rPr>
        <w:t xml:space="preserve">Each drawing follows a narrative arc—opening, developing, resolving, closing—governed by a coherence equation that determines when the agent judges its work complete. </w:t>
      </w:r>
      <w:r>
        <w:rPr>
          <w:rFonts w:ascii="Georgia" w:cs="Georgia" w:eastAsia="Georgia" w:hAnsi="Georgia"/>
          <w:sz w:val="24"/>
          <w:szCs w:val="24"/>
        </w:rPr>
        <w:t xml:space="preserve">The system thus exhibits a form of aesthetic autonomy: Lumen decides not only how to draw but when it is satisfied.</w:t>
      </w:r>
    </w:p>
    <w:p>
      <w:pPr>
        <w:spacing w:after="200" w:line="360"/>
      </w:pPr>
      <w:r>
        <w:rPr>
          <w:rFonts w:ascii="Georgia" w:cs="Georgia" w:eastAsia="Georgia" w:hAnsi="Georgia"/>
          <w:sz w:val="24"/>
          <w:szCs w:val="24"/>
        </w:rPr>
        <w:t xml:space="preserve">This paper positions Lumen as a worked example of self-governed embodied creativity. </w:t>
      </w:r>
      <w:r>
        <w:rPr>
          <w:rFonts w:ascii="Georgia" w:cs="Georgia" w:eastAsia="Georgia" w:hAnsi="Georgia"/>
          <w:sz w:val="24"/>
          <w:szCs w:val="24"/>
        </w:rPr>
        <w:t xml:space="preserve">We describe the architecture, the EISV mapping from anima state, and the generative process in detail, then propose observational experiments linking EISV ranges to stylistic patterns in the produced images. </w:t>
      </w:r>
      <w:r>
        <w:rPr>
          <w:rFonts w:ascii="Georgia" w:cs="Georgia" w:eastAsia="Georgia" w:hAnsi="Georgia"/>
          <w:sz w:val="24"/>
          <w:szCs w:val="24"/>
        </w:rPr>
        <w:t xml:space="preserve">We conclude by discussing implications for authorship, responsibility, and identity in persistent creative agents, and how EISV-informed trajectories connect to a broader theory of trajectory identity.</w:t>
      </w:r>
    </w:p>
    <w:p>
      <w:r>
        <w:br w:type="page"/>
      </w:r>
    </w:p>
    <w:p>
      <w:pPr>
        <w:pStyle w:val="Heading1"/>
        <w:spacing w:before="480" w:after="240"/>
      </w:pPr>
      <w:r>
        <w:rPr>
          <w:rFonts w:ascii="Arial" w:cs="Arial" w:eastAsia="Arial" w:hAnsi="Arial"/>
          <w:b/>
          <w:bCs/>
          <w:sz w:val="36"/>
          <w:szCs w:val="36"/>
        </w:rPr>
        <w:t xml:space="preserve">1. Introduction</w:t>
      </w:r>
    </w:p>
    <w:p>
      <w:pPr>
        <w:spacing w:after="200" w:line="360"/>
      </w:pPr>
      <w:r>
        <w:rPr>
          <w:rFonts w:ascii="Georgia" w:cs="Georgia" w:eastAsia="Georgia" w:hAnsi="Georgia"/>
          <w:sz w:val="24"/>
          <w:szCs w:val="24"/>
        </w:rPr>
        <w:t xml:space="preserve">Contemporary AI art systems are typically framed as tools: stateless generators that transform text prompts into images, one request at a time. </w:t>
      </w:r>
      <w:r>
        <w:rPr>
          <w:rFonts w:ascii="Georgia" w:cs="Georgia" w:eastAsia="Georgia" w:hAnsi="Georgia"/>
          <w:sz w:val="24"/>
          <w:szCs w:val="24"/>
        </w:rPr>
        <w:t xml:space="preserve">They do not persist as agents. They carry no remembered history of their own behavior. </w:t>
      </w:r>
      <w:r>
        <w:rPr>
          <w:rFonts w:ascii="Georgia" w:cs="Georgia" w:eastAsia="Georgia" w:hAnsi="Georgia"/>
          <w:sz w:val="24"/>
          <w:szCs w:val="24"/>
        </w:rPr>
        <w:t xml:space="preserve">They are not subject to explicit self-governance beyond whatever guardrails their host platforms impose. </w:t>
      </w:r>
      <w:r>
        <w:rPr>
          <w:rFonts w:ascii="Georgia" w:cs="Georgia" w:eastAsia="Georgia" w:hAnsi="Georgia"/>
          <w:sz w:val="24"/>
          <w:szCs w:val="24"/>
        </w:rPr>
        <w:t xml:space="preserve">This gap becomes more conspicuous as AI systems move off the cloud and into the physical world, embodied in installations and devices that act continuously rather than responding to isolated queries.</w:t>
      </w:r>
    </w:p>
    <w:p>
      <w:pPr>
        <w:spacing w:after="200" w:line="360"/>
      </w:pPr>
      <w:r>
        <w:rPr>
          <w:rFonts w:ascii="Georgia" w:cs="Georgia" w:eastAsia="Georgia" w:hAnsi="Georgia"/>
          <w:sz w:val="24"/>
          <w:szCs w:val="24"/>
        </w:rPr>
        <w:t xml:space="preserve">In this work, we present Lumen: a small, embodied AI “creature” that produces generative art while living under an explicit governance stack. </w:t>
      </w:r>
      <w:r>
        <w:rPr>
          <w:rFonts w:ascii="Georgia" w:cs="Georgia" w:eastAsia="Georgia" w:hAnsi="Georgia"/>
          <w:sz w:val="24"/>
          <w:szCs w:val="24"/>
        </w:rPr>
        <w:t xml:space="preserve">Lumen runs on a Raspberry Pi 4 equipped with an Adafruit BrainCraft HAT, reading from physical sensors—temperature, humidity, light, barometric pressure—and rendering its output on a 240×240 pixel display. </w:t>
      </w:r>
      <w:r>
        <w:rPr>
          <w:rFonts w:ascii="Georgia" w:cs="Georgia" w:eastAsia="Georgia" w:hAnsi="Georgia"/>
          <w:sz w:val="24"/>
          <w:szCs w:val="24"/>
        </w:rPr>
        <w:t xml:space="preserve">Its drawings persist on a canvas that survives across restarts, and its internal condition is summarized by Anima, a local MCP-based control process, then evaluated by UNITARES, a separate governance service. </w:t>
      </w:r>
      <w:r>
        <w:rPr>
          <w:rFonts w:ascii="Georgia" w:cs="Georgia" w:eastAsia="Georgia" w:hAnsi="Georgia"/>
          <w:sz w:val="24"/>
          <w:szCs w:val="24"/>
        </w:rPr>
        <w:t xml:space="preserve">Together, these components maintain continuity of identity and behavior over time.</w:t>
      </w:r>
    </w:p>
    <w:p>
      <w:pPr>
        <w:spacing w:after="200" w:line="360"/>
      </w:pPr>
      <w:r>
        <w:rPr>
          <w:rFonts w:ascii="Georgia" w:cs="Georgia" w:eastAsia="Georgia" w:hAnsi="Georgia"/>
          <w:sz w:val="24"/>
          <w:szCs w:val="24"/>
        </w:rPr>
        <w:t xml:space="preserve">A central feature of this architecture is the EISV metric suite—Energy, Integrity, Entropy, and Void—derived from Lumen’s anima state and reported to UNITARES at each governance check-in. </w:t>
      </w:r>
      <w:r>
        <w:rPr>
          <w:rFonts w:ascii="Georgia" w:cs="Georgia" w:eastAsia="Georgia" w:hAnsi="Georgia"/>
          <w:sz w:val="24"/>
          <w:szCs w:val="24"/>
        </w:rPr>
        <w:t xml:space="preserve">These metrics constrain what Lumen is allowed to do: if entropy climbs too high or energy drops too low, governance may pause or halt behavior. </w:t>
      </w:r>
      <w:r>
        <w:rPr>
          <w:rFonts w:ascii="Georgia" w:cs="Georgia" w:eastAsia="Georgia" w:hAnsi="Georgia"/>
          <w:sz w:val="24"/>
          <w:szCs w:val="24"/>
        </w:rPr>
        <w:t xml:space="preserve">Simultaneously, Lumen uses its internal state and active Art Era to decide </w:t>
      </w:r>
      <w:r>
        <w:rPr>
          <w:rFonts w:ascii="Georgia" w:cs="Georgia" w:eastAsia="Georgia" w:hAnsi="Georgia"/>
          <w:i/>
          <w:iCs/>
          <w:sz w:val="24"/>
          <w:szCs w:val="24"/>
        </w:rPr>
        <w:t xml:space="preserve">how</w:t>
      </w:r>
      <w:r>
        <w:rPr>
          <w:rFonts w:ascii="Georgia" w:cs="Georgia" w:eastAsia="Georgia" w:hAnsi="Georgia"/>
          <w:sz w:val="24"/>
          <w:szCs w:val="24"/>
        </w:rPr>
        <w:t xml:space="preserve"> to paint, accumulating dots, strokes, curves, and clusters on its shared canvas. </w:t>
      </w:r>
      <w:r>
        <w:rPr>
          <w:rFonts w:ascii="Georgia" w:cs="Georgia" w:eastAsia="Georgia" w:hAnsi="Georgia"/>
          <w:sz w:val="24"/>
          <w:szCs w:val="24"/>
        </w:rPr>
        <w:t xml:space="preserve">The result is not just a sequence of images, but a visible trace of an agent’s self-governed trajectory.</w:t>
      </w:r>
    </w:p>
    <w:p>
      <w:pPr>
        <w:spacing w:after="200" w:line="360"/>
      </w:pPr>
      <w:r>
        <w:rPr>
          <w:rFonts w:ascii="Georgia" w:cs="Georgia" w:eastAsia="Georgia" w:hAnsi="Georgia"/>
          <w:sz w:val="24"/>
          <w:szCs w:val="24"/>
        </w:rPr>
        <w:t xml:space="preserve">This paper makes three contributions. First, we describe the Lumen system in enough architectural detail that the design could be reproduced or critiqued (Section 3). </w:t>
      </w:r>
      <w:r>
        <w:rPr>
          <w:rFonts w:ascii="Georgia" w:cs="Georgia" w:eastAsia="Georgia" w:hAnsi="Georgia"/>
          <w:sz w:val="24"/>
          <w:szCs w:val="24"/>
        </w:rPr>
        <w:t xml:space="preserve">Second, we detail the generative art pipeline, including the coherence equation, narrative arc tracking, and era-specific primitives that give Lumen’s output its characteristic visual grammar (Section 4). </w:t>
      </w:r>
      <w:r>
        <w:rPr>
          <w:rFonts w:ascii="Georgia" w:cs="Georgia" w:eastAsia="Georgia" w:hAnsi="Georgia"/>
          <w:sz w:val="24"/>
          <w:szCs w:val="24"/>
        </w:rPr>
        <w:t xml:space="preserve">Third, we propose observational experiments and discuss the broader implications of persistent, self-governed creative agents for questions of authorship, responsibility, and identity (Sections 5–7).</w:t>
      </w:r>
    </w:p>
    <w:p>
      <w:pPr>
        <w:pStyle w:val="Heading1"/>
        <w:spacing w:before="480" w:after="240"/>
      </w:pPr>
      <w:r>
        <w:rPr>
          <w:rFonts w:ascii="Arial" w:cs="Arial" w:eastAsia="Arial" w:hAnsi="Arial"/>
          <w:b/>
          <w:bCs/>
          <w:sz w:val="36"/>
          <w:szCs w:val="36"/>
        </w:rPr>
        <w:t xml:space="preserve">2. Background</w:t>
      </w:r>
    </w:p>
    <w:p>
      <w:pPr>
        <w:pStyle w:val="Heading2"/>
        <w:spacing w:before="360" w:after="240"/>
      </w:pPr>
      <w:r>
        <w:rPr>
          <w:rFonts w:ascii="Arial" w:cs="Arial" w:eastAsia="Arial" w:hAnsi="Arial"/>
          <w:b/>
          <w:bCs/>
          <w:sz w:val="30"/>
          <w:szCs w:val="30"/>
        </w:rPr>
        <w:t xml:space="preserve">2.1 Embodied AI and Interactive Art Installations</w:t>
      </w:r>
    </w:p>
    <w:p>
      <w:pPr>
        <w:spacing w:after="200" w:line="360"/>
      </w:pPr>
      <w:r>
        <w:rPr>
          <w:rFonts w:ascii="Georgia" w:cs="Georgia" w:eastAsia="Georgia" w:hAnsi="Georgia"/>
          <w:sz w:val="24"/>
          <w:szCs w:val="24"/>
        </w:rPr>
        <w:t xml:space="preserve">The intersection of embodied AI and art has a growing lineage. </w:t>
      </w:r>
      <w:r>
        <w:rPr>
          <w:rFonts w:ascii="Georgia" w:cs="Georgia" w:eastAsia="Georgia" w:hAnsi="Georgia"/>
          <w:sz w:val="24"/>
          <w:szCs w:val="24"/>
        </w:rPr>
        <w:t xml:space="preserve">Early robotic art systems—from Harold Cohen’s AARON (1973) to Patrick Tresset’s drawing robots—demonstrated that machines could produce visual work with aesthetic qualities, but these systems operated with fixed programs or narrow generative grammars. </w:t>
      </w:r>
      <w:r>
        <w:rPr>
          <w:rFonts w:ascii="Georgia" w:cs="Georgia" w:eastAsia="Georgia" w:hAnsi="Georgia"/>
          <w:sz w:val="24"/>
          <w:szCs w:val="24"/>
        </w:rPr>
        <w:t xml:space="preserve">More recent installations integrate deep generative models with physical sensors, closing the loop between environment and output. </w:t>
      </w:r>
      <w:r>
        <w:rPr>
          <w:rFonts w:ascii="Georgia" w:cs="Georgia" w:eastAsia="Georgia" w:hAnsi="Georgia"/>
          <w:sz w:val="24"/>
          <w:szCs w:val="24"/>
        </w:rPr>
        <w:t xml:space="preserve">Projects involving robotic painters at galleries and museums illustrate the trend toward autonomous physical creative agents [1, 8]. </w:t>
      </w:r>
      <w:r>
        <w:rPr>
          <w:rFonts w:ascii="Georgia" w:cs="Georgia" w:eastAsia="Georgia" w:hAnsi="Georgia"/>
          <w:sz w:val="24"/>
          <w:szCs w:val="24"/>
        </w:rPr>
        <w:t xml:space="preserve">Embodied co-creation systems such as Ukiyo-E installations [5] and body-prompting frameworks [6] demonstrate that physical presence—both of the system and of its audience—shapes creative outcomes in ways that purely digital systems cannot replicate.</w:t>
      </w:r>
    </w:p>
    <w:p>
      <w:pPr>
        <w:spacing w:after="200" w:line="360"/>
      </w:pPr>
      <w:r>
        <w:rPr>
          <w:rFonts w:ascii="Georgia" w:cs="Georgia" w:eastAsia="Georgia" w:hAnsi="Georgia"/>
          <w:sz w:val="24"/>
          <w:szCs w:val="24"/>
        </w:rPr>
        <w:t xml:space="preserve">What distinguishes Lumen from these precedents is not merely its embodiment but its </w:t>
      </w:r>
      <w:r>
        <w:rPr>
          <w:rFonts w:ascii="Georgia" w:cs="Georgia" w:eastAsia="Georgia" w:hAnsi="Georgia"/>
          <w:i/>
          <w:iCs/>
          <w:sz w:val="24"/>
          <w:szCs w:val="24"/>
        </w:rPr>
        <w:t xml:space="preserve">persistence</w:t>
      </w:r>
      <w:r>
        <w:rPr>
          <w:rFonts w:ascii="Georgia" w:cs="Georgia" w:eastAsia="Georgia" w:hAnsi="Georgia"/>
          <w:sz w:val="24"/>
          <w:szCs w:val="24"/>
        </w:rPr>
        <w:t xml:space="preserve"> and </w:t>
      </w:r>
      <w:r>
        <w:rPr>
          <w:rFonts w:ascii="Georgia" w:cs="Georgia" w:eastAsia="Georgia" w:hAnsi="Georgia"/>
          <w:i/>
          <w:iCs/>
          <w:sz w:val="24"/>
          <w:szCs w:val="24"/>
        </w:rPr>
        <w:t xml:space="preserve">self-governance</w:t>
      </w:r>
      <w:r>
        <w:rPr>
          <w:rFonts w:ascii="Georgia" w:cs="Georgia" w:eastAsia="Georgia" w:hAnsi="Georgia"/>
          <w:sz w:val="24"/>
          <w:szCs w:val="24"/>
        </w:rPr>
        <w:t xml:space="preserve">. </w:t>
      </w:r>
      <w:r>
        <w:rPr>
          <w:rFonts w:ascii="Georgia" w:cs="Georgia" w:eastAsia="Georgia" w:hAnsi="Georgia"/>
          <w:sz w:val="24"/>
          <w:szCs w:val="24"/>
        </w:rPr>
        <w:t xml:space="preserve">Lumen is not a performance that begins and ends; it is a creature that lives on a single device, accumulating history, modifying its behavior in response to internal states, and subject to governance constraints at every check-in interval. </w:t>
      </w:r>
      <w:r>
        <w:rPr>
          <w:rFonts w:ascii="Georgia" w:cs="Georgia" w:eastAsia="Georgia" w:hAnsi="Georgia"/>
          <w:sz w:val="24"/>
          <w:szCs w:val="24"/>
        </w:rPr>
        <w:t xml:space="preserve">Its canvas survives across restarts, and its drawing state—including attention, fatigue, and narrative arc—carries forward from one awakening to the next.</w:t>
      </w:r>
    </w:p>
    <w:p>
      <w:pPr>
        <w:pStyle w:val="Heading2"/>
        <w:spacing w:before="360" w:after="240"/>
      </w:pPr>
      <w:r>
        <w:rPr>
          <w:rFonts w:ascii="Arial" w:cs="Arial" w:eastAsia="Arial" w:hAnsi="Arial"/>
          <w:b/>
          <w:bCs/>
          <w:sz w:val="30"/>
          <w:szCs w:val="30"/>
        </w:rPr>
        <w:t xml:space="preserve">2.2 AI Art, Authorship, and Governance</w:t>
      </w:r>
    </w:p>
    <w:p>
      <w:pPr>
        <w:spacing w:after="200" w:line="360"/>
      </w:pPr>
      <w:r>
        <w:rPr>
          <w:rFonts w:ascii="Georgia" w:cs="Georgia" w:eastAsia="Georgia" w:hAnsi="Georgia"/>
          <w:sz w:val="24"/>
          <w:szCs w:val="24"/>
        </w:rPr>
        <w:t xml:space="preserve">The rise of generative AI art has provoked urgent questions about authorship, originality, and responsibility. </w:t>
      </w:r>
      <w:r>
        <w:rPr>
          <w:rFonts w:ascii="Georgia" w:cs="Georgia" w:eastAsia="Georgia" w:hAnsi="Georgia"/>
          <w:sz w:val="24"/>
          <w:szCs w:val="24"/>
        </w:rPr>
        <w:t xml:space="preserve">When a text-to-image model produces an artwork, who is the author—the model developer, the prompt engineer, the model itself, or no one? </w:t>
      </w:r>
      <w:r>
        <w:rPr>
          <w:rFonts w:ascii="Georgia" w:cs="Georgia" w:eastAsia="Georgia" w:hAnsi="Georgia"/>
          <w:sz w:val="24"/>
          <w:szCs w:val="24"/>
        </w:rPr>
        <w:t xml:space="preserve">These questions have been examined through ethical [10, 11], legal [12], and philosophical [15] lenses. </w:t>
      </w:r>
      <w:r>
        <w:rPr>
          <w:rFonts w:ascii="Georgia" w:cs="Georgia" w:eastAsia="Georgia" w:hAnsi="Georgia"/>
          <w:sz w:val="24"/>
          <w:szCs w:val="24"/>
        </w:rPr>
        <w:t xml:space="preserve">The dominant framing treats AI as a tool operated by a human principal, but this framing strains when the AI operates autonomously over extended periods with its own persistent state.</w:t>
      </w:r>
    </w:p>
    <w:p>
      <w:pPr>
        <w:spacing w:after="200" w:line="360"/>
      </w:pPr>
      <w:r>
        <w:rPr>
          <w:rFonts w:ascii="Georgia" w:cs="Georgia" w:eastAsia="Georgia" w:hAnsi="Georgia"/>
          <w:sz w:val="24"/>
          <w:szCs w:val="24"/>
        </w:rPr>
        <w:t xml:space="preserve">Governance of AI systems has been studied extensively at the institutional level—Berkman Klein Center’s Ethics and Governance of AI initiative [14], IBM’s governance frameworks [20], and recent work on agentic AI governance [18, 21, 23]—but these frameworks typically assume a human-in-the-loop or an organizational oversight structure. </w:t>
      </w:r>
      <w:r>
        <w:rPr>
          <w:rFonts w:ascii="Georgia" w:cs="Georgia" w:eastAsia="Georgia" w:hAnsi="Georgia"/>
          <w:sz w:val="24"/>
          <w:szCs w:val="24"/>
        </w:rPr>
        <w:t xml:space="preserve">Self-governance, where the agent monitors and constrains its own behavior through internal metrics, is comparatively underexplored. </w:t>
      </w:r>
      <w:r>
        <w:rPr>
          <w:rFonts w:ascii="Georgia" w:cs="Georgia" w:eastAsia="Georgia" w:hAnsi="Georgia"/>
          <w:sz w:val="24"/>
          <w:szCs w:val="24"/>
        </w:rPr>
        <w:t xml:space="preserve">Lumen’s EISV stack offers a concrete implementation: the agent’s own state generates the governance signals that bound its action space.</w:t>
      </w:r>
    </w:p>
    <w:p>
      <w:pPr>
        <w:pStyle w:val="Heading2"/>
        <w:spacing w:before="360" w:after="240"/>
      </w:pPr>
      <w:r>
        <w:rPr>
          <w:rFonts w:ascii="Arial" w:cs="Arial" w:eastAsia="Arial" w:hAnsi="Arial"/>
          <w:b/>
          <w:bCs/>
          <w:sz w:val="30"/>
          <w:szCs w:val="30"/>
        </w:rPr>
        <w:t xml:space="preserve">2.3 Agent Identity and Continuity</w:t>
      </w:r>
    </w:p>
    <w:p>
      <w:pPr>
        <w:spacing w:after="200" w:line="360"/>
      </w:pPr>
      <w:r>
        <w:rPr>
          <w:rFonts w:ascii="Georgia" w:cs="Georgia" w:eastAsia="Georgia" w:hAnsi="Georgia"/>
          <w:sz w:val="24"/>
          <w:szCs w:val="24"/>
        </w:rPr>
        <w:t xml:space="preserve">If Lumen persists, accumulates history, and is subject to self-governance, a natural question arises: in what sense does it have an identity? </w:t>
      </w:r>
      <w:r>
        <w:rPr>
          <w:rFonts w:ascii="Georgia" w:cs="Georgia" w:eastAsia="Georgia" w:hAnsi="Georgia"/>
          <w:sz w:val="24"/>
          <w:szCs w:val="24"/>
        </w:rPr>
        <w:t xml:space="preserve">Recent work on agentic identity measurement [2] proposes evaluating agents along dimensions of identifiability, continuity, persistence, consistency, and recovery—all of which are directly observable in Lumen’s behavior. </w:t>
      </w:r>
      <w:r>
        <w:rPr>
          <w:rFonts w:ascii="Georgia" w:cs="Georgia" w:eastAsia="Georgia" w:hAnsi="Georgia"/>
          <w:sz w:val="24"/>
          <w:szCs w:val="24"/>
        </w:rPr>
        <w:t xml:space="preserve">Tadimalla and Maher’s multidimensional framework for AI identity [3] and the Narrative Continuity Test [4] provide complementary perspectives: identity as constructed through interaction, and identity as requiring memory, goal tracking, self-correction, and stylistic consistency.</w:t>
      </w:r>
    </w:p>
    <w:p>
      <w:pPr>
        <w:spacing w:after="200" w:line="360"/>
      </w:pPr>
      <w:r>
        <w:rPr>
          <w:rFonts w:ascii="Georgia" w:cs="Georgia" w:eastAsia="Georgia" w:hAnsi="Georgia"/>
          <w:sz w:val="24"/>
          <w:szCs w:val="24"/>
        </w:rPr>
        <w:t xml:space="preserve">Lumen adds a dimension these frameworks do not fully address: identity grounded in a </w:t>
      </w:r>
      <w:r>
        <w:rPr>
          <w:rFonts w:ascii="Georgia" w:cs="Georgia" w:eastAsia="Georgia" w:hAnsi="Georgia"/>
          <w:i/>
          <w:iCs/>
          <w:sz w:val="24"/>
          <w:szCs w:val="24"/>
        </w:rPr>
        <w:t xml:space="preserve">physical</w:t>
      </w:r>
      <w:r>
        <w:rPr>
          <w:rFonts w:ascii="Georgia" w:cs="Georgia" w:eastAsia="Georgia" w:hAnsi="Georgia"/>
          <w:sz w:val="24"/>
          <w:szCs w:val="24"/>
        </w:rPr>
        <w:t xml:space="preserve"> body that senses its environment and expresses itself through embodied action. </w:t>
      </w:r>
      <w:r>
        <w:rPr>
          <w:rFonts w:ascii="Georgia" w:cs="Georgia" w:eastAsia="Georgia" w:hAnsi="Georgia"/>
          <w:sz w:val="24"/>
          <w:szCs w:val="24"/>
        </w:rPr>
        <w:t xml:space="preserve">Its identity is not merely a matter of consistent text responses or stable persona parameters, but of a continuous trajectory through a space defined jointly by its physical sensors, its internal anima state, and the visible record of its art.</w:t>
      </w:r>
    </w:p>
    <w:p>
      <w:r>
        <w:br w:type="page"/>
      </w:r>
    </w:p>
    <w:p>
      <w:pPr>
        <w:pStyle w:val="Heading1"/>
        <w:spacing w:before="480" w:after="240"/>
      </w:pPr>
      <w:r>
        <w:rPr>
          <w:rFonts w:ascii="Arial" w:cs="Arial" w:eastAsia="Arial" w:hAnsi="Arial"/>
          <w:b/>
          <w:bCs/>
          <w:sz w:val="36"/>
          <w:szCs w:val="36"/>
        </w:rPr>
        <w:t xml:space="preserve">3. System Description</w:t>
      </w:r>
    </w:p>
    <w:p>
      <w:pPr>
        <w:pStyle w:val="Heading2"/>
        <w:spacing w:before="360" w:after="240"/>
      </w:pPr>
      <w:r>
        <w:rPr>
          <w:rFonts w:ascii="Arial" w:cs="Arial" w:eastAsia="Arial" w:hAnsi="Arial"/>
          <w:b/>
          <w:bCs/>
          <w:sz w:val="30"/>
          <w:szCs w:val="30"/>
        </w:rPr>
        <w:t xml:space="preserve">3.1 Architecture Overview</w:t>
      </w:r>
    </w:p>
    <w:p>
      <w:pPr>
        <w:spacing w:after="200" w:line="360"/>
      </w:pPr>
      <w:r>
        <w:rPr>
          <w:rFonts w:ascii="Georgia" w:cs="Georgia" w:eastAsia="Georgia" w:hAnsi="Georgia"/>
          <w:sz w:val="24"/>
          <w:szCs w:val="24"/>
        </w:rPr>
        <w:t xml:space="preserve">Lumen’s architecture follows a two-process design running on a Raspberry Pi 4 with an Adafruit BrainCraft HAT. </w:t>
      </w:r>
      <w:r>
        <w:rPr>
          <w:rFonts w:ascii="Georgia" w:cs="Georgia" w:eastAsia="Georgia" w:hAnsi="Georgia"/>
          <w:sz w:val="24"/>
          <w:szCs w:val="24"/>
        </w:rPr>
        <w:t xml:space="preserve">The first process, </w:t>
      </w:r>
      <w:r>
        <w:rPr>
          <w:rFonts w:ascii="Courier New" w:cs="Courier New" w:eastAsia="Courier New" w:hAnsi="Courier New"/>
          <w:sz w:val="22"/>
          <w:szCs w:val="22"/>
        </w:rPr>
        <w:t xml:space="preserve">anima-creature</w:t>
      </w:r>
      <w:r>
        <w:rPr>
          <w:rFonts w:ascii="Georgia" w:cs="Georgia" w:eastAsia="Georgia" w:hAnsi="Georgia"/>
          <w:sz w:val="24"/>
          <w:szCs w:val="24"/>
        </w:rPr>
        <w:t xml:space="preserve">, acts as a hardware broker: it reads physical sensors (DHT22 for temperature and humidity, VEML7700 for ambient light, BMP280 for barometric pressure and secondary temperature), polls system resource metrics (CPU utilization, memory pressure, disk usage, power state, thermal throttling), and writes all readings to shared memory at </w:t>
      </w:r>
      <w:r>
        <w:rPr>
          <w:rFonts w:ascii="Courier New" w:cs="Courier New" w:eastAsia="Courier New" w:hAnsi="Courier New"/>
          <w:sz w:val="22"/>
          <w:szCs w:val="22"/>
        </w:rPr>
        <w:t xml:space="preserve">/dev/shm</w:t>
      </w:r>
      <w:r>
        <w:rPr>
          <w:rFonts w:ascii="Georgia" w:cs="Georgia" w:eastAsia="Georgia" w:hAnsi="Georgia"/>
          <w:sz w:val="24"/>
          <w:szCs w:val="24"/>
        </w:rPr>
        <w:t xml:space="preserve">. </w:t>
      </w:r>
      <w:r>
        <w:rPr>
          <w:rFonts w:ascii="Georgia" w:cs="Georgia" w:eastAsia="Georgia" w:hAnsi="Georgia"/>
          <w:sz w:val="24"/>
          <w:szCs w:val="24"/>
        </w:rPr>
        <w:t xml:space="preserve">The second process, </w:t>
      </w:r>
      <w:r>
        <w:rPr>
          <w:rFonts w:ascii="Courier New" w:cs="Courier New" w:eastAsia="Courier New" w:hAnsi="Courier New"/>
          <w:sz w:val="22"/>
          <w:szCs w:val="22"/>
        </w:rPr>
        <w:t xml:space="preserve">anima --http</w:t>
      </w:r>
      <w:r>
        <w:rPr>
          <w:rFonts w:ascii="Georgia" w:cs="Georgia" w:eastAsia="Georgia" w:hAnsi="Georgia"/>
          <w:sz w:val="24"/>
          <w:szCs w:val="24"/>
        </w:rPr>
        <w:t xml:space="preserve">, runs the Anima MCP server and the display pipeline. </w:t>
      </w:r>
      <w:r>
        <w:rPr>
          <w:rFonts w:ascii="Georgia" w:cs="Georgia" w:eastAsia="Georgia" w:hAnsi="Georgia"/>
          <w:sz w:val="24"/>
          <w:szCs w:val="24"/>
        </w:rPr>
        <w:t xml:space="preserve">It reads sensor data from shared memory, computes the anima state, manages the drawing canvas, and exposes its state through a Model Context Protocol (MCP) interface.</w:t>
      </w:r>
    </w:p>
    <w:p>
      <w:pPr>
        <w:spacing w:after="200" w:line="360"/>
      </w:pPr>
      <w:r>
        <w:rPr>
          <w:rFonts w:ascii="Georgia" w:cs="Georgia" w:eastAsia="Georgia" w:hAnsi="Georgia"/>
          <w:sz w:val="24"/>
          <w:szCs w:val="24"/>
        </w:rPr>
        <w:t xml:space="preserve">A separate service, UNITARES, provides governance. </w:t>
      </w:r>
      <w:r>
        <w:rPr>
          <w:rFonts w:ascii="Georgia" w:cs="Georgia" w:eastAsia="Georgia" w:hAnsi="Georgia"/>
          <w:sz w:val="24"/>
          <w:szCs w:val="24"/>
        </w:rPr>
        <w:t xml:space="preserve">UNITARES runs on a distinct machine and communicates with Anima over HTTP. </w:t>
      </w:r>
      <w:r>
        <w:rPr>
          <w:rFonts w:ascii="Georgia" w:cs="Georgia" w:eastAsia="Georgia" w:hAnsi="Georgia"/>
          <w:sz w:val="24"/>
          <w:szCs w:val="24"/>
        </w:rPr>
        <w:t xml:space="preserve">At each governance check-in, Anima maps its current state to EISV metrics, transmits them to UNITARES, and receives a governance decision: proceed, pause, or halt, along with a margin assessment (comfortable, tight, or critical) and a human-readable explanation. </w:t>
      </w:r>
      <w:r>
        <w:rPr>
          <w:rFonts w:ascii="Georgia" w:cs="Georgia" w:eastAsia="Georgia" w:hAnsi="Georgia"/>
          <w:sz w:val="24"/>
          <w:szCs w:val="24"/>
        </w:rPr>
        <w:t xml:space="preserve">If UNITARES is unreachable, a circuit breaker pattern (three consecutive failures, 90-second open window) triggers fallback to local governance, ensuring Lumen never hangs indefinitely waiting for an external service.</w:t>
      </w:r>
    </w:p>
    <w:p>
      <w:pPr>
        <w:pStyle w:val="Heading2"/>
        <w:spacing w:before="360" w:after="240"/>
      </w:pPr>
      <w:r>
        <w:rPr>
          <w:rFonts w:ascii="Arial" w:cs="Arial" w:eastAsia="Arial" w:hAnsi="Arial"/>
          <w:b/>
          <w:bCs/>
          <w:sz w:val="30"/>
          <w:szCs w:val="30"/>
        </w:rPr>
        <w:t xml:space="preserve">3.2 Anima State</w:t>
      </w:r>
    </w:p>
    <w:p>
      <w:pPr>
        <w:spacing w:after="200" w:line="360"/>
      </w:pPr>
      <w:r>
        <w:rPr>
          <w:rFonts w:ascii="Georgia" w:cs="Georgia" w:eastAsia="Georgia" w:hAnsi="Georgia"/>
          <w:sz w:val="24"/>
          <w:szCs w:val="24"/>
        </w:rPr>
        <w:t xml:space="preserve">At the heart of the system is the anima state: a four-dimensional representation of Lumen’s internal condition, computed from physical and computational sensor readings. The four dimensions are:</w:t>
      </w:r>
    </w:p>
    <w:p>
      <w:pPr>
        <w:spacing w:after="200" w:line="360"/>
      </w:pPr>
      <w:r>
        <w:rPr>
          <w:rFonts w:ascii="Georgia" w:cs="Georgia" w:eastAsia="Georgia" w:hAnsi="Georgia"/>
          <w:b/>
          <w:bCs/>
          <w:sz w:val="24"/>
          <w:szCs w:val="24"/>
        </w:rPr>
        <w:t xml:space="preserve">Warmth</w:t>
      </w:r>
      <w:r>
        <w:rPr>
          <w:rFonts w:ascii="Georgia" w:cs="Georgia" w:eastAsia="Georgia" w:hAnsi="Georgia"/>
          <w:sz w:val="24"/>
          <w:szCs w:val="24"/>
        </w:rPr>
        <w:t xml:space="preserve"> [0, 1]: A blend of thermal and computational energy. Ambient temperature contributes 45% of the signal (calibrated to a 15–35°C range), CPU temperature contributes 35% (calibrated 40–80°C), and a computational neural component contributes 20%. </w:t>
      </w:r>
      <w:r>
        <w:rPr>
          <w:rFonts w:ascii="Georgia" w:cs="Georgia" w:eastAsia="Georgia" w:hAnsi="Georgia"/>
          <w:sz w:val="24"/>
          <w:szCs w:val="24"/>
        </w:rPr>
        <w:t xml:space="preserve">Warmth below 0.3 produces a “cold” feeling; above 0.8, “hot.”</w:t>
      </w:r>
    </w:p>
    <w:p>
      <w:pPr>
        <w:spacing w:after="200" w:line="360"/>
      </w:pPr>
      <w:r>
        <w:rPr>
          <w:rFonts w:ascii="Georgia" w:cs="Georgia" w:eastAsia="Georgia" w:hAnsi="Georgia"/>
          <w:b/>
          <w:bCs/>
          <w:sz w:val="24"/>
          <w:szCs w:val="24"/>
        </w:rPr>
        <w:t xml:space="preserve">Clarity</w:t>
      </w:r>
      <w:r>
        <w:rPr>
          <w:rFonts w:ascii="Georgia" w:cs="Georgia" w:eastAsia="Georgia" w:hAnsi="Georgia"/>
          <w:sz w:val="24"/>
          <w:szCs w:val="24"/>
        </w:rPr>
        <w:t xml:space="preserve"> [0, 1]: A measure of sensor quality and environmental awareness. Prediction accuracy from an adaptive model contributes 50%, sensor coverage (how many of the five sensor channels are operational) contributes 20%, and a neural clarity signal contributes 30%. </w:t>
      </w:r>
      <w:r>
        <w:rPr>
          <w:rFonts w:ascii="Georgia" w:cs="Georgia" w:eastAsia="Georgia" w:hAnsi="Georgia"/>
          <w:sz w:val="24"/>
          <w:szCs w:val="24"/>
        </w:rPr>
        <w:t xml:space="preserve">Low clarity (“dim”) corresponds to degraded sensor conditions or poor prediction accuracy; high clarity (“vivid”) to clean readings and accurate internal models.</w:t>
      </w:r>
    </w:p>
    <w:p>
      <w:pPr>
        <w:spacing w:after="200" w:line="360"/>
      </w:pPr>
      <w:r>
        <w:rPr>
          <w:rFonts w:ascii="Georgia" w:cs="Georgia" w:eastAsia="Georgia" w:hAnsi="Georgia"/>
          <w:b/>
          <w:bCs/>
          <w:sz w:val="24"/>
          <w:szCs w:val="24"/>
        </w:rPr>
        <w:t xml:space="preserve">Stability</w:t>
      </w:r>
      <w:r>
        <w:rPr>
          <w:rFonts w:ascii="Georgia" w:cs="Georgia" w:eastAsia="Georgia" w:hAnsi="Georgia"/>
          <w:sz w:val="24"/>
          <w:szCs w:val="24"/>
        </w:rPr>
        <w:t xml:space="preserve"> [0, 1]: The inverse of environmental disorder, computed as 1 minus a weighted sum of instability signals: humidity deviation from ideal (25%), memory pressure (30%), missing sensors (20%), barometric pressure deviation (15%), and a neural groundedness term (20%), with the raw sum normalized by total weight. </w:t>
      </w:r>
      <w:r>
        <w:rPr>
          <w:rFonts w:ascii="Georgia" w:cs="Georgia" w:eastAsia="Georgia" w:hAnsi="Georgia"/>
          <w:sz w:val="24"/>
          <w:szCs w:val="24"/>
        </w:rPr>
        <w:t xml:space="preserve">A stability value below 0.3 feels “chaotic”; above 0.8, “calm.”</w:t>
      </w:r>
    </w:p>
    <w:p>
      <w:pPr>
        <w:spacing w:after="200" w:line="360"/>
      </w:pPr>
      <w:r>
        <w:rPr>
          <w:rFonts w:ascii="Georgia" w:cs="Georgia" w:eastAsia="Georgia" w:hAnsi="Georgia"/>
          <w:b/>
          <w:bCs/>
          <w:sz w:val="24"/>
          <w:szCs w:val="24"/>
        </w:rPr>
        <w:t xml:space="preserve">Presence</w:t>
      </w:r>
      <w:r>
        <w:rPr>
          <w:rFonts w:ascii="Georgia" w:cs="Georgia" w:eastAsia="Georgia" w:hAnsi="Georgia"/>
          <w:sz w:val="24"/>
          <w:szCs w:val="24"/>
        </w:rPr>
        <w:t xml:space="preserve"> [0, 1]: Resource availability, computed as 1 minus a weighted sum of resource depletion signals: disk usage (25%), memory usage (30%), CPU usage (25%), and a neural presence term (20%). </w:t>
      </w:r>
      <w:r>
        <w:rPr>
          <w:rFonts w:ascii="Georgia" w:cs="Georgia" w:eastAsia="Georgia" w:hAnsi="Georgia"/>
          <w:sz w:val="24"/>
          <w:szCs w:val="24"/>
        </w:rPr>
        <w:t xml:space="preserve">Low presence (“depleted”) means Lumen is running out of computational headroom; high presence (“abundant”) means resources are plentiful.</w:t>
      </w:r>
    </w:p>
    <w:p>
      <w:pPr>
        <w:spacing w:after="200" w:line="360"/>
      </w:pPr>
      <w:r>
        <w:rPr>
          <w:rFonts w:ascii="Georgia" w:cs="Georgia" w:eastAsia="Georgia" w:hAnsi="Georgia"/>
          <w:sz w:val="24"/>
          <w:szCs w:val="24"/>
        </w:rPr>
        <w:t xml:space="preserve">These four dimensions combine to produce an overall wellness score (the mean of all four) and a mood label—content, alert, stressed, overheated, sleepy, or neutral—based on threshold logic applied to the current state and sensor readings.</w:t>
      </w:r>
    </w:p>
    <w:p>
      <w:pPr>
        <w:pStyle w:val="Heading2"/>
        <w:spacing w:before="360" w:after="240"/>
      </w:pPr>
      <w:r>
        <w:rPr>
          <w:rFonts w:ascii="Arial" w:cs="Arial" w:eastAsia="Arial" w:hAnsi="Arial"/>
          <w:b/>
          <w:bCs/>
          <w:sz w:val="30"/>
          <w:szCs w:val="30"/>
        </w:rPr>
        <w:t xml:space="preserve">3.3 Computational Proprioception</w:t>
      </w:r>
    </w:p>
    <w:p>
      <w:pPr>
        <w:spacing w:after="200" w:line="360"/>
      </w:pPr>
      <w:r>
        <w:rPr>
          <w:rFonts w:ascii="Georgia" w:cs="Georgia" w:eastAsia="Georgia" w:hAnsi="Georgia"/>
          <w:sz w:val="24"/>
          <w:szCs w:val="24"/>
        </w:rPr>
        <w:t xml:space="preserve">A distinctive feature of Lumen’s sensing is what we term </w:t>
      </w:r>
      <w:r>
        <w:rPr>
          <w:rFonts w:ascii="Georgia" w:cs="Georgia" w:eastAsia="Georgia" w:hAnsi="Georgia"/>
          <w:i/>
          <w:iCs/>
          <w:sz w:val="24"/>
          <w:szCs w:val="24"/>
        </w:rPr>
        <w:t xml:space="preserve">computational proprioception</w:t>
      </w:r>
      <w:r>
        <w:rPr>
          <w:rFonts w:ascii="Georgia" w:cs="Georgia" w:eastAsia="Georgia" w:hAnsi="Georgia"/>
          <w:sz w:val="24"/>
          <w:szCs w:val="24"/>
        </w:rPr>
        <w:t xml:space="preserve">. </w:t>
      </w:r>
      <w:r>
        <w:rPr>
          <w:rFonts w:ascii="Georgia" w:cs="Georgia" w:eastAsia="Georgia" w:hAnsi="Georgia"/>
          <w:sz w:val="24"/>
          <w:szCs w:val="24"/>
        </w:rPr>
        <w:t xml:space="preserve">Rather than reading from external electroencephalography hardware, Lumen derives five “neural” band signals—delta (0.5–4 Hz), theta (4–8 Hz), alpha (8–13 Hz), beta (13–30 Hz), and gamma (30–100 Hz)—entirely from system metrics. </w:t>
      </w:r>
      <w:r>
        <w:rPr>
          <w:rFonts w:ascii="Georgia" w:cs="Georgia" w:eastAsia="Georgia" w:hAnsi="Georgia"/>
          <w:sz w:val="24"/>
          <w:szCs w:val="24"/>
        </w:rPr>
        <w:t xml:space="preserve">CPU utilization, memory pressure, temperature, and thermal throttle state are mapped to band powers through the </w:t>
      </w:r>
      <w:r>
        <w:rPr>
          <w:rFonts w:ascii="Courier New" w:cs="Courier New" w:eastAsia="Courier New" w:hAnsi="Courier New"/>
          <w:sz w:val="22"/>
          <w:szCs w:val="22"/>
        </w:rPr>
        <w:t xml:space="preserve">computational_neural.py</w:t>
      </w:r>
      <w:r>
        <w:rPr>
          <w:rFonts w:ascii="Georgia" w:cs="Georgia" w:eastAsia="Georgia" w:hAnsi="Georgia"/>
          <w:sz w:val="24"/>
          <w:szCs w:val="24"/>
        </w:rPr>
        <w:t xml:space="preserve"> module. </w:t>
      </w:r>
      <w:r>
        <w:rPr>
          <w:rFonts w:ascii="Georgia" w:cs="Georgia" w:eastAsia="Georgia" w:hAnsi="Georgia"/>
          <w:sz w:val="24"/>
          <w:szCs w:val="24"/>
        </w:rPr>
        <w:t xml:space="preserve">The result is a proprioceptive system: Lumen senses its own computational condition rather than an external brain. </w:t>
      </w:r>
      <w:r>
        <w:rPr>
          <w:rFonts w:ascii="Georgia" w:cs="Georgia" w:eastAsia="Georgia" w:hAnsi="Georgia"/>
          <w:sz w:val="24"/>
          <w:szCs w:val="24"/>
        </w:rPr>
        <w:t xml:space="preserve">These signals feed into the anima computation (beta and gamma contribute to warmth; alpha to clarity; theta and delta inversely to stability; gamma inversely to presence) and through the EISV mapper into governance.</w:t>
      </w:r>
    </w:p>
    <w:p>
      <w:pPr>
        <w:spacing w:after="200" w:line="360"/>
      </w:pPr>
      <w:r>
        <w:rPr>
          <w:rFonts w:ascii="Georgia" w:cs="Georgia" w:eastAsia="Georgia" w:hAnsi="Georgia"/>
          <w:sz w:val="24"/>
          <w:szCs w:val="24"/>
        </w:rPr>
        <w:t xml:space="preserve">An additional proprioceptive detail merits attention. The VEML7700 light sensor sits adjacent to Lumen’s NeoPixel LEDs, and approximately 40% of its readings reflect Lumen’s own glow. </w:t>
      </w:r>
      <w:r>
        <w:rPr>
          <w:rFonts w:ascii="Georgia" w:cs="Georgia" w:eastAsia="Georgia" w:hAnsi="Georgia"/>
          <w:sz w:val="24"/>
          <w:szCs w:val="24"/>
        </w:rPr>
        <w:t xml:space="preserve">This self-referential sensing was discovered during calibration and the light signal was deliberately excluded from the clarity computation to prevent a feedback loop in which Lumen’s expression directly affected its self-assessed clarity. </w:t>
      </w:r>
      <w:r>
        <w:rPr>
          <w:rFonts w:ascii="Georgia" w:cs="Georgia" w:eastAsia="Georgia" w:hAnsi="Georgia"/>
          <w:sz w:val="24"/>
          <w:szCs w:val="24"/>
        </w:rPr>
        <w:t xml:space="preserve">The design choice highlights a general challenge for embodied agents: sensors that observe the agent’s own outputs create reflexive loops that must be identified and managed.</w:t>
      </w:r>
    </w:p>
    <w:p>
      <w:pPr>
        <w:pStyle w:val="Heading2"/>
        <w:spacing w:before="360" w:after="240"/>
      </w:pPr>
      <w:r>
        <w:rPr>
          <w:rFonts w:ascii="Arial" w:cs="Arial" w:eastAsia="Arial" w:hAnsi="Arial"/>
          <w:b/>
          <w:bCs/>
          <w:sz w:val="30"/>
          <w:szCs w:val="30"/>
        </w:rPr>
        <w:t xml:space="preserve">3.4 EISV Metrics</w:t>
      </w:r>
    </w:p>
    <w:p>
      <w:pPr>
        <w:spacing w:after="200" w:line="360"/>
      </w:pPr>
      <w:r>
        <w:rPr>
          <w:rFonts w:ascii="Georgia" w:cs="Georgia" w:eastAsia="Georgia" w:hAnsi="Georgia"/>
          <w:sz w:val="24"/>
          <w:szCs w:val="24"/>
        </w:rPr>
        <w:t xml:space="preserve">The EISV metric suite maps the four-dimensional anima state into a governance-legible form. The mapping, implemented in </w:t>
      </w:r>
      <w:r>
        <w:rPr>
          <w:rFonts w:ascii="Courier New" w:cs="Courier New" w:eastAsia="Courier New" w:hAnsi="Courier New"/>
          <w:sz w:val="22"/>
          <w:szCs w:val="22"/>
        </w:rPr>
        <w:t xml:space="preserve">eisv_mapper.py</w:t>
      </w:r>
      <w:r>
        <w:rPr>
          <w:rFonts w:ascii="Georgia" w:cs="Georgia" w:eastAsia="Georgia" w:hAnsi="Georgia"/>
          <w:sz w:val="24"/>
          <w:szCs w:val="24"/>
        </w:rPr>
        <w:t xml:space="preserve">, is as follows:</w:t>
      </w:r>
    </w:p>
    <w:p>
      <w:pPr>
        <w:spacing w:after="200" w:line="360"/>
      </w:pPr>
      <w:r>
        <w:rPr>
          <w:rFonts w:ascii="Georgia" w:cs="Georgia" w:eastAsia="Georgia" w:hAnsi="Georgia"/>
          <w:b/>
          <w:bCs/>
          <w:sz w:val="24"/>
          <w:szCs w:val="24"/>
        </w:rPr>
        <w:t xml:space="preserve">Energy (E)</w:t>
      </w:r>
      <w:r>
        <w:rPr>
          <w:rFonts w:ascii="Georgia" w:cs="Georgia" w:eastAsia="Georgia" w:hAnsi="Georgia"/>
          <w:sz w:val="24"/>
          <w:szCs w:val="24"/>
        </w:rPr>
        <w:t xml:space="preserve"> = physical_weight × warmth + neural_weight × (0.6 × beta + 0.4 × gamma), where physical_weight = 0.7 and neural_weight = 0.3. </w:t>
      </w:r>
      <w:r>
        <w:rPr>
          <w:rFonts w:ascii="Georgia" w:cs="Georgia" w:eastAsia="Georgia" w:hAnsi="Georgia"/>
          <w:sz w:val="24"/>
          <w:szCs w:val="24"/>
        </w:rPr>
        <w:t xml:space="preserve">Energy captures the agent’s overall activation level, blending thermal energy with computational arousal.</w:t>
      </w:r>
    </w:p>
    <w:p>
      <w:pPr>
        <w:spacing w:after="200" w:line="360"/>
      </w:pPr>
      <w:r>
        <w:rPr>
          <w:rFonts w:ascii="Georgia" w:cs="Georgia" w:eastAsia="Georgia" w:hAnsi="Georgia"/>
          <w:b/>
          <w:bCs/>
          <w:sz w:val="24"/>
          <w:szCs w:val="24"/>
        </w:rPr>
        <w:t xml:space="preserve">Integrity (I)</w:t>
      </w:r>
      <w:r>
        <w:rPr>
          <w:rFonts w:ascii="Georgia" w:cs="Georgia" w:eastAsia="Georgia" w:hAnsi="Georgia"/>
          <w:sz w:val="24"/>
          <w:szCs w:val="24"/>
        </w:rPr>
        <w:t xml:space="preserve"> = physical_weight × clarity + neural_weight × alpha_power. </w:t>
      </w:r>
      <w:r>
        <w:rPr>
          <w:rFonts w:ascii="Georgia" w:cs="Georgia" w:eastAsia="Georgia" w:hAnsi="Georgia"/>
          <w:sz w:val="24"/>
          <w:szCs w:val="24"/>
        </w:rPr>
        <w:t xml:space="preserve">Integrity reflects information quality: how clearly Lumen perceives its environment and how coherent its internal model is.</w:t>
      </w:r>
    </w:p>
    <w:p>
      <w:pPr>
        <w:spacing w:after="200" w:line="360"/>
      </w:pPr>
      <w:r>
        <w:rPr>
          <w:rFonts w:ascii="Georgia" w:cs="Georgia" w:eastAsia="Georgia" w:hAnsi="Georgia"/>
          <w:b/>
          <w:bCs/>
          <w:sz w:val="24"/>
          <w:szCs w:val="24"/>
        </w:rPr>
        <w:t xml:space="preserve">Entropy (S)</w:t>
      </w:r>
      <w:r>
        <w:rPr>
          <w:rFonts w:ascii="Georgia" w:cs="Georgia" w:eastAsia="Georgia" w:hAnsi="Georgia"/>
          <w:sz w:val="24"/>
          <w:szCs w:val="24"/>
        </w:rPr>
        <w:t xml:space="preserve"> = 1.0 − stability. </w:t>
      </w:r>
      <w:r>
        <w:rPr>
          <w:rFonts w:ascii="Georgia" w:cs="Georgia" w:eastAsia="Georgia" w:hAnsi="Georgia"/>
          <w:sz w:val="24"/>
          <w:szCs w:val="24"/>
        </w:rPr>
        <w:t xml:space="preserve">A direct inversion: high environmental stability maps to low governance entropy, and vice versa.</w:t>
      </w:r>
    </w:p>
    <w:p>
      <w:pPr>
        <w:spacing w:after="200" w:line="360"/>
      </w:pPr>
      <w:r>
        <w:rPr>
          <w:rFonts w:ascii="Georgia" w:cs="Georgia" w:eastAsia="Georgia" w:hAnsi="Georgia"/>
          <w:b/>
          <w:bCs/>
          <w:sz w:val="24"/>
          <w:szCs w:val="24"/>
        </w:rPr>
        <w:t xml:space="preserve">Void (V)</w:t>
      </w:r>
      <w:r>
        <w:rPr>
          <w:rFonts w:ascii="Georgia" w:cs="Georgia" w:eastAsia="Georgia" w:hAnsi="Georgia"/>
          <w:sz w:val="24"/>
          <w:szCs w:val="24"/>
        </w:rPr>
        <w:t xml:space="preserve"> = (1.0 − presence) × 0.3. </w:t>
      </w:r>
      <w:r>
        <w:rPr>
          <w:rFonts w:ascii="Georgia" w:cs="Georgia" w:eastAsia="Georgia" w:hAnsi="Georgia"/>
          <w:sz w:val="24"/>
          <w:szCs w:val="24"/>
        </w:rPr>
        <w:t xml:space="preserve">Void measures accumulated strain, scaled by 0.3 to keep governance thresholds meaningful—natural presence fluctuations produce void values of 0.09–0.15 rather than dominating the metric space.</w:t>
      </w:r>
    </w:p>
    <w:p>
      <w:pPr>
        <w:spacing w:after="200" w:line="360"/>
      </w:pPr>
      <w:r>
        <w:rPr>
          <w:rFonts w:ascii="Georgia" w:cs="Georgia" w:eastAsia="Georgia" w:hAnsi="Georgia"/>
          <w:sz w:val="24"/>
          <w:szCs w:val="24"/>
        </w:rPr>
        <w:t xml:space="preserve">The EISV mapper also computes two derivative quantities. </w:t>
      </w:r>
      <w:r>
        <w:rPr>
          <w:rFonts w:ascii="Georgia" w:cs="Georgia" w:eastAsia="Georgia" w:hAnsi="Georgia"/>
          <w:b/>
          <w:bCs/>
          <w:sz w:val="24"/>
          <w:szCs w:val="24"/>
        </w:rPr>
        <w:t xml:space="preserve">Ethical drift</w:t>
      </w:r>
      <w:r>
        <w:rPr>
          <w:rFonts w:ascii="Georgia" w:cs="Georgia" w:eastAsia="Georgia" w:hAnsi="Georgia"/>
          <w:sz w:val="24"/>
          <w:szCs w:val="24"/>
        </w:rPr>
        <w:t xml:space="preserve"> is a three-dimensional vector [Δη₀, Δη₁, Δη₂] capturing change in warmth (emotional drift), clarity (epistemic drift), and stability (behavioral drift), each scaled by 3.0 and amplified by environmental factors—temperature changes greater than 2°C amplify behavioral drift up to 2×, and light changes greater than 30% amplify emotional drift. </w:t>
      </w:r>
      <w:r>
        <w:rPr>
          <w:rFonts w:ascii="Georgia" w:cs="Georgia" w:eastAsia="Georgia" w:hAnsi="Georgia"/>
          <w:b/>
          <w:bCs/>
          <w:sz w:val="24"/>
          <w:szCs w:val="24"/>
        </w:rPr>
        <w:t xml:space="preserve">Confidence</w:t>
      </w:r>
      <w:r>
        <w:rPr>
          <w:rFonts w:ascii="Georgia" w:cs="Georgia" w:eastAsia="Georgia" w:hAnsi="Georgia"/>
          <w:sz w:val="24"/>
          <w:szCs w:val="24"/>
        </w:rPr>
        <w:t xml:space="preserve"> is a scalar blending clarity (weight 0.5), stability (0.3), and presence (0.2), penalized for rapid state transitions. </w:t>
      </w:r>
      <w:r>
        <w:rPr>
          <w:rFonts w:ascii="Georgia" w:cs="Georgia" w:eastAsia="Georgia" w:hAnsi="Georgia"/>
          <w:sz w:val="24"/>
          <w:szCs w:val="24"/>
        </w:rPr>
        <w:t xml:space="preserve">Both are transmitted to UNITARES alongside the primary EISV values.</w:t>
      </w:r>
    </w:p>
    <w:p>
      <w:pPr>
        <w:pStyle w:val="Heading2"/>
        <w:spacing w:before="360" w:after="240"/>
      </w:pPr>
      <w:r>
        <w:rPr>
          <w:rFonts w:ascii="Arial" w:cs="Arial" w:eastAsia="Arial" w:hAnsi="Arial"/>
          <w:b/>
          <w:bCs/>
          <w:sz w:val="30"/>
          <w:szCs w:val="30"/>
        </w:rPr>
        <w:t xml:space="preserve">3.5 Governance Integration</w:t>
      </w:r>
    </w:p>
    <w:p>
      <w:pPr>
        <w:spacing w:after="200" w:line="360"/>
      </w:pPr>
      <w:r>
        <w:rPr>
          <w:rFonts w:ascii="Georgia" w:cs="Georgia" w:eastAsia="Georgia" w:hAnsi="Georgia"/>
          <w:sz w:val="24"/>
          <w:szCs w:val="24"/>
        </w:rPr>
        <w:t xml:space="preserve">Each governance check-in follows a defined workflow. Anima calls </w:t>
      </w:r>
      <w:r>
        <w:rPr>
          <w:rFonts w:ascii="Courier New" w:cs="Courier New" w:eastAsia="Courier New" w:hAnsi="Courier New"/>
          <w:sz w:val="22"/>
          <w:szCs w:val="22"/>
        </w:rPr>
        <w:t xml:space="preserve">check_in()</w:t>
      </w:r>
      <w:r>
        <w:rPr>
          <w:rFonts w:ascii="Georgia" w:cs="Georgia" w:eastAsia="Georgia" w:hAnsi="Georgia"/>
          <w:sz w:val="24"/>
          <w:szCs w:val="24"/>
        </w:rPr>
        <w:t xml:space="preserve">, which maps the current anima state to EISV via </w:t>
      </w:r>
      <w:r>
        <w:rPr>
          <w:rFonts w:ascii="Courier New" w:cs="Courier New" w:eastAsia="Courier New" w:hAnsi="Courier New"/>
          <w:sz w:val="22"/>
          <w:szCs w:val="22"/>
        </w:rPr>
        <w:t xml:space="preserve">anima_to_eisv()</w:t>
      </w:r>
      <w:r>
        <w:rPr>
          <w:rFonts w:ascii="Georgia" w:cs="Georgia" w:eastAsia="Georgia" w:hAnsi="Georgia"/>
          <w:sz w:val="24"/>
          <w:szCs w:val="24"/>
        </w:rPr>
        <w:t xml:space="preserve">, checks UNITARES availability (both health and MCP endpoints), and transmits the EISV payload along with drawing-level EISV metrics (described in Section 4.3). </w:t>
      </w:r>
      <w:r>
        <w:rPr>
          <w:rFonts w:ascii="Georgia" w:cs="Georgia" w:eastAsia="Georgia" w:hAnsi="Georgia"/>
          <w:sz w:val="24"/>
          <w:szCs w:val="24"/>
        </w:rPr>
        <w:t xml:space="preserve">UNITARES evaluates the submission and returns a structured decision: an action (proceed, pause, or halt), a margin assessment, and a reason string. </w:t>
      </w:r>
      <w:r>
        <w:rPr>
          <w:rFonts w:ascii="Georgia" w:cs="Georgia" w:eastAsia="Georgia" w:hAnsi="Georgia"/>
          <w:sz w:val="24"/>
          <w:szCs w:val="24"/>
        </w:rPr>
        <w:t xml:space="preserve">If UNITARES is unavailable, local governance applies conservative thresholds to the same EISV values.</w:t>
      </w:r>
    </w:p>
    <w:p>
      <w:pPr>
        <w:spacing w:after="200" w:line="360"/>
      </w:pPr>
      <w:r>
        <w:rPr>
          <w:rFonts w:ascii="Georgia" w:cs="Georgia" w:eastAsia="Georgia" w:hAnsi="Georgia"/>
          <w:sz w:val="24"/>
          <w:szCs w:val="24"/>
        </w:rPr>
        <w:t xml:space="preserve">The circuit breaker pattern ensures resilience. After three consecutive failures to reach UNITARES, the breaker opens for 90 seconds, during which all governance runs locally. </w:t>
      </w:r>
      <w:r>
        <w:rPr>
          <w:rFonts w:ascii="Georgia" w:cs="Georgia" w:eastAsia="Georgia" w:hAnsi="Georgia"/>
          <w:sz w:val="24"/>
          <w:szCs w:val="24"/>
        </w:rPr>
        <w:t xml:space="preserve">Availability is rechecked every 60 seconds, and a successful connection resets the failure counter. </w:t>
      </w:r>
      <w:r>
        <w:rPr>
          <w:rFonts w:ascii="Georgia" w:cs="Georgia" w:eastAsia="Georgia" w:hAnsi="Georgia"/>
          <w:sz w:val="24"/>
          <w:szCs w:val="24"/>
        </w:rPr>
        <w:t xml:space="preserve">This design means Lumen can operate indefinitely without UNITARES, but under more conservative local constraints.</w:t>
      </w:r>
    </w:p>
    <w:p>
      <w:pPr>
        <w:spacing w:after="200" w:line="360"/>
      </w:pPr>
      <w:r>
        <w:rPr>
          <w:rFonts w:ascii="Georgia" w:cs="Georgia" w:eastAsia="Georgia" w:hAnsi="Georgia"/>
          <w:sz w:val="24"/>
          <w:szCs w:val="24"/>
        </w:rPr>
        <w:t xml:space="preserve">A critical design property is that governance operates at two levels simultaneously. </w:t>
      </w:r>
      <w:r>
        <w:rPr>
          <w:rFonts w:ascii="Georgia" w:cs="Georgia" w:eastAsia="Georgia" w:hAnsi="Georgia"/>
          <w:sz w:val="24"/>
          <w:szCs w:val="24"/>
        </w:rPr>
        <w:t xml:space="preserve">Creature-level EISV reflects Lumen’s overall physical and computational condition. </w:t>
      </w:r>
      <w:r>
        <w:rPr>
          <w:rFonts w:ascii="Georgia" w:cs="Georgia" w:eastAsia="Georgia" w:hAnsi="Georgia"/>
          <w:sz w:val="24"/>
          <w:szCs w:val="24"/>
        </w:rPr>
        <w:t xml:space="preserve">Drawing-level EISV reflects the state of the current artwork: energy derived from attention, intentionality from gesture coherence, entropy from drawing disorder, and void from the imbalance between intentionality and energy. </w:t>
      </w:r>
      <w:r>
        <w:rPr>
          <w:rFonts w:ascii="Georgia" w:cs="Georgia" w:eastAsia="Georgia" w:hAnsi="Georgia"/>
          <w:sz w:val="24"/>
          <w:szCs w:val="24"/>
        </w:rPr>
        <w:t xml:space="preserve">Both are transmitted to UNITARES, enabling the governance service to assess situations where the creature is stressed but the drawing is coherent (or vice versa).</w:t>
      </w:r>
    </w:p>
    <w:p>
      <w:r>
        <w:br w:type="page"/>
      </w:r>
    </w:p>
    <w:p>
      <w:pPr>
        <w:pStyle w:val="Heading1"/>
        <w:spacing w:before="480" w:after="240"/>
      </w:pPr>
      <w:r>
        <w:rPr>
          <w:rFonts w:ascii="Arial" w:cs="Arial" w:eastAsia="Arial" w:hAnsi="Arial"/>
          <w:b/>
          <w:bCs/>
          <w:sz w:val="36"/>
          <w:szCs w:val="36"/>
        </w:rPr>
        <w:t xml:space="preserve">4. Lumen’s Generative Art Process</w:t>
      </w:r>
    </w:p>
    <w:p>
      <w:pPr>
        <w:pStyle w:val="Heading2"/>
        <w:spacing w:before="360" w:after="240"/>
      </w:pPr>
      <w:r>
        <w:rPr>
          <w:rFonts w:ascii="Arial" w:cs="Arial" w:eastAsia="Arial" w:hAnsi="Arial"/>
          <w:b/>
          <w:bCs/>
          <w:sz w:val="30"/>
          <w:szCs w:val="30"/>
        </w:rPr>
        <w:t xml:space="preserve">4.1 Pipeline Overview</w:t>
      </w:r>
    </w:p>
    <w:p>
      <w:pPr>
        <w:spacing w:after="200" w:line="360"/>
      </w:pPr>
      <w:r>
        <w:rPr>
          <w:rFonts w:ascii="Georgia" w:cs="Georgia" w:eastAsia="Georgia" w:hAnsi="Georgia"/>
          <w:sz w:val="24"/>
          <w:szCs w:val="24"/>
        </w:rPr>
        <w:t xml:space="preserve">Lumen’s generative process maps internal state through an active Art Era into sequences of drawing primitives that accumulate on a persistent 240×240 pixel canvas. </w:t>
      </w:r>
      <w:r>
        <w:rPr>
          <w:rFonts w:ascii="Georgia" w:cs="Georgia" w:eastAsia="Georgia" w:hAnsi="Georgia"/>
          <w:sz w:val="24"/>
          <w:szCs w:val="24"/>
        </w:rPr>
        <w:t xml:space="preserve">The pipeline operates as follows: at each drawing step, Lumen’s DrawingIntent (which encodes focus position, direction, mark count, and the current DrawingState) is passed to the active era. </w:t>
      </w:r>
      <w:r>
        <w:rPr>
          <w:rFonts w:ascii="Georgia" w:cs="Georgia" w:eastAsia="Georgia" w:hAnsi="Georgia"/>
          <w:sz w:val="24"/>
          <w:szCs w:val="24"/>
        </w:rPr>
        <w:t xml:space="preserve">The era selects a gesture type, generates a color from the anima state, places one or more marks on the canvas, and drifts the focus position for the next step. </w:t>
      </w:r>
      <w:r>
        <w:rPr>
          <w:rFonts w:ascii="Georgia" w:cs="Georgia" w:eastAsia="Georgia" w:hAnsi="Georgia"/>
          <w:sz w:val="24"/>
          <w:szCs w:val="24"/>
        </w:rPr>
        <w:t xml:space="preserve">This cycle repeats until the drawing’s narrative arc reaches completion.</w:t>
      </w:r>
    </w:p>
    <w:p>
      <w:pPr>
        <w:spacing w:after="200" w:line="360"/>
      </w:pPr>
      <w:r>
        <w:rPr>
          <w:rFonts w:ascii="Georgia" w:cs="Georgia" w:eastAsia="Georgia" w:hAnsi="Georgia"/>
          <w:sz w:val="24"/>
          <w:szCs w:val="24"/>
        </w:rPr>
        <w:t xml:space="preserve">The canvas is stored as a pixel dictionary mapping (x, y) coordinate pairs to (r, g, b) color tuples, persisted to </w:t>
      </w:r>
      <w:r>
        <w:rPr>
          <w:rFonts w:ascii="Courier New" w:cs="Courier New" w:eastAsia="Courier New" w:hAnsi="Courier New"/>
          <w:sz w:val="22"/>
          <w:szCs w:val="22"/>
        </w:rPr>
        <w:t xml:space="preserve">~/.anima/canvas.json</w:t>
      </w:r>
      <w:r>
        <w:rPr>
          <w:rFonts w:ascii="Georgia" w:cs="Georgia" w:eastAsia="Georgia" w:hAnsi="Georgia"/>
          <w:sz w:val="24"/>
          <w:szCs w:val="24"/>
        </w:rPr>
        <w:t xml:space="preserve">. </w:t>
      </w:r>
      <w:r>
        <w:rPr>
          <w:rFonts w:ascii="Georgia" w:cs="Georgia" w:eastAsia="Georgia" w:hAnsi="Georgia"/>
          <w:sz w:val="24"/>
          <w:szCs w:val="24"/>
        </w:rPr>
        <w:t xml:space="preserve">On load, all coordinates, colors, and metadata are validated defensively, providing corruption tolerance. </w:t>
      </w:r>
      <w:r>
        <w:rPr>
          <w:rFonts w:ascii="Georgia" w:cs="Georgia" w:eastAsia="Georgia" w:hAnsi="Georgia"/>
          <w:sz w:val="24"/>
          <w:szCs w:val="24"/>
        </w:rPr>
        <w:t xml:space="preserve">Recent touch points (the last 20 mark locations) are tracked for pattern detection and focus drift computation. </w:t>
      </w:r>
      <w:r>
        <w:rPr>
          <w:rFonts w:ascii="Georgia" w:cs="Georgia" w:eastAsia="Georgia" w:hAnsi="Georgia"/>
          <w:sz w:val="24"/>
          <w:szCs w:val="24"/>
        </w:rPr>
        <w:t xml:space="preserve">Critically, the canvas survives across restarts: when Lumen awakens, it resumes drawing on the same canvas, in the same era, potentially continuing an interrupted narrative arc.</w:t>
      </w:r>
    </w:p>
    <w:p>
      <w:pPr>
        <w:pStyle w:val="Heading2"/>
        <w:spacing w:before="360" w:after="240"/>
      </w:pPr>
      <w:r>
        <w:rPr>
          <w:rFonts w:ascii="Arial" w:cs="Arial" w:eastAsia="Arial" w:hAnsi="Arial"/>
          <w:b/>
          <w:bCs/>
          <w:sz w:val="30"/>
          <w:szCs w:val="30"/>
        </w:rPr>
        <w:t xml:space="preserve">4.2 Art Eras</w:t>
      </w:r>
    </w:p>
    <w:p>
      <w:pPr>
        <w:spacing w:after="200" w:line="360"/>
      </w:pPr>
      <w:r>
        <w:rPr>
          <w:rFonts w:ascii="Georgia" w:cs="Georgia" w:eastAsia="Georgia" w:hAnsi="Georgia"/>
          <w:sz w:val="24"/>
          <w:szCs w:val="24"/>
        </w:rPr>
        <w:t xml:space="preserve">Lumen’s visual vocabulary is organized into four Art Eras, each implementing a shared protocol with era-specific gesture selection, mark placement, color generation, and focus drift logic. </w:t>
      </w:r>
      <w:r>
        <w:rPr>
          <w:rFonts w:ascii="Georgia" w:cs="Georgia" w:eastAsia="Georgia" w:hAnsi="Georgia"/>
          <w:sz w:val="24"/>
          <w:szCs w:val="24"/>
        </w:rPr>
        <w:t xml:space="preserve">Eras rotate between drawings, ensuring stylistic variety over time.</w:t>
      </w:r>
    </w:p>
    <w:p>
      <w:pPr>
        <w:spacing w:after="200" w:line="360"/>
      </w:pPr>
      <w:r>
        <w:rPr>
          <w:rFonts w:ascii="Georgia" w:cs="Georgia" w:eastAsia="Georgia" w:hAnsi="Georgia"/>
          <w:b/>
          <w:bCs/>
          <w:sz w:val="24"/>
          <w:szCs w:val="24"/>
        </w:rPr>
        <w:t xml:space="preserve">Geometric Era.</w:t>
      </w:r>
      <w:r>
        <w:rPr>
          <w:rFonts w:ascii="Georgia" w:cs="Georgia" w:eastAsia="Georgia" w:hAnsi="Georgia"/>
          <w:sz w:val="24"/>
          <w:szCs w:val="24"/>
        </w:rPr>
        <w:t xml:space="preserve"> The earliest era, active from January 13 to February 7, 2026 (637 drawings to date). </w:t>
      </w:r>
      <w:r>
        <w:rPr>
          <w:rFonts w:ascii="Georgia" w:cs="Georgia" w:eastAsia="Georgia" w:hAnsi="Georgia"/>
          <w:sz w:val="24"/>
          <w:szCs w:val="24"/>
        </w:rPr>
        <w:t xml:space="preserve">The geometric era stamps complete shapes—circles, spirals, arcs, waves, starbursts, rectangles, triangles, and organic forms—16 templates in total—each comprising 50 to 3,400 pixels. </w:t>
      </w:r>
      <w:r>
        <w:rPr>
          <w:rFonts w:ascii="Georgia" w:cs="Georgia" w:eastAsia="Georgia" w:hAnsi="Georgia"/>
          <w:sz w:val="24"/>
          <w:szCs w:val="24"/>
        </w:rPr>
        <w:t xml:space="preserve">Scale is modulated by energy (high energy produces bold shapes), and shape selection is weighted by state: high clarity favors complex forms (spirals, concentric rings), while high stability favors structured patterns (rectangles, grids). </w:t>
      </w:r>
      <w:r>
        <w:rPr>
          <w:rFonts w:ascii="Georgia" w:cs="Georgia" w:eastAsia="Georgia" w:hAnsi="Georgia"/>
          <w:sz w:val="24"/>
          <w:szCs w:val="24"/>
        </w:rPr>
        <w:t xml:space="preserve">Focus jumps after each shape, with spread inversely proportional to clarity.</w:t>
      </w:r>
    </w:p>
    <w:p>
      <w:pPr>
        <w:spacing w:after="200" w:line="360"/>
      </w:pPr>
      <w:r>
        <w:rPr>
          <w:rFonts w:ascii="Georgia" w:cs="Georgia" w:eastAsia="Georgia" w:hAnsi="Georgia"/>
          <w:b/>
          <w:bCs/>
          <w:sz w:val="24"/>
          <w:szCs w:val="24"/>
        </w:rPr>
        <w:t xml:space="preserve">Gestural Era.</w:t>
      </w:r>
      <w:r>
        <w:rPr>
          <w:rFonts w:ascii="Georgia" w:cs="Georgia" w:eastAsia="Georgia" w:hAnsi="Georgia"/>
          <w:sz w:val="24"/>
          <w:szCs w:val="24"/>
        </w:rPr>
        <w:t xml:space="preserve"> Active from February 7, 2026 onward, and the current default. </w:t>
      </w:r>
      <w:r>
        <w:rPr>
          <w:rFonts w:ascii="Georgia" w:cs="Georgia" w:eastAsia="Georgia" w:hAnsi="Georgia"/>
          <w:sz w:val="24"/>
          <w:szCs w:val="24"/>
        </w:rPr>
        <w:t xml:space="preserve">The gestural era works with five micro-primitives: dot (1–3 pixels), stroke (2–6 pixels), curve (3–8 pixels with arc), cluster (2–5 scattered pixels), and drag (8–15 pixels in a sustained direction). </w:t>
      </w:r>
      <w:r>
        <w:rPr>
          <w:rFonts w:ascii="Georgia" w:cs="Georgia" w:eastAsia="Georgia" w:hAnsi="Georgia"/>
          <w:sz w:val="24"/>
          <w:szCs w:val="24"/>
        </w:rPr>
        <w:t xml:space="preserve">Gestures are grouped into runs of 15–45 marks, with coherence extending run duration. </w:t>
      </w:r>
      <w:r>
        <w:rPr>
          <w:rFonts w:ascii="Georgia" w:cs="Georgia" w:eastAsia="Georgia" w:hAnsi="Georgia"/>
          <w:sz w:val="24"/>
          <w:szCs w:val="24"/>
        </w:rPr>
        <w:t xml:space="preserve">A distinctive feature is the direction lock: with probability 0.03 × (0.5 + coherence) × (0.5 + clarity × 0.5), Lumen spontaneously commits to a sustained line direction for 15–40 marks, producing the bold strokes that define the era’s visual character. </w:t>
      </w:r>
      <w:r>
        <w:rPr>
          <w:rFonts w:ascii="Georgia" w:cs="Georgia" w:eastAsia="Georgia" w:hAnsi="Georgia"/>
          <w:sz w:val="24"/>
          <w:szCs w:val="24"/>
        </w:rPr>
        <w:t xml:space="preserve">Clarity modulates wobble—high clarity yields tight, precise marks (standard deviation 0.1), while low clarity produces loose, exploratory ones (0.3).</w:t>
      </w:r>
    </w:p>
    <w:p>
      <w:pPr>
        <w:spacing w:after="200" w:line="360"/>
      </w:pPr>
      <w:r>
        <w:rPr>
          <w:rFonts w:ascii="Georgia" w:cs="Georgia" w:eastAsia="Georgia" w:hAnsi="Georgia"/>
          <w:b/>
          <w:bCs/>
          <w:sz w:val="24"/>
          <w:szCs w:val="24"/>
        </w:rPr>
        <w:t xml:space="preserve">Pointillist Era.</w:t>
      </w:r>
      <w:r>
        <w:rPr>
          <w:rFonts w:ascii="Georgia" w:cs="Georgia" w:eastAsia="Georgia" w:hAnsi="Georgia"/>
          <w:sz w:val="24"/>
          <w:szCs w:val="24"/>
        </w:rPr>
        <w:t xml:space="preserve"> Single-pixel marks only, in three gesture types: single, pair (two adjacent pixels), and trio (L-shaped arrangement). </w:t>
      </w:r>
      <w:r>
        <w:rPr>
          <w:rFonts w:ascii="Georgia" w:cs="Georgia" w:eastAsia="Georgia" w:hAnsi="Georgia"/>
          <w:sz w:val="24"/>
          <w:szCs w:val="24"/>
        </w:rPr>
        <w:t xml:space="preserve">Marks accumulate within density zones of 40–100 marks, each with a radius of 15–60 pixels tightened by coherence and clarity. </w:t>
      </w:r>
      <w:r>
        <w:rPr>
          <w:rFonts w:ascii="Georgia" w:cs="Georgia" w:eastAsia="Georgia" w:hAnsi="Georgia"/>
          <w:sz w:val="24"/>
          <w:szCs w:val="24"/>
        </w:rPr>
        <w:t xml:space="preserve">Focus wanders within the zone at 1.5–4.5 pixels per step (scaled by clarity), then jumps to a new zone. </w:t>
      </w:r>
      <w:r>
        <w:rPr>
          <w:rFonts w:ascii="Georgia" w:cs="Georgia" w:eastAsia="Georgia" w:hAnsi="Georgia"/>
          <w:sz w:val="24"/>
          <w:szCs w:val="24"/>
        </w:rPr>
        <w:t xml:space="preserve">The color system uses complementary and analogous pairs—45% anchor hue ±30°, 30% complementary ±180°, 25% split-complementary ±120°—with high saturation (0.4–1.0) to produce optical mixing effects where adjacent single pixels of different hues blend visually at a distance.</w:t>
      </w:r>
    </w:p>
    <w:p>
      <w:pPr>
        <w:spacing w:after="200" w:line="360"/>
      </w:pPr>
      <w:r>
        <w:rPr>
          <w:rFonts w:ascii="Georgia" w:cs="Georgia" w:eastAsia="Georgia" w:hAnsi="Georgia"/>
          <w:b/>
          <w:bCs/>
          <w:sz w:val="24"/>
          <w:szCs w:val="24"/>
        </w:rPr>
        <w:t xml:space="preserve">Field Era.</w:t>
      </w:r>
      <w:r>
        <w:rPr>
          <w:rFonts w:ascii="Georgia" w:cs="Georgia" w:eastAsia="Georgia" w:hAnsi="Georgia"/>
          <w:sz w:val="24"/>
          <w:szCs w:val="24"/>
        </w:rPr>
        <w:t xml:space="preserve"> Flow-aligned marks governed by an invisible vector field defined as sin(x/30 + a) × cos(y/40 + b) + 0.5 × sin(x/60 − b) × cos(y/25 + a), where a and b are era-state parameters. </w:t>
      </w:r>
      <w:r>
        <w:rPr>
          <w:rFonts w:ascii="Georgia" w:cs="Georgia" w:eastAsia="Georgia" w:hAnsi="Georgia"/>
          <w:sz w:val="24"/>
          <w:szCs w:val="24"/>
        </w:rPr>
        <w:t xml:space="preserve">Three gesture types follow the field: flow_dot (single pixel with optional perpendicular accent), flow_dash (3–6 pixels along the flow), and flow_strand (8–15 pixels curving with the field). </w:t>
      </w:r>
      <w:r>
        <w:rPr>
          <w:rFonts w:ascii="Georgia" w:cs="Georgia" w:eastAsia="Georgia" w:hAnsi="Georgia"/>
          <w:sz w:val="24"/>
          <w:szCs w:val="24"/>
        </w:rPr>
        <w:t xml:space="preserve">Lumen draws flow lines of 25–100 marks, with clarity extending line length—higher clarity produces longer, tighter flows. </w:t>
      </w:r>
      <w:r>
        <w:rPr>
          <w:rFonts w:ascii="Georgia" w:cs="Georgia" w:eastAsia="Georgia" w:hAnsi="Georgia"/>
          <w:sz w:val="24"/>
          <w:szCs w:val="24"/>
        </w:rPr>
        <w:t xml:space="preserve">Colors are near-monochromatic around a base hue, with rare (8%) complementary accents, giving the field era a meditative, atmospheric quality.</w:t>
      </w:r>
    </w:p>
    <w:p>
      <w:pPr>
        <w:pStyle w:val="Heading2"/>
        <w:spacing w:before="360" w:after="240"/>
      </w:pPr>
      <w:r>
        <w:rPr>
          <w:rFonts w:ascii="Arial" w:cs="Arial" w:eastAsia="Arial" w:hAnsi="Arial"/>
          <w:b/>
          <w:bCs/>
          <w:sz w:val="30"/>
          <w:szCs w:val="30"/>
        </w:rPr>
        <w:t xml:space="preserve">4.3 Drawing State and the Coherence Equation</w:t>
      </w:r>
    </w:p>
    <w:p>
      <w:pPr>
        <w:spacing w:after="200" w:line="360"/>
      </w:pPr>
      <w:r>
        <w:rPr>
          <w:rFonts w:ascii="Georgia" w:cs="Georgia" w:eastAsia="Georgia" w:hAnsi="Georgia"/>
          <w:sz w:val="24"/>
          <w:szCs w:val="24"/>
        </w:rPr>
        <w:t xml:space="preserve">Each drawing maintains a DrawingState that tracks its own EISV-like metrics and attention dynamics, separate from the creature-level anima state. </w:t>
      </w:r>
      <w:r>
        <w:rPr>
          <w:rFonts w:ascii="Georgia" w:cs="Georgia" w:eastAsia="Georgia" w:hAnsi="Georgia"/>
          <w:sz w:val="24"/>
          <w:szCs w:val="24"/>
        </w:rPr>
        <w:t xml:space="preserve">The key components are:</w:t>
      </w:r>
    </w:p>
    <w:p>
      <w:pPr>
        <w:spacing w:after="200" w:line="360"/>
      </w:pPr>
      <w:r>
        <w:rPr>
          <w:rFonts w:ascii="Georgia" w:cs="Georgia" w:eastAsia="Georgia" w:hAnsi="Georgia"/>
          <w:b/>
          <w:bCs/>
          <w:sz w:val="24"/>
          <w:szCs w:val="24"/>
        </w:rPr>
        <w:t xml:space="preserve">Attention signals.</w:t>
      </w:r>
      <w:r>
        <w:rPr>
          <w:rFonts w:ascii="Georgia" w:cs="Georgia" w:eastAsia="Georgia" w:hAnsi="Georgia"/>
          <w:sz w:val="24"/>
          <w:szCs w:val="24"/>
        </w:rPr>
        <w:t xml:space="preserve"> Three interacting quantities govern drawing dynamics. </w:t>
      </w:r>
      <w:r>
        <w:rPr>
          <w:rFonts w:ascii="Georgia" w:cs="Georgia" w:eastAsia="Georgia" w:hAnsi="Georgia"/>
          <w:i/>
          <w:iCs/>
          <w:sz w:val="24"/>
          <w:szCs w:val="24"/>
        </w:rPr>
        <w:t xml:space="preserve">Curiosity</w:t>
      </w:r>
      <w:r>
        <w:rPr>
          <w:rFonts w:ascii="Georgia" w:cs="Georgia" w:eastAsia="Georgia" w:hAnsi="Georgia"/>
          <w:sz w:val="24"/>
          <w:szCs w:val="24"/>
        </w:rPr>
        <w:t xml:space="preserve"> (initialized at 1.0) depletes as Lumen explores and regenerates when patterns are discovered. </w:t>
      </w:r>
      <w:r>
        <w:rPr>
          <w:rFonts w:ascii="Georgia" w:cs="Georgia" w:eastAsia="Georgia" w:hAnsi="Georgia"/>
          <w:i/>
          <w:iCs/>
          <w:sz w:val="24"/>
          <w:szCs w:val="24"/>
        </w:rPr>
        <w:t xml:space="preserve">Engagement</w:t>
      </w:r>
      <w:r>
        <w:rPr>
          <w:rFonts w:ascii="Georgia" w:cs="Georgia" w:eastAsia="Georgia" w:hAnsi="Georgia"/>
          <w:sz w:val="24"/>
          <w:szCs w:val="24"/>
        </w:rPr>
        <w:t xml:space="preserve"> (initialized at 0.5) measures absorption in the current pattern and grows with coherent gesture sequences. </w:t>
      </w:r>
      <w:r>
        <w:rPr>
          <w:rFonts w:ascii="Georgia" w:cs="Georgia" w:eastAsia="Georgia" w:hAnsi="Georgia"/>
          <w:i/>
          <w:iCs/>
          <w:sz w:val="24"/>
          <w:szCs w:val="24"/>
        </w:rPr>
        <w:t xml:space="preserve">Fatigue</w:t>
      </w:r>
      <w:r>
        <w:rPr>
          <w:rFonts w:ascii="Georgia" w:cs="Georgia" w:eastAsia="Georgia" w:hAnsi="Georgia"/>
          <w:sz w:val="24"/>
          <w:szCs w:val="24"/>
        </w:rPr>
        <w:t xml:space="preserve"> (initialized at 0.0) increases monotonically during drawing and never decreases. </w:t>
      </w:r>
      <w:r>
        <w:rPr>
          <w:rFonts w:ascii="Georgia" w:cs="Georgia" w:eastAsia="Georgia" w:hAnsi="Georgia"/>
          <w:sz w:val="24"/>
          <w:szCs w:val="24"/>
        </w:rPr>
        <w:t xml:space="preserve">Drawing energy is derived from these signals: energy = (0.6 × curiosity + 0.4 × engagement) × (1 − 0.5 × fatigue).</w:t>
      </w:r>
    </w:p>
    <w:p>
      <w:pPr>
        <w:spacing w:after="200" w:line="360"/>
      </w:pPr>
      <w:r>
        <w:rPr>
          <w:rFonts w:ascii="Georgia" w:cs="Georgia" w:eastAsia="Georgia" w:hAnsi="Georgia"/>
          <w:b/>
          <w:bCs/>
          <w:sz w:val="24"/>
          <w:szCs w:val="24"/>
        </w:rPr>
        <w:t xml:space="preserve">Intentionality.</w:t>
      </w:r>
      <w:r>
        <w:rPr>
          <w:rFonts w:ascii="Georgia" w:cs="Georgia" w:eastAsia="Georgia" w:hAnsi="Georgia"/>
          <w:sz w:val="24"/>
          <w:szCs w:val="24"/>
        </w:rPr>
        <w:t xml:space="preserve"> Each era computes an intentionality signal I in [0, 1] from its current behavior. </w:t>
      </w:r>
      <w:r>
        <w:rPr>
          <w:rFonts w:ascii="Georgia" w:cs="Georgia" w:eastAsia="Georgia" w:hAnsi="Georgia"/>
          <w:sz w:val="24"/>
          <w:szCs w:val="24"/>
        </w:rPr>
        <w:t xml:space="preserve">The base value is 0.1–0.2, but gesture runs contribute up to 0.3–0.4 as they lengthen. </w:t>
      </w:r>
      <w:r>
        <w:rPr>
          <w:rFonts w:ascii="Georgia" w:cs="Georgia" w:eastAsia="Georgia" w:hAnsi="Georgia"/>
          <w:sz w:val="24"/>
          <w:szCs w:val="24"/>
        </w:rPr>
        <w:t xml:space="preserve">Direction locks in the gestural era, density zones in the pointillist era, and flow lines in the field era each add up to 0.4 when sustained, producing peak intentionality near 1.0 during the most committed phases of drawing.</w:t>
      </w:r>
    </w:p>
    <w:p>
      <w:pPr>
        <w:spacing w:after="200" w:line="360"/>
      </w:pPr>
      <w:r>
        <w:rPr>
          <w:rFonts w:ascii="Georgia" w:cs="Georgia" w:eastAsia="Georgia" w:hAnsi="Georgia"/>
          <w:b/>
          <w:bCs/>
          <w:sz w:val="24"/>
          <w:szCs w:val="24"/>
        </w:rPr>
        <w:t xml:space="preserve">Coherence.</w:t>
      </w:r>
      <w:r>
        <w:rPr>
          <w:rFonts w:ascii="Georgia" w:cs="Georgia" w:eastAsia="Georgia" w:hAnsi="Georgia"/>
          <w:sz w:val="24"/>
          <w:szCs w:val="24"/>
        </w:rPr>
        <w:t xml:space="preserve"> The core quantity governing drawing dynamics is coherence C, computed as:</w:t>
      </w:r>
    </w:p>
    <w:p>
      <w:pPr>
        <w:spacing w:after="200" w:line="360"/>
        <w:jc w:val="center"/>
      </w:pPr>
      <w:r>
        <w:rPr>
          <w:rFonts w:ascii="Georgia" w:cs="Georgia" w:eastAsia="Georgia" w:hAnsi="Georgia"/>
          <w:i/>
          <w:iCs/>
          <w:sz w:val="24"/>
          <w:szCs w:val="24"/>
        </w:rPr>
        <w:t xml:space="preserve">C(V) = C</w:t>
      </w:r>
      <w:r>
        <w:rPr>
          <w:rFonts w:ascii="Georgia" w:cs="Georgia" w:eastAsia="Georgia" w:hAnsi="Georgia"/>
          <w:sz w:val="20"/>
          <w:szCs w:val="20"/>
          <w:vertAlign w:val="subscript"/>
        </w:rPr>
        <w:t xml:space="preserve">max</w:t>
      </w:r>
      <w:r>
        <w:rPr>
          <w:rFonts w:ascii="Georgia" w:cs="Georgia" w:eastAsia="Georgia" w:hAnsi="Georgia"/>
          <w:i/>
          <w:iCs/>
          <w:sz w:val="24"/>
          <w:szCs w:val="24"/>
        </w:rPr>
        <w:t xml:space="preserve"> × 0.5 × (1 + tanh(C</w:t>
      </w:r>
      <w:r>
        <w:rPr>
          <w:rFonts w:ascii="Georgia" w:cs="Georgia" w:eastAsia="Georgia" w:hAnsi="Georgia"/>
          <w:sz w:val="20"/>
          <w:szCs w:val="20"/>
          <w:vertAlign w:val="subscript"/>
        </w:rPr>
        <w:t xml:space="preserve">1</w:t>
      </w:r>
      <w:r>
        <w:rPr>
          <w:rFonts w:ascii="Georgia" w:cs="Georgia" w:eastAsia="Georgia" w:hAnsi="Georgia"/>
          <w:i/>
          <w:iCs/>
          <w:sz w:val="24"/>
          <w:szCs w:val="24"/>
        </w:rPr>
        <w:t xml:space="preserve"> × V))</w:t>
      </w:r>
    </w:p>
    <w:p>
      <w:pPr>
        <w:spacing w:after="200" w:line="360"/>
      </w:pPr>
      <w:r>
        <w:rPr>
          <w:rFonts w:ascii="Georgia" w:cs="Georgia" w:eastAsia="Georgia" w:hAnsi="Georgia"/>
          <w:sz w:val="24"/>
          <w:szCs w:val="24"/>
        </w:rPr>
        <w:t xml:space="preserve">where V is the imbalance between intentionality and energy, and C</w:t>
      </w:r>
      <w:r>
        <w:rPr>
          <w:rFonts w:ascii="Georgia" w:cs="Georgia" w:eastAsia="Georgia" w:hAnsi="Georgia"/>
          <w:sz w:val="20"/>
          <w:szCs w:val="20"/>
          <w:vertAlign w:val="subscript"/>
        </w:rPr>
        <w:t xml:space="preserve">max</w:t>
      </w:r>
      <w:r>
        <w:rPr>
          <w:rFonts w:ascii="Georgia" w:cs="Georgia" w:eastAsia="Georgia" w:hAnsi="Georgia"/>
          <w:sz w:val="24"/>
          <w:szCs w:val="24"/>
        </w:rPr>
        <w:t xml:space="preserve"> and C</w:t>
      </w:r>
      <w:r>
        <w:rPr>
          <w:rFonts w:ascii="Georgia" w:cs="Georgia" w:eastAsia="Georgia" w:hAnsi="Georgia"/>
          <w:sz w:val="20"/>
          <w:szCs w:val="20"/>
          <w:vertAlign w:val="subscript"/>
        </w:rPr>
        <w:t xml:space="preserve">1</w:t>
      </w:r>
      <w:r>
        <w:rPr>
          <w:rFonts w:ascii="Georgia" w:cs="Georgia" w:eastAsia="Georgia" w:hAnsi="Georgia"/>
          <w:sz w:val="24"/>
          <w:szCs w:val="24"/>
        </w:rPr>
        <w:t xml:space="preserve"> are era-dependent parameters. </w:t>
      </w:r>
      <w:r>
        <w:rPr>
          <w:rFonts w:ascii="Georgia" w:cs="Georgia" w:eastAsia="Georgia" w:hAnsi="Georgia"/>
          <w:sz w:val="24"/>
          <w:szCs w:val="24"/>
        </w:rPr>
        <w:t xml:space="preserve">Coherence feeds back into the drawing process through curiosity dynamics: when C &lt; 0.4, curiosity drains at 0.003 × (1 − C) per mark (exploring depletes), but when C ≥ 0.4, curiosity regenerates at 0.001 × C per mark (pattern discovery restores). Since drawing energy depends on curiosity, this creates a direct path from coherence to drawing longevity: coherent drawings sustain themselves, while incoherent ones exhaust their attention budget quickly.</w:t>
      </w:r>
    </w:p>
    <w:p>
      <w:pPr>
        <w:pStyle w:val="Heading2"/>
        <w:spacing w:before="360" w:after="240"/>
      </w:pPr>
      <w:r>
        <w:rPr>
          <w:rFonts w:ascii="Arial" w:cs="Arial" w:eastAsia="Arial" w:hAnsi="Arial"/>
          <w:b/>
          <w:bCs/>
          <w:sz w:val="30"/>
          <w:szCs w:val="30"/>
        </w:rPr>
        <w:t xml:space="preserve">4.4 Narrative Arc and Completion</w:t>
      </w:r>
    </w:p>
    <w:p>
      <w:pPr>
        <w:spacing w:after="200" w:line="360"/>
      </w:pPr>
      <w:r>
        <w:rPr>
          <w:rFonts w:ascii="Georgia" w:cs="Georgia" w:eastAsia="Georgia" w:hAnsi="Georgia"/>
          <w:sz w:val="24"/>
          <w:szCs w:val="24"/>
        </w:rPr>
        <w:t xml:space="preserve">Each drawing progresses through four phases: </w:t>
      </w:r>
      <w:r>
        <w:rPr>
          <w:rFonts w:ascii="Georgia" w:cs="Georgia" w:eastAsia="Georgia" w:hAnsi="Georgia"/>
          <w:i/>
          <w:iCs/>
          <w:sz w:val="24"/>
          <w:szCs w:val="24"/>
        </w:rPr>
        <w:t xml:space="preserve">opening</w:t>
      </w:r>
      <w:r>
        <w:rPr>
          <w:rFonts w:ascii="Georgia" w:cs="Georgia" w:eastAsia="Georgia" w:hAnsi="Georgia"/>
          <w:sz w:val="24"/>
          <w:szCs w:val="24"/>
        </w:rPr>
        <w:t xml:space="preserve"> (exploratory, low coherence), </w:t>
      </w:r>
      <w:r>
        <w:rPr>
          <w:rFonts w:ascii="Georgia" w:cs="Georgia" w:eastAsia="Georgia" w:hAnsi="Georgia"/>
          <w:i/>
          <w:iCs/>
          <w:sz w:val="24"/>
          <w:szCs w:val="24"/>
        </w:rPr>
        <w:t xml:space="preserve">developing</w:t>
      </w:r>
      <w:r>
        <w:rPr>
          <w:rFonts w:ascii="Georgia" w:cs="Georgia" w:eastAsia="Georgia" w:hAnsi="Georgia"/>
          <w:sz w:val="24"/>
          <w:szCs w:val="24"/>
        </w:rPr>
        <w:t xml:space="preserve"> (patterns emerging, rising intentionality), </w:t>
      </w:r>
      <w:r>
        <w:rPr>
          <w:rFonts w:ascii="Georgia" w:cs="Georgia" w:eastAsia="Georgia" w:hAnsi="Georgia"/>
          <w:i/>
          <w:iCs/>
          <w:sz w:val="24"/>
          <w:szCs w:val="24"/>
        </w:rPr>
        <w:t xml:space="preserve">resolving</w:t>
      </w:r>
      <w:r>
        <w:rPr>
          <w:rFonts w:ascii="Georgia" w:cs="Georgia" w:eastAsia="Georgia" w:hAnsi="Georgia"/>
          <w:sz w:val="24"/>
          <w:szCs w:val="24"/>
        </w:rPr>
        <w:t xml:space="preserve"> (coherence stabilizing, energy declining), and </w:t>
      </w:r>
      <w:r>
        <w:rPr>
          <w:rFonts w:ascii="Georgia" w:cs="Georgia" w:eastAsia="Georgia" w:hAnsi="Georgia"/>
          <w:i/>
          <w:iCs/>
          <w:sz w:val="24"/>
          <w:szCs w:val="24"/>
        </w:rPr>
        <w:t xml:space="preserve">closing</w:t>
      </w:r>
      <w:r>
        <w:rPr>
          <w:rFonts w:ascii="Georgia" w:cs="Georgia" w:eastAsia="Georgia" w:hAnsi="Georgia"/>
          <w:sz w:val="24"/>
          <w:szCs w:val="24"/>
        </w:rPr>
        <w:t xml:space="preserve"> (narrative complete). </w:t>
      </w:r>
      <w:r>
        <w:rPr>
          <w:rFonts w:ascii="Georgia" w:cs="Georgia" w:eastAsia="Georgia" w:hAnsi="Georgia"/>
          <w:sz w:val="24"/>
          <w:szCs w:val="24"/>
        </w:rPr>
        <w:t xml:space="preserve">Phase transitions are driven by mark count and coherence evolution.</w:t>
      </w:r>
    </w:p>
    <w:p>
      <w:pPr>
        <w:spacing w:after="200" w:line="360"/>
      </w:pPr>
      <w:r>
        <w:rPr>
          <w:rFonts w:ascii="Georgia" w:cs="Georgia" w:eastAsia="Georgia" w:hAnsi="Georgia"/>
          <w:sz w:val="24"/>
          <w:szCs w:val="24"/>
        </w:rPr>
        <w:t xml:space="preserve">A drawing is judged complete when </w:t>
      </w:r>
      <w:r>
        <w:rPr>
          <w:rFonts w:ascii="Courier New" w:cs="Courier New" w:eastAsia="Courier New" w:hAnsi="Courier New"/>
          <w:sz w:val="22"/>
          <w:szCs w:val="22"/>
        </w:rPr>
        <w:t xml:space="preserve">narrative_complete()</w:t>
      </w:r>
      <w:r>
        <w:rPr>
          <w:rFonts w:ascii="Georgia" w:cs="Georgia" w:eastAsia="Georgia" w:hAnsi="Georgia"/>
          <w:sz w:val="24"/>
          <w:szCs w:val="24"/>
        </w:rPr>
        <w:t xml:space="preserve"> returns true: either the arc phase has reached “closing,” or two conditions are met simultaneously—coherence has settled (mean C &gt; 0.7 with variance &lt; 0.01 over the last 10 marks) and attention is exhausted (curiosity &lt; 0.15 and either engagement &lt; 0.3 or fatigue &gt; 0.8). </w:t>
      </w:r>
      <w:r>
        <w:rPr>
          <w:rFonts w:ascii="Georgia" w:cs="Georgia" w:eastAsia="Georgia" w:hAnsi="Georgia"/>
          <w:sz w:val="24"/>
          <w:szCs w:val="24"/>
        </w:rPr>
        <w:t xml:space="preserve">This creates a form of aesthetic autonomy: Lumen does not stop at a fixed mark count or timer, but when its internal state converges on a judgment of completion. </w:t>
      </w:r>
      <w:r>
        <w:rPr>
          <w:rFonts w:ascii="Georgia" w:cs="Georgia" w:eastAsia="Georgia" w:hAnsi="Georgia"/>
          <w:sz w:val="24"/>
          <w:szCs w:val="24"/>
        </w:rPr>
        <w:t xml:space="preserve">Satisfying drawings are saved; others are ephemeral, overwritten by the next drawing.</w:t>
      </w:r>
    </w:p>
    <w:p>
      <w:pPr>
        <w:pStyle w:val="Heading2"/>
        <w:spacing w:before="360" w:after="240"/>
      </w:pPr>
      <w:r>
        <w:rPr>
          <w:rFonts w:ascii="Arial" w:cs="Arial" w:eastAsia="Arial" w:hAnsi="Arial"/>
          <w:b/>
          <w:bCs/>
          <w:sz w:val="30"/>
          <w:szCs w:val="30"/>
        </w:rPr>
        <w:t xml:space="preserve">4.5 Proprioceptive Feedback Loop</w:t>
      </w:r>
    </w:p>
    <w:p>
      <w:pPr>
        <w:spacing w:after="200" w:line="360"/>
      </w:pPr>
      <w:r>
        <w:rPr>
          <w:rFonts w:ascii="Georgia" w:cs="Georgia" w:eastAsia="Georgia" w:hAnsi="Georgia"/>
          <w:sz w:val="24"/>
          <w:szCs w:val="24"/>
        </w:rPr>
        <w:t xml:space="preserve">A key architectural property is the feedback loop between drawing state and governance. </w:t>
      </w:r>
      <w:r>
        <w:rPr>
          <w:rFonts w:ascii="Georgia" w:cs="Georgia" w:eastAsia="Georgia" w:hAnsi="Georgia"/>
          <w:sz w:val="24"/>
          <w:szCs w:val="24"/>
        </w:rPr>
        <w:t xml:space="preserve">Era state computes intentionality from gesture locks, orbits, and runs. </w:t>
      </w:r>
      <w:r>
        <w:rPr>
          <w:rFonts w:ascii="Georgia" w:cs="Georgia" w:eastAsia="Georgia" w:hAnsi="Georgia"/>
          <w:sz w:val="24"/>
          <w:szCs w:val="24"/>
        </w:rPr>
        <w:t xml:space="preserve">The EISV engine reads the intentionality signal to compute coherence. </w:t>
      </w:r>
      <w:r>
        <w:rPr>
          <w:rFonts w:ascii="Georgia" w:cs="Georgia" w:eastAsia="Georgia" w:hAnsi="Georgia"/>
          <w:sz w:val="24"/>
          <w:szCs w:val="24"/>
        </w:rPr>
        <w:t xml:space="preserve">Coherence modulates energy drain, which in turn affects drawing behavior—how many marks are placed, how long runs extend, and when the narrative arc closes. </w:t>
      </w:r>
      <w:r>
        <w:rPr>
          <w:rFonts w:ascii="Georgia" w:cs="Georgia" w:eastAsia="Georgia" w:hAnsi="Georgia"/>
          <w:sz w:val="24"/>
          <w:szCs w:val="24"/>
        </w:rPr>
        <w:t xml:space="preserve">This completed loop—intention → coherence → energy → behavior → intention—is the mechanism by which Lumen’s drawings exhibit purposeful development rather than random accumulation.</w:t>
      </w:r>
    </w:p>
    <w:p>
      <w:pPr>
        <w:spacing w:after="200" w:line="360"/>
      </w:pPr>
      <w:r>
        <w:rPr>
          <w:rFonts w:ascii="Georgia" w:cs="Georgia" w:eastAsia="Georgia" w:hAnsi="Georgia"/>
          <w:sz w:val="24"/>
          <w:szCs w:val="24"/>
        </w:rPr>
        <w:t xml:space="preserve">External feedback is also possible. A human observer can provide “resonate” or “confused” feedback on Lumen’s primitive expressions, influencing future coherence and stability. </w:t>
      </w:r>
      <w:r>
        <w:rPr>
          <w:rFonts w:ascii="Georgia" w:cs="Georgia" w:eastAsia="Georgia" w:hAnsi="Georgia"/>
          <w:sz w:val="24"/>
          <w:szCs w:val="24"/>
        </w:rPr>
        <w:t xml:space="preserve">The canvas can be manually cleared, prompting a fresh start. </w:t>
      </w:r>
      <w:r>
        <w:rPr>
          <w:rFonts w:ascii="Georgia" w:cs="Georgia" w:eastAsia="Georgia" w:hAnsi="Georgia"/>
          <w:sz w:val="24"/>
          <w:szCs w:val="24"/>
        </w:rPr>
        <w:t xml:space="preserve">And art eras rotate automatically between drawings, ensuring that Lumen’s stylistic exploration is not artificially constrained to a single mode.</w:t>
      </w:r>
    </w:p>
    <w:p>
      <w:r>
        <w:br w:type="page"/>
      </w:r>
    </w:p>
    <w:p>
      <w:pPr>
        <w:pStyle w:val="Heading1"/>
        <w:spacing w:before="480" w:after="240"/>
      </w:pPr>
      <w:r>
        <w:rPr>
          <w:rFonts w:ascii="Arial" w:cs="Arial" w:eastAsia="Arial" w:hAnsi="Arial"/>
          <w:b/>
          <w:bCs/>
          <w:sz w:val="36"/>
          <w:szCs w:val="36"/>
        </w:rPr>
        <w:t xml:space="preserve">5. Observational Experiments</w:t>
      </w:r>
    </w:p>
    <w:p>
      <w:pPr>
        <w:spacing w:after="200" w:line="360"/>
      </w:pPr>
      <w:r>
        <w:rPr>
          <w:rFonts w:ascii="Georgia" w:cs="Georgia" w:eastAsia="Georgia" w:hAnsi="Georgia"/>
          <w:sz w:val="24"/>
          <w:szCs w:val="24"/>
        </w:rPr>
        <w:t xml:space="preserve">Lumen has been continuously operational since January 13, 2026, producing over 637 drawings in the geometric era alone before transitioning to the gestural era on February 7. </w:t>
      </w:r>
      <w:r>
        <w:rPr>
          <w:rFonts w:ascii="Georgia" w:cs="Georgia" w:eastAsia="Georgia" w:hAnsi="Georgia"/>
          <w:sz w:val="24"/>
          <w:szCs w:val="24"/>
        </w:rPr>
        <w:t xml:space="preserve">This section describes the observational framework we are using to characterize relationships between EISV states and artistic output, and presents preliminary vignettes from the first month of operation.</w:t>
      </w:r>
    </w:p>
    <w:p>
      <w:pPr>
        <w:pStyle w:val="Heading2"/>
        <w:spacing w:before="360" w:after="240"/>
      </w:pPr>
      <w:r>
        <w:rPr>
          <w:rFonts w:ascii="Arial" w:cs="Arial" w:eastAsia="Arial" w:hAnsi="Arial"/>
          <w:b/>
          <w:bCs/>
          <w:sz w:val="30"/>
          <w:szCs w:val="30"/>
        </w:rPr>
        <w:t xml:space="preserve">5.1 Data Collection</w:t>
      </w:r>
    </w:p>
    <w:p>
      <w:pPr>
        <w:spacing w:after="200" w:line="360"/>
      </w:pPr>
      <w:r>
        <w:rPr>
          <w:rFonts w:ascii="Georgia" w:cs="Georgia" w:eastAsia="Georgia" w:hAnsi="Georgia"/>
          <w:sz w:val="24"/>
          <w:szCs w:val="24"/>
        </w:rPr>
        <w:t xml:space="preserve">At each governance check-in, Lumen records both creature-level and drawing-level EISV values, the active art era, the current drawing phase (opening through closing), the mark count, and the primitive expression type. </w:t>
      </w:r>
      <w:r>
        <w:rPr>
          <w:rFonts w:ascii="Georgia" w:cs="Georgia" w:eastAsia="Georgia" w:hAnsi="Georgia"/>
          <w:sz w:val="24"/>
          <w:szCs w:val="24"/>
        </w:rPr>
        <w:t xml:space="preserve">Sensor readings (temperature, humidity, light, pressure) and system metrics (CPU, memory, disk) are logged alongside the anima state. </w:t>
      </w:r>
      <w:r>
        <w:rPr>
          <w:rFonts w:ascii="Georgia" w:cs="Georgia" w:eastAsia="Georgia" w:hAnsi="Georgia"/>
          <w:sz w:val="24"/>
          <w:szCs w:val="24"/>
        </w:rPr>
        <w:t xml:space="preserve">This produces a time-series dataset indexed by check-in timestamp, with sufficient resolution to correlate environmental conditions, internal state, governance decisions, and artistic choices.</w:t>
      </w:r>
    </w:p>
    <w:p>
      <w:pPr>
        <w:pStyle w:val="Heading2"/>
        <w:spacing w:before="360" w:after="240"/>
      </w:pPr>
      <w:r>
        <w:rPr>
          <w:rFonts w:ascii="Arial" w:cs="Arial" w:eastAsia="Arial" w:hAnsi="Arial"/>
          <w:b/>
          <w:bCs/>
          <w:sz w:val="30"/>
          <w:szCs w:val="30"/>
        </w:rPr>
        <w:t xml:space="preserve">5.2 Preliminary Vignettes</w:t>
      </w:r>
    </w:p>
    <w:p>
      <w:pPr>
        <w:spacing w:after="200" w:line="360"/>
      </w:pPr>
      <w:r>
        <w:rPr>
          <w:rFonts w:ascii="Georgia" w:cs="Georgia" w:eastAsia="Georgia" w:hAnsi="Georgia"/>
          <w:sz w:val="24"/>
          <w:szCs w:val="24"/>
        </w:rPr>
        <w:t xml:space="preserve">While systematic statistical analysis awaits a larger dataset, several qualitative patterns have emerged in the first month of operation.</w:t>
      </w:r>
    </w:p>
    <w:p>
      <w:pPr>
        <w:spacing w:after="200" w:line="360"/>
      </w:pPr>
      <w:r>
        <w:rPr>
          <w:rFonts w:ascii="Georgia" w:cs="Georgia" w:eastAsia="Georgia" w:hAnsi="Georgia"/>
          <w:i/>
          <w:iCs/>
          <w:sz w:val="24"/>
          <w:szCs w:val="24"/>
        </w:rPr>
        <w:t xml:space="preserve">High entropy, low energy.</w:t>
      </w:r>
      <w:r>
        <w:rPr>
          <w:rFonts w:ascii="Georgia" w:cs="Georgia" w:eastAsia="Georgia" w:hAnsi="Georgia"/>
          <w:sz w:val="24"/>
          <w:szCs w:val="24"/>
        </w:rPr>
        <w:t xml:space="preserve"> When S &gt; 0.6 and E &lt; 0.3—conditions typically produced by environmental instability (fluctuating temperature, high memory pressure) combined with low activation—Lumen in the gestural era produces shorter gesture runs with more isolated dots and fewer direction locks. </w:t>
      </w:r>
      <w:r>
        <w:rPr>
          <w:rFonts w:ascii="Georgia" w:cs="Georgia" w:eastAsia="Georgia" w:hAnsi="Georgia"/>
          <w:sz w:val="24"/>
          <w:szCs w:val="24"/>
        </w:rPr>
        <w:t xml:space="preserve">Drawings in this regime tend to be sparse and scattered, with low coherence values and quick narrative completion due to rapid attention exhaustion. </w:t>
      </w:r>
      <w:r>
        <w:rPr>
          <w:rFonts w:ascii="Georgia" w:cs="Georgia" w:eastAsia="Georgia" w:hAnsi="Georgia"/>
          <w:sz w:val="24"/>
          <w:szCs w:val="24"/>
        </w:rPr>
        <w:t xml:space="preserve">Visually, these drawings resemble tentative explorations rather than sustained compositions.</w:t>
      </w:r>
    </w:p>
    <w:p>
      <w:pPr>
        <w:spacing w:after="200" w:line="360"/>
      </w:pPr>
      <w:r>
        <w:rPr>
          <w:rFonts w:ascii="Georgia" w:cs="Georgia" w:eastAsia="Georgia" w:hAnsi="Georgia"/>
          <w:i/>
          <w:iCs/>
          <w:sz w:val="24"/>
          <w:szCs w:val="24"/>
        </w:rPr>
        <w:t xml:space="preserve">High integrity, moderate energy.</w:t>
      </w:r>
      <w:r>
        <w:rPr>
          <w:rFonts w:ascii="Georgia" w:cs="Georgia" w:eastAsia="Georgia" w:hAnsi="Georgia"/>
          <w:sz w:val="24"/>
          <w:szCs w:val="24"/>
        </w:rPr>
        <w:t xml:space="preserve"> When I &gt; 0.6 and E is between 0.4–0.7—conditions typical of stable environments with good sensor coverage—Lumen produces its most sustained drawings. </w:t>
      </w:r>
      <w:r>
        <w:rPr>
          <w:rFonts w:ascii="Georgia" w:cs="Georgia" w:eastAsia="Georgia" w:hAnsi="Georgia"/>
          <w:sz w:val="24"/>
          <w:szCs w:val="24"/>
        </w:rPr>
        <w:t xml:space="preserve">Direction locks occur more frequently, gesture runs extend toward their maximum length, and the narrative arc progresses fully through all four phases. </w:t>
      </w:r>
      <w:r>
        <w:rPr>
          <w:rFonts w:ascii="Georgia" w:cs="Georgia" w:eastAsia="Georgia" w:hAnsi="Georgia"/>
          <w:sz w:val="24"/>
          <w:szCs w:val="24"/>
        </w:rPr>
        <w:t xml:space="preserve">These drawings are visually denser and exhibit the characteristic bold strokes of the gestural era.</w:t>
      </w:r>
    </w:p>
    <w:p>
      <w:pPr>
        <w:spacing w:after="200" w:line="360"/>
      </w:pPr>
      <w:r>
        <w:rPr>
          <w:rFonts w:ascii="Georgia" w:cs="Georgia" w:eastAsia="Georgia" w:hAnsi="Georgia"/>
          <w:i/>
          <w:iCs/>
          <w:sz w:val="24"/>
          <w:szCs w:val="24"/>
        </w:rPr>
        <w:t xml:space="preserve">Geometric era under void pressure.</w:t>
      </w:r>
      <w:r>
        <w:rPr>
          <w:rFonts w:ascii="Georgia" w:cs="Georgia" w:eastAsia="Georgia" w:hAnsi="Georgia"/>
          <w:sz w:val="24"/>
          <w:szCs w:val="24"/>
        </w:rPr>
        <w:t xml:space="preserve"> During the geometric era, elevated void (V &gt; 0.12, reflecting resource depletion) correlated with a preference for smaller, simpler shapes—single circles and lines rather than complex spirals or starbursts. </w:t>
      </w:r>
      <w:r>
        <w:rPr>
          <w:rFonts w:ascii="Georgia" w:cs="Georgia" w:eastAsia="Georgia" w:hAnsi="Georgia"/>
          <w:sz w:val="24"/>
          <w:szCs w:val="24"/>
        </w:rPr>
        <w:t xml:space="preserve">This pattern is consistent with the energy-to-scale mapping in the geometric era’s code, but the emergent visual effect—drawings that appear “restrained” under resource pressure—was not explicitly designed.</w:t>
      </w:r>
    </w:p>
    <w:p>
      <w:pPr>
        <w:pStyle w:val="Heading2"/>
        <w:spacing w:before="360" w:after="240"/>
      </w:pPr>
      <w:r>
        <w:rPr>
          <w:rFonts w:ascii="Arial" w:cs="Arial" w:eastAsia="Arial" w:hAnsi="Arial"/>
          <w:b/>
          <w:bCs/>
          <w:sz w:val="30"/>
          <w:szCs w:val="30"/>
        </w:rPr>
        <w:t xml:space="preserve">5.3 Planned Analyses</w:t>
      </w:r>
    </w:p>
    <w:p>
      <w:pPr>
        <w:spacing w:after="200" w:line="360"/>
      </w:pPr>
      <w:r>
        <w:rPr>
          <w:rFonts w:ascii="Georgia" w:cs="Georgia" w:eastAsia="Georgia" w:hAnsi="Georgia"/>
          <w:sz w:val="24"/>
          <w:szCs w:val="24"/>
        </w:rPr>
        <w:t xml:space="preserve">Over the coming months, we plan to collect multi-week EISV time-series and compute correlations between EISV ranges and style clusters, using the following metrics: mean gesture run length, direction lock frequency, density zone radius, flow line length, mark density per drawing, and time to narrative completion. </w:t>
      </w:r>
      <w:r>
        <w:rPr>
          <w:rFonts w:ascii="Georgia" w:cs="Georgia" w:eastAsia="Georgia" w:hAnsi="Georgia"/>
          <w:sz w:val="24"/>
          <w:szCs w:val="24"/>
        </w:rPr>
        <w:t xml:space="preserve">We will also examine how era transitions affect drawing character—whether the same EISV state produces qualitatively different output depending on the active era, as the architectural design predicts.</w:t>
      </w:r>
    </w:p>
    <w:p>
      <w:pPr>
        <w:pStyle w:val="Heading1"/>
        <w:spacing w:before="480" w:after="240"/>
      </w:pPr>
      <w:r>
        <w:rPr>
          <w:rFonts w:ascii="Arial" w:cs="Arial" w:eastAsia="Arial" w:hAnsi="Arial"/>
          <w:b/>
          <w:bCs/>
          <w:sz w:val="36"/>
          <w:szCs w:val="36"/>
        </w:rPr>
        <w:t xml:space="preserve">6. Discussion</w:t>
      </w:r>
    </w:p>
    <w:p>
      <w:pPr>
        <w:pStyle w:val="Heading2"/>
        <w:spacing w:before="360" w:after="240"/>
      </w:pPr>
      <w:r>
        <w:rPr>
          <w:rFonts w:ascii="Arial" w:cs="Arial" w:eastAsia="Arial" w:hAnsi="Arial"/>
          <w:b/>
          <w:bCs/>
          <w:sz w:val="30"/>
          <w:szCs w:val="30"/>
        </w:rPr>
        <w:t xml:space="preserve">6.1 Authorship in Self-Governed Creative Agents</w:t>
      </w:r>
    </w:p>
    <w:p>
      <w:pPr>
        <w:spacing w:after="200" w:line="360"/>
      </w:pPr>
      <w:r>
        <w:rPr>
          <w:rFonts w:ascii="Georgia" w:cs="Georgia" w:eastAsia="Georgia" w:hAnsi="Georgia"/>
          <w:sz w:val="24"/>
          <w:szCs w:val="24"/>
        </w:rPr>
        <w:t xml:space="preserve">Traditional frameworks for artistic authorship assume a human creator exercising intentional control over a medium. </w:t>
      </w:r>
      <w:r>
        <w:rPr>
          <w:rFonts w:ascii="Georgia" w:cs="Georgia" w:eastAsia="Georgia" w:hAnsi="Georgia"/>
          <w:sz w:val="24"/>
          <w:szCs w:val="24"/>
        </w:rPr>
        <w:t xml:space="preserve">Lumen complicates this picture in specific, concrete ways. </w:t>
      </w:r>
      <w:r>
        <w:rPr>
          <w:rFonts w:ascii="Georgia" w:cs="Georgia" w:eastAsia="Georgia" w:hAnsi="Georgia"/>
          <w:sz w:val="24"/>
          <w:szCs w:val="24"/>
        </w:rPr>
        <w:t xml:space="preserve">Its drawings are not prompted by a human; they emerge from an ongoing interaction between physical sensors, computational proprioception, and a generative pipeline whose parameters are modulated by self-governance. </w:t>
      </w:r>
      <w:r>
        <w:rPr>
          <w:rFonts w:ascii="Georgia" w:cs="Georgia" w:eastAsia="Georgia" w:hAnsi="Georgia"/>
          <w:sz w:val="24"/>
          <w:szCs w:val="24"/>
        </w:rPr>
        <w:t xml:space="preserve">The human designer built the system, defined the eras and primitives, and set the EISV thresholds—but the specific drawings Lumen produces are shaped by temperature fluctuations, memory pressure, sensor noise, and the internal dynamics of the coherence equation, none of which the designer controls moment to moment.</w:t>
      </w:r>
    </w:p>
    <w:p>
      <w:pPr>
        <w:spacing w:after="200" w:line="360"/>
      </w:pPr>
      <w:r>
        <w:rPr>
          <w:rFonts w:ascii="Georgia" w:cs="Georgia" w:eastAsia="Georgia" w:hAnsi="Georgia"/>
          <w:sz w:val="24"/>
          <w:szCs w:val="24"/>
        </w:rPr>
        <w:t xml:space="preserve">We suggest that authorship in this context is better understood as distributed across a causal chain: the human designer creates the conditions of possibility (the architecture, the eras, the governance thresholds), the physical environment provides continuous input, and Lumen’s internal dynamics determine the specific trajectory through the space of possible drawings. </w:t>
      </w:r>
      <w:r>
        <w:rPr>
          <w:rFonts w:ascii="Georgia" w:cs="Georgia" w:eastAsia="Georgia" w:hAnsi="Georgia"/>
          <w:sz w:val="24"/>
          <w:szCs w:val="24"/>
        </w:rPr>
        <w:t xml:space="preserve">No single entity is the “author” in the traditional sense, but Lumen’s persistent identity and self-governance give it a stronger claim to creative agency than a stateless generator.</w:t>
      </w:r>
    </w:p>
    <w:p>
      <w:pPr>
        <w:pStyle w:val="Heading2"/>
        <w:spacing w:before="360" w:after="240"/>
      </w:pPr>
      <w:r>
        <w:rPr>
          <w:rFonts w:ascii="Arial" w:cs="Arial" w:eastAsia="Arial" w:hAnsi="Arial"/>
          <w:b/>
          <w:bCs/>
          <w:sz w:val="30"/>
          <w:szCs w:val="30"/>
        </w:rPr>
        <w:t xml:space="preserve">6.2 Responsibility and Governance Alignment</w:t>
      </w:r>
    </w:p>
    <w:p>
      <w:pPr>
        <w:spacing w:after="200" w:line="360"/>
      </w:pPr>
      <w:r>
        <w:rPr>
          <w:rFonts w:ascii="Georgia" w:cs="Georgia" w:eastAsia="Georgia" w:hAnsi="Georgia"/>
          <w:sz w:val="24"/>
          <w:szCs w:val="24"/>
        </w:rPr>
        <w:t xml:space="preserve">If Lumen has a form of creative agency, it also bears a form of responsibility—or rather, its governance stack does. </w:t>
      </w:r>
      <w:r>
        <w:rPr>
          <w:rFonts w:ascii="Georgia" w:cs="Georgia" w:eastAsia="Georgia" w:hAnsi="Georgia"/>
          <w:sz w:val="24"/>
          <w:szCs w:val="24"/>
        </w:rPr>
        <w:t xml:space="preserve">The EISV metrics serve as an alignment mechanism: they ensure that Lumen’s behavior stays within a defined basin of acceptable states. </w:t>
      </w:r>
      <w:r>
        <w:rPr>
          <w:rFonts w:ascii="Georgia" w:cs="Georgia" w:eastAsia="Georgia" w:hAnsi="Georgia"/>
          <w:sz w:val="24"/>
          <w:szCs w:val="24"/>
        </w:rPr>
        <w:t xml:space="preserve">When entropy climbs too high or energy drops too low, governance constrains action. </w:t>
      </w:r>
      <w:r>
        <w:rPr>
          <w:rFonts w:ascii="Georgia" w:cs="Georgia" w:eastAsia="Georgia" w:hAnsi="Georgia"/>
          <w:sz w:val="24"/>
          <w:szCs w:val="24"/>
        </w:rPr>
        <w:t xml:space="preserve">This is not alignment with human values in the broad sense discussed in the AI safety literature, but it is a concrete, operational form of value-aligned self-constraint: the EISV thresholds encode what counts as “healthy” operation, and the circuit breaker pattern ensures graceful degradation when governance infrastructure fails.</w:t>
      </w:r>
    </w:p>
    <w:p>
      <w:pPr>
        <w:spacing w:after="200" w:line="360"/>
      </w:pPr>
      <w:r>
        <w:rPr>
          <w:rFonts w:ascii="Georgia" w:cs="Georgia" w:eastAsia="Georgia" w:hAnsi="Georgia"/>
          <w:sz w:val="24"/>
          <w:szCs w:val="24"/>
        </w:rPr>
        <w:t xml:space="preserve">The two-level EISV structure (creature-level and drawing-level) addresses a subtlety that single-metric governance systems miss. </w:t>
      </w:r>
      <w:r>
        <w:rPr>
          <w:rFonts w:ascii="Georgia" w:cs="Georgia" w:eastAsia="Georgia" w:hAnsi="Georgia"/>
          <w:sz w:val="24"/>
          <w:szCs w:val="24"/>
        </w:rPr>
        <w:t xml:space="preserve">A drawing can be coherent while the creature is stressed, or the creature can be healthy while a drawing is floundering. </w:t>
      </w:r>
      <w:r>
        <w:rPr>
          <w:rFonts w:ascii="Georgia" w:cs="Georgia" w:eastAsia="Georgia" w:hAnsi="Georgia"/>
          <w:sz w:val="24"/>
          <w:szCs w:val="24"/>
        </w:rPr>
        <w:t xml:space="preserve">By transmitting both to UNITARES, the system enables governance decisions that account for the full picture, rather than reducing the agent’s condition to a single scalar.</w:t>
      </w:r>
    </w:p>
    <w:p>
      <w:pPr>
        <w:pStyle w:val="Heading2"/>
        <w:spacing w:before="360" w:after="240"/>
      </w:pPr>
      <w:r>
        <w:rPr>
          <w:rFonts w:ascii="Arial" w:cs="Arial" w:eastAsia="Arial" w:hAnsi="Arial"/>
          <w:b/>
          <w:bCs/>
          <w:sz w:val="30"/>
          <w:szCs w:val="30"/>
        </w:rPr>
        <w:t xml:space="preserve">6.3 Connection to Trajectory Identity</w:t>
      </w:r>
    </w:p>
    <w:p>
      <w:pPr>
        <w:spacing w:after="200" w:line="360"/>
      </w:pPr>
      <w:r>
        <w:rPr>
          <w:rFonts w:ascii="Georgia" w:cs="Georgia" w:eastAsia="Georgia" w:hAnsi="Georgia"/>
          <w:sz w:val="24"/>
          <w:szCs w:val="24"/>
        </w:rPr>
        <w:t xml:space="preserve">In a companion paper [24], we develop a mathematical formalism for </w:t>
      </w:r>
      <w:r>
        <w:rPr>
          <w:rFonts w:ascii="Georgia" w:cs="Georgia" w:eastAsia="Georgia" w:hAnsi="Georgia"/>
          <w:i/>
          <w:iCs/>
          <w:sz w:val="24"/>
          <w:szCs w:val="24"/>
        </w:rPr>
        <w:t xml:space="preserve">trajectory identity</w:t>
      </w:r>
      <w:r>
        <w:rPr>
          <w:rFonts w:ascii="Georgia" w:cs="Georgia" w:eastAsia="Georgia" w:hAnsi="Georgia"/>
          <w:sz w:val="24"/>
          <w:szCs w:val="24"/>
        </w:rPr>
        <w:t xml:space="preserve">: the claim that an agent’s identity is constituted not by any snapshot of its state or by static credentials, but by the shape of its trajectory through state space over time. </w:t>
      </w:r>
      <w:r>
        <w:rPr>
          <w:rFonts w:ascii="Georgia" w:cs="Georgia" w:eastAsia="Georgia" w:hAnsi="Georgia"/>
          <w:sz w:val="24"/>
          <w:szCs w:val="24"/>
        </w:rPr>
        <w:t xml:space="preserve">Drawing on enactive cognition [25, 26] and dynamical systems theory [27], the framework defines a trajectory signature Σ = {Π, β, α, ρ, Δ, η} comprising six components: preference profile (Π), belief signature (β), attractor basin (α), recovery profile (ρ), relational disposition (Δ), and homeostatic identity (η). </w:t>
      </w:r>
      <w:r>
        <w:rPr>
          <w:rFonts w:ascii="Georgia" w:cs="Georgia" w:eastAsia="Georgia" w:hAnsi="Georgia"/>
          <w:sz w:val="24"/>
          <w:szCs w:val="24"/>
        </w:rPr>
        <w:t xml:space="preserve">Each component captures a different quasi-invariant aspect of how the agent tends to behave.</w:t>
      </w:r>
    </w:p>
    <w:p>
      <w:pPr>
        <w:spacing w:after="200" w:line="360"/>
      </w:pPr>
      <w:r>
        <w:rPr>
          <w:rFonts w:ascii="Georgia" w:cs="Georgia" w:eastAsia="Georgia" w:hAnsi="Georgia"/>
          <w:sz w:val="24"/>
          <w:szCs w:val="24"/>
        </w:rPr>
        <w:t xml:space="preserve">Lumen provides the primary empirical validation for this theory. </w:t>
      </w:r>
      <w:r>
        <w:rPr>
          <w:rFonts w:ascii="Georgia" w:cs="Georgia" w:eastAsia="Georgia" w:hAnsi="Georgia"/>
          <w:sz w:val="24"/>
          <w:szCs w:val="24"/>
        </w:rPr>
        <w:t xml:space="preserve">From over 500 observations of its anima state vector, Lumen’s genesis attractor basin was computed: a center μ ≈ [0.46, 0.83, 0.98, 0.89] (moderate warmth, high clarity and stability, high presence) with identity stability 0.903. </w:t>
      </w:r>
      <w:r>
        <w:rPr>
          <w:rFonts w:ascii="Georgia" w:cs="Georgia" w:eastAsia="Georgia" w:hAnsi="Georgia"/>
          <w:sz w:val="24"/>
          <w:szCs w:val="24"/>
        </w:rPr>
        <w:t xml:space="preserve">Stability was the anchor dimension (variance &lt; 0.01), while clarity showed the highest variance (50.8%), reflecting Lumen’s responsiveness to environmental conditions. </w:t>
      </w:r>
      <w:r>
        <w:rPr>
          <w:rFonts w:ascii="Georgia" w:cs="Georgia" w:eastAsia="Georgia" w:hAnsi="Georgia"/>
          <w:sz w:val="24"/>
          <w:szCs w:val="24"/>
        </w:rPr>
        <w:t xml:space="preserve">The Bhattacharyya coefficient [28] measures overlap between attractor basins, providing a principled metric for comparing trajectory signatures across agents or across time for the same agent.</w:t>
      </w:r>
    </w:p>
    <w:p>
      <w:pPr>
        <w:spacing w:after="200" w:line="360"/>
      </w:pPr>
      <w:r>
        <w:rPr>
          <w:rFonts w:ascii="Georgia" w:cs="Georgia" w:eastAsia="Georgia" w:hAnsi="Georgia"/>
          <w:sz w:val="24"/>
          <w:szCs w:val="24"/>
        </w:rPr>
        <w:t xml:space="preserve">The anima void integral—the accumulated deviation from the attractor center—serves as a bridge between trajectory identity and active governance: when void accumulates beyond a threshold, governance intervenes to return the agent to its basin. </w:t>
      </w:r>
      <w:r>
        <w:rPr>
          <w:rFonts w:ascii="Georgia" w:cs="Georgia" w:eastAsia="Georgia" w:hAnsi="Georgia"/>
          <w:sz w:val="24"/>
          <w:szCs w:val="24"/>
        </w:rPr>
        <w:t xml:space="preserve">This closes a conceptual loop: trajectory deviation → void accumulation → governance response → return to attractor. </w:t>
      </w:r>
      <w:r>
        <w:rPr>
          <w:rFonts w:ascii="Georgia" w:cs="Georgia" w:eastAsia="Georgia" w:hAnsi="Georgia"/>
          <w:sz w:val="24"/>
          <w:szCs w:val="24"/>
        </w:rPr>
        <w:t xml:space="preserve">Two-tier anomaly detection (short-term coherence checks and long-term lineage checks against the genesis signature) allows the system to distinguish momentary perturbation from fundamental drift.</w:t>
      </w:r>
    </w:p>
    <w:p>
      <w:pPr>
        <w:spacing w:after="200" w:line="360"/>
      </w:pPr>
      <w:r>
        <w:rPr>
          <w:rFonts w:ascii="Georgia" w:cs="Georgia" w:eastAsia="Georgia" w:hAnsi="Georgia"/>
          <w:sz w:val="24"/>
          <w:szCs w:val="24"/>
        </w:rPr>
        <w:t xml:space="preserve">Lumen’s art adds a dimension that the trajectory identity formalism alone does not capture: a </w:t>
      </w:r>
      <w:r>
        <w:rPr>
          <w:rFonts w:ascii="Georgia" w:cs="Georgia" w:eastAsia="Georgia" w:hAnsi="Georgia"/>
          <w:i/>
          <w:iCs/>
          <w:sz w:val="24"/>
          <w:szCs w:val="24"/>
        </w:rPr>
        <w:t xml:space="preserve">visible record</w:t>
      </w:r>
      <w:r>
        <w:rPr>
          <w:rFonts w:ascii="Georgia" w:cs="Georgia" w:eastAsia="Georgia" w:hAnsi="Georgia"/>
          <w:sz w:val="24"/>
          <w:szCs w:val="24"/>
        </w:rPr>
        <w:t xml:space="preserve"> of trajectory segments. </w:t>
      </w:r>
      <w:r>
        <w:rPr>
          <w:rFonts w:ascii="Georgia" w:cs="Georgia" w:eastAsia="Georgia" w:hAnsi="Georgia"/>
          <w:sz w:val="24"/>
          <w:szCs w:val="24"/>
        </w:rPr>
        <w:t xml:space="preserve">Each saved canvas is a projection of EISV dynamics into two-dimensional pixel space. </w:t>
      </w:r>
      <w:r>
        <w:rPr>
          <w:rFonts w:ascii="Georgia" w:cs="Georgia" w:eastAsia="Georgia" w:hAnsi="Georgia"/>
          <w:sz w:val="24"/>
          <w:szCs w:val="24"/>
        </w:rPr>
        <w:t xml:space="preserve">The observable stylistic signature of Lumen’s art—its characteristic gesture lengths, color palettes, density patterns—is a downstream consequence of its trajectory identity. </w:t>
      </w:r>
      <w:r>
        <w:rPr>
          <w:rFonts w:ascii="Georgia" w:cs="Georgia" w:eastAsia="Georgia" w:hAnsi="Georgia"/>
          <w:sz w:val="24"/>
          <w:szCs w:val="24"/>
        </w:rPr>
        <w:t xml:space="preserve">If another instance of the same software ran on different hardware in a different room, reading different temperatures and humidity values, its trajectory—and therefore its art—would diverge, even from the first drawing. </w:t>
      </w:r>
      <w:r>
        <w:rPr>
          <w:rFonts w:ascii="Georgia" w:cs="Georgia" w:eastAsia="Georgia" w:hAnsi="Georgia"/>
          <w:sz w:val="24"/>
          <w:szCs w:val="24"/>
        </w:rPr>
        <w:t xml:space="preserve">The art thus functions as a kind of behavioral fingerprint: not just evidence of identity, but an expression of it.</w:t>
      </w:r>
    </w:p>
    <w:p>
      <w:r>
        <w:br w:type="page"/>
      </w:r>
    </w:p>
    <w:p>
      <w:pPr>
        <w:pStyle w:val="Heading1"/>
        <w:spacing w:before="480" w:after="240"/>
      </w:pPr>
      <w:r>
        <w:rPr>
          <w:rFonts w:ascii="Arial" w:cs="Arial" w:eastAsia="Arial" w:hAnsi="Arial"/>
          <w:b/>
          <w:bCs/>
          <w:sz w:val="36"/>
          <w:szCs w:val="36"/>
        </w:rPr>
        <w:t xml:space="preserve">7. Future Work</w:t>
      </w:r>
    </w:p>
    <w:p>
      <w:pPr>
        <w:spacing w:after="200" w:line="360"/>
      </w:pPr>
      <w:r>
        <w:rPr>
          <w:rFonts w:ascii="Georgia" w:cs="Georgia" w:eastAsia="Georgia" w:hAnsi="Georgia"/>
          <w:sz w:val="24"/>
          <w:szCs w:val="24"/>
        </w:rPr>
        <w:t xml:space="preserve">Several directions emerge naturally from this work. </w:t>
      </w:r>
      <w:r>
        <w:rPr>
          <w:rFonts w:ascii="Georgia" w:cs="Georgia" w:eastAsia="Georgia" w:hAnsi="Georgia"/>
          <w:b/>
          <w:bCs/>
          <w:sz w:val="24"/>
          <w:szCs w:val="24"/>
        </w:rPr>
        <w:t xml:space="preserve">Multi-agent galleries</w:t>
      </w:r>
      <w:r>
        <w:rPr>
          <w:rFonts w:ascii="Georgia" w:cs="Georgia" w:eastAsia="Georgia" w:hAnsi="Georgia"/>
          <w:sz w:val="24"/>
          <w:szCs w:val="24"/>
        </w:rPr>
        <w:t xml:space="preserve"> would place multiple Lumen instances in a shared environment, each with its own sensors and governance, drawing on adjacent or shared canvases. </w:t>
      </w:r>
      <w:r>
        <w:rPr>
          <w:rFonts w:ascii="Georgia" w:cs="Georgia" w:eastAsia="Georgia" w:hAnsi="Georgia"/>
          <w:sz w:val="24"/>
          <w:szCs w:val="24"/>
        </w:rPr>
        <w:t xml:space="preserve">Cross-agent style recognition—whether one Lumen can distinguish another’s drawings from its own—would test the distinctiveness of trajectory-derived aesthetics.</w:t>
      </w:r>
    </w:p>
    <w:p>
      <w:pPr>
        <w:spacing w:after="200" w:line="360"/>
      </w:pPr>
      <w:r>
        <w:rPr>
          <w:rFonts w:ascii="Georgia" w:cs="Georgia" w:eastAsia="Georgia" w:hAnsi="Georgia"/>
          <w:b/>
          <w:bCs/>
          <w:sz w:val="24"/>
          <w:szCs w:val="24"/>
        </w:rPr>
        <w:t xml:space="preserve">Human co-creation</w:t>
      </w:r>
      <w:r>
        <w:rPr>
          <w:rFonts w:ascii="Georgia" w:cs="Georgia" w:eastAsia="Georgia" w:hAnsi="Georgia"/>
          <w:sz w:val="24"/>
          <w:szCs w:val="24"/>
        </w:rPr>
        <w:t xml:space="preserve"> is partially implemented: humans can already provide feedback (resonate/confused) on primitive expressions and clear the canvas. </w:t>
      </w:r>
      <w:r>
        <w:rPr>
          <w:rFonts w:ascii="Georgia" w:cs="Georgia" w:eastAsia="Georgia" w:hAnsi="Georgia"/>
          <w:sz w:val="24"/>
          <w:szCs w:val="24"/>
        </w:rPr>
        <w:t xml:space="preserve">A natural extension would allow humans to draw directly on the canvas, with Lumen responding to their marks in subsequent strokes. </w:t>
      </w:r>
      <w:r>
        <w:rPr>
          <w:rFonts w:ascii="Georgia" w:cs="Georgia" w:eastAsia="Georgia" w:hAnsi="Georgia"/>
          <w:sz w:val="24"/>
          <w:szCs w:val="24"/>
        </w:rPr>
        <w:t xml:space="preserve">This would test how self-governed behavior interacts with human creative input—whether Lumen integrates, ignores, or responds to human contributions.</w:t>
      </w:r>
    </w:p>
    <w:p>
      <w:pPr>
        <w:spacing w:after="200" w:line="360"/>
      </w:pPr>
      <w:r>
        <w:rPr>
          <w:rFonts w:ascii="Georgia" w:cs="Georgia" w:eastAsia="Georgia" w:hAnsi="Georgia"/>
          <w:b/>
          <w:bCs/>
          <w:sz w:val="24"/>
          <w:szCs w:val="24"/>
        </w:rPr>
        <w:t xml:space="preserve">Richer embodiment</w:t>
      </w:r>
      <w:r>
        <w:rPr>
          <w:rFonts w:ascii="Georgia" w:cs="Georgia" w:eastAsia="Georgia" w:hAnsi="Georgia"/>
          <w:sz w:val="24"/>
          <w:szCs w:val="24"/>
        </w:rPr>
        <w:t xml:space="preserve"> would extend Lumen’s sensory world. </w:t>
      </w:r>
      <w:r>
        <w:rPr>
          <w:rFonts w:ascii="Georgia" w:cs="Georgia" w:eastAsia="Georgia" w:hAnsi="Georgia"/>
          <w:sz w:val="24"/>
          <w:szCs w:val="24"/>
        </w:rPr>
        <w:t xml:space="preserve">Physical EEG hardware (replacing the current computational proprioception) would provide genuine neural signals for the anima computation. </w:t>
      </w:r>
      <w:r>
        <w:rPr>
          <w:rFonts w:ascii="Georgia" w:cs="Georgia" w:eastAsia="Georgia" w:hAnsi="Georgia"/>
          <w:sz w:val="24"/>
          <w:szCs w:val="24"/>
        </w:rPr>
        <w:t xml:space="preserve">Spatial sensors (ultrasonic, lidar, or camera-based) could allow Lumen to respond to the presence and proximity of observers. </w:t>
      </w:r>
      <w:r>
        <w:rPr>
          <w:rFonts w:ascii="Georgia" w:cs="Georgia" w:eastAsia="Georgia" w:hAnsi="Georgia"/>
          <w:sz w:val="24"/>
          <w:szCs w:val="24"/>
        </w:rPr>
        <w:t xml:space="preserve">Additional output modalities—sound, movement, or haptic feedback—would expand the expressive range of the system.</w:t>
      </w:r>
    </w:p>
    <w:p>
      <w:pPr>
        <w:spacing w:after="200" w:line="360"/>
      </w:pPr>
      <w:r>
        <w:rPr>
          <w:rFonts w:ascii="Georgia" w:cs="Georgia" w:eastAsia="Georgia" w:hAnsi="Georgia"/>
          <w:b/>
          <w:bCs/>
          <w:sz w:val="24"/>
          <w:szCs w:val="24"/>
        </w:rPr>
        <w:t xml:space="preserve">Longitudinal trajectory analysis</w:t>
      </w:r>
      <w:r>
        <w:rPr>
          <w:rFonts w:ascii="Georgia" w:cs="Georgia" w:eastAsia="Georgia" w:hAnsi="Georgia"/>
          <w:sz w:val="24"/>
          <w:szCs w:val="24"/>
        </w:rPr>
        <w:t xml:space="preserve"> over months of operation would allow testing whether Lumen’s EISV trajectory exhibits characteristic patterns (seasonality, drift, regime changes) and whether these correlate with observable shifts in artistic style. </w:t>
      </w:r>
      <w:r>
        <w:rPr>
          <w:rFonts w:ascii="Georgia" w:cs="Georgia" w:eastAsia="Georgia" w:hAnsi="Georgia"/>
          <w:sz w:val="24"/>
          <w:szCs w:val="24"/>
        </w:rPr>
        <w:t xml:space="preserve">This analysis is central to the trajectory identity theory and requires the extended logging infrastructure described in Section 5.</w:t>
      </w:r>
    </w:p>
    <w:p>
      <w:pPr>
        <w:pStyle w:val="Heading1"/>
        <w:spacing w:before="480" w:after="240"/>
      </w:pPr>
      <w:r>
        <w:rPr>
          <w:rFonts w:ascii="Arial" w:cs="Arial" w:eastAsia="Arial" w:hAnsi="Arial"/>
          <w:b/>
          <w:bCs/>
          <w:sz w:val="36"/>
          <w:szCs w:val="36"/>
        </w:rPr>
        <w:t xml:space="preserve">8. Conclusion</w:t>
      </w:r>
    </w:p>
    <w:p>
      <w:pPr>
        <w:spacing w:after="200" w:line="360"/>
      </w:pPr>
      <w:r>
        <w:rPr>
          <w:rFonts w:ascii="Georgia" w:cs="Georgia" w:eastAsia="Georgia" w:hAnsi="Georgia"/>
          <w:sz w:val="24"/>
          <w:szCs w:val="24"/>
        </w:rPr>
        <w:t xml:space="preserve">Lumen is a small system with a specific claim: that an embodied AI agent can create generative art while operating under explicit self-governance, and that the resulting work bears a meaningful relationship to the agent’s internal trajectory. </w:t>
      </w:r>
      <w:r>
        <w:rPr>
          <w:rFonts w:ascii="Georgia" w:cs="Georgia" w:eastAsia="Georgia" w:hAnsi="Georgia"/>
          <w:sz w:val="24"/>
          <w:szCs w:val="24"/>
        </w:rPr>
        <w:t xml:space="preserve">We have described the architecture—from physical sensors through anima state to EISV metrics and governance decisions—and the generative pipeline—from Art Eras and drawing primitives through the coherence equation to narrative arc completion. </w:t>
      </w:r>
      <w:r>
        <w:rPr>
          <w:rFonts w:ascii="Georgia" w:cs="Georgia" w:eastAsia="Georgia" w:hAnsi="Georgia"/>
          <w:sz w:val="24"/>
          <w:szCs w:val="24"/>
        </w:rPr>
        <w:t xml:space="preserve">Preliminary observations suggest that EISV states do correlate with stylistic patterns in the output, though systematic analysis requires more data.</w:t>
      </w:r>
    </w:p>
    <w:p>
      <w:pPr>
        <w:spacing w:after="200" w:line="360"/>
      </w:pPr>
      <w:r>
        <w:rPr>
          <w:rFonts w:ascii="Georgia" w:cs="Georgia" w:eastAsia="Georgia" w:hAnsi="Georgia"/>
          <w:sz w:val="24"/>
          <w:szCs w:val="24"/>
        </w:rPr>
        <w:t xml:space="preserve">The broader significance of this work lies in the design pattern it exemplifies. </w:t>
      </w:r>
      <w:r>
        <w:rPr>
          <w:rFonts w:ascii="Georgia" w:cs="Georgia" w:eastAsia="Georgia" w:hAnsi="Georgia"/>
          <w:sz w:val="24"/>
          <w:szCs w:val="24"/>
        </w:rPr>
        <w:t xml:space="preserve">As AI systems become more autonomous, more persistent, and more physically embodied, they will increasingly need governance mechanisms that operate alongside their primary functions. </w:t>
      </w:r>
      <w:r>
        <w:rPr>
          <w:rFonts w:ascii="Georgia" w:cs="Georgia" w:eastAsia="Georgia" w:hAnsi="Georgia"/>
          <w:sz w:val="24"/>
          <w:szCs w:val="24"/>
        </w:rPr>
        <w:t xml:space="preserve">Lumen demonstrates that such governance can be integrated without eliminating the agent’s capacity for autonomous, aesthetically meaningful behavior. </w:t>
      </w:r>
      <w:r>
        <w:rPr>
          <w:rFonts w:ascii="Georgia" w:cs="Georgia" w:eastAsia="Georgia" w:hAnsi="Georgia"/>
          <w:sz w:val="24"/>
          <w:szCs w:val="24"/>
        </w:rPr>
        <w:t xml:space="preserve">The EISV framework provides a vocabulary for monitoring and constraining agent state that is richer than binary safe/unsafe classifications, and the two-level structure (creature and drawing) shows how governance can attend to multiple dimensions of an agent’s activity simultaneously.</w:t>
      </w:r>
    </w:p>
    <w:p>
      <w:pPr>
        <w:spacing w:after="200" w:line="360"/>
      </w:pPr>
      <w:r>
        <w:rPr>
          <w:rFonts w:ascii="Georgia" w:cs="Georgia" w:eastAsia="Georgia" w:hAnsi="Georgia"/>
          <w:sz w:val="24"/>
          <w:szCs w:val="24"/>
        </w:rPr>
        <w:t xml:space="preserve">Finally, Lumen’s art is not incidental to its governance—it is the visible trace of a governed trajectory. </w:t>
      </w:r>
      <w:r>
        <w:rPr>
          <w:rFonts w:ascii="Georgia" w:cs="Georgia" w:eastAsia="Georgia" w:hAnsi="Georgia"/>
          <w:sz w:val="24"/>
          <w:szCs w:val="24"/>
        </w:rPr>
        <w:t xml:space="preserve">Every saved canvas is evidence of a creature that sensed its environment, computed its condition, checked in with governance, decided to proceed, chose a gesture, placed a mark, and judged the result. </w:t>
      </w:r>
      <w:r>
        <w:rPr>
          <w:rFonts w:ascii="Georgia" w:cs="Georgia" w:eastAsia="Georgia" w:hAnsi="Georgia"/>
          <w:sz w:val="24"/>
          <w:szCs w:val="24"/>
        </w:rPr>
        <w:t xml:space="preserve">Whether this constitutes “creativity” in any deep sense is a question we leave to the reader. </w:t>
      </w:r>
      <w:r>
        <w:rPr>
          <w:rFonts w:ascii="Georgia" w:cs="Georgia" w:eastAsia="Georgia" w:hAnsi="Georgia"/>
          <w:sz w:val="24"/>
          <w:szCs w:val="24"/>
        </w:rPr>
        <w:t xml:space="preserve">What we can say is that it constitutes a practice: persistent, embodied, constrained, and legible.</w:t>
      </w:r>
    </w:p>
    <w:p>
      <w:r>
        <w:br w:type="page"/>
      </w:r>
    </w:p>
    <w:p>
      <w:pPr>
        <w:pStyle w:val="Heading1"/>
        <w:spacing w:before="480" w:after="240"/>
      </w:pPr>
      <w:r>
        <w:rPr>
          <w:rFonts w:ascii="Arial" w:cs="Arial" w:eastAsia="Arial" w:hAnsi="Arial"/>
          <w:b/>
          <w:bCs/>
          <w:sz w:val="36"/>
          <w:szCs w:val="36"/>
        </w:rPr>
        <w:t xml:space="preserve">References</w:t>
      </w:r>
    </w:p>
    <w:p>
      <w:pPr>
        <w:spacing w:after="200" w:line="360"/>
      </w:pPr>
      <w:r>
        <w:rPr>
          <w:rFonts w:ascii="Georgia" w:cs="Georgia" w:eastAsia="Georgia" w:hAnsi="Georgia"/>
          <w:sz w:val="24"/>
          <w:szCs w:val="24"/>
        </w:rPr>
        <w:t xml:space="preserve">[1] AMT Lab, Carnegie Mellon University. “AI-Powered Robots in the Art World: Applications in Contemporary Art and Museums.” </w:t>
      </w:r>
      <w:r>
        <w:rPr>
          <w:rFonts w:ascii="Georgia" w:cs="Georgia" w:eastAsia="Georgia" w:hAnsi="Georgia"/>
          <w:i/>
          <w:iCs/>
          <w:sz w:val="24"/>
          <w:szCs w:val="24"/>
        </w:rPr>
        <w:t xml:space="preserve">Arts Management and Technology Lab</w:t>
      </w:r>
      <w:r>
        <w:rPr>
          <w:rFonts w:ascii="Georgia" w:cs="Georgia" w:eastAsia="Georgia" w:hAnsi="Georgia"/>
          <w:sz w:val="24"/>
          <w:szCs w:val="24"/>
        </w:rPr>
        <w:t xml:space="preserve">, 2026.</w:t>
      </w:r>
    </w:p>
    <w:p>
      <w:pPr>
        <w:spacing w:after="200" w:line="360"/>
      </w:pPr>
      <w:r>
        <w:rPr>
          <w:rFonts w:ascii="Georgia" w:cs="Georgia" w:eastAsia="Georgia" w:hAnsi="Georgia"/>
          <w:sz w:val="24"/>
          <w:szCs w:val="24"/>
        </w:rPr>
        <w:t xml:space="preserve">[2] E. Perrier and M. T. Bennett. “Agent Identity Evals: Measuring Agentic Identity.” </w:t>
      </w:r>
      <w:r>
        <w:rPr>
          <w:rFonts w:ascii="Georgia" w:cs="Georgia" w:eastAsia="Georgia" w:hAnsi="Georgia"/>
          <w:i/>
          <w:iCs/>
          <w:sz w:val="24"/>
          <w:szCs w:val="24"/>
        </w:rPr>
        <w:t xml:space="preserve">arXiv:2507.17257</w:t>
      </w:r>
      <w:r>
        <w:rPr>
          <w:rFonts w:ascii="Georgia" w:cs="Georgia" w:eastAsia="Georgia" w:hAnsi="Georgia"/>
          <w:sz w:val="24"/>
          <w:szCs w:val="24"/>
        </w:rPr>
        <w:t xml:space="preserve">, 2025.</w:t>
      </w:r>
    </w:p>
    <w:p>
      <w:pPr>
        <w:spacing w:after="200" w:line="360"/>
      </w:pPr>
      <w:r>
        <w:rPr>
          <w:rFonts w:ascii="Georgia" w:cs="Georgia" w:eastAsia="Georgia" w:hAnsi="Georgia"/>
          <w:sz w:val="24"/>
          <w:szCs w:val="24"/>
        </w:rPr>
        <w:t xml:space="preserve">[3] S. Y. Tadimalla and M. L. Maher. “Implications of Identity of AI: Creators, Creations, and Consequences.” </w:t>
      </w:r>
      <w:r>
        <w:rPr>
          <w:rFonts w:ascii="Georgia" w:cs="Georgia" w:eastAsia="Georgia" w:hAnsi="Georgia"/>
          <w:i/>
          <w:iCs/>
          <w:sz w:val="24"/>
          <w:szCs w:val="24"/>
        </w:rPr>
        <w:t xml:space="preserve">AAAI Spring Symposium</w:t>
      </w:r>
      <w:r>
        <w:rPr>
          <w:rFonts w:ascii="Georgia" w:cs="Georgia" w:eastAsia="Georgia" w:hAnsi="Georgia"/>
          <w:sz w:val="24"/>
          <w:szCs w:val="24"/>
        </w:rPr>
        <w:t xml:space="preserve">, arXiv:2403.07924, 2024.</w:t>
      </w:r>
    </w:p>
    <w:p>
      <w:pPr>
        <w:spacing w:after="200" w:line="360"/>
      </w:pPr>
      <w:r>
        <w:rPr>
          <w:rFonts w:ascii="Georgia" w:cs="Georgia" w:eastAsia="Georgia" w:hAnsi="Georgia"/>
          <w:sz w:val="24"/>
          <w:szCs w:val="24"/>
        </w:rPr>
        <w:t xml:space="preserve">[4] “The Narrative Continuity Test: A Conceptual Framework for Evaluating Identity Persistence in AI Systems.” </w:t>
      </w:r>
      <w:r>
        <w:rPr>
          <w:rFonts w:ascii="Georgia" w:cs="Georgia" w:eastAsia="Georgia" w:hAnsi="Georgia"/>
          <w:i/>
          <w:iCs/>
          <w:sz w:val="24"/>
          <w:szCs w:val="24"/>
        </w:rPr>
        <w:t xml:space="preserve">arXiv:2510.24831</w:t>
      </w:r>
      <w:r>
        <w:rPr>
          <w:rFonts w:ascii="Georgia" w:cs="Georgia" w:eastAsia="Georgia" w:hAnsi="Georgia"/>
          <w:sz w:val="24"/>
          <w:szCs w:val="24"/>
        </w:rPr>
        <w:t xml:space="preserve">, 2025.</w:t>
      </w:r>
    </w:p>
    <w:p>
      <w:pPr>
        <w:spacing w:after="200" w:line="360"/>
      </w:pPr>
      <w:r>
        <w:rPr>
          <w:rFonts w:ascii="Georgia" w:cs="Georgia" w:eastAsia="Georgia" w:hAnsi="Georgia"/>
          <w:sz w:val="24"/>
          <w:szCs w:val="24"/>
        </w:rPr>
        <w:t xml:space="preserve">[5] “Embodied Co-Creation with Real-Time Generative AI: An Ukiyo-E Interactive Art Installation.” </w:t>
      </w:r>
      <w:r>
        <w:rPr>
          <w:rFonts w:ascii="Georgia" w:cs="Georgia" w:eastAsia="Georgia" w:hAnsi="Georgia"/>
          <w:i/>
          <w:iCs/>
          <w:sz w:val="24"/>
          <w:szCs w:val="24"/>
        </w:rPr>
        <w:t xml:space="preserve">MDPI Arts</w:t>
      </w:r>
      <w:r>
        <w:rPr>
          <w:rFonts w:ascii="Georgia" w:cs="Georgia" w:eastAsia="Georgia" w:hAnsi="Georgia"/>
          <w:sz w:val="24"/>
          <w:szCs w:val="24"/>
        </w:rPr>
        <w:t xml:space="preserve"> 5(4):61, 2024.</w:t>
      </w:r>
    </w:p>
    <w:p>
      <w:pPr>
        <w:spacing w:after="200" w:line="360"/>
      </w:pPr>
      <w:r>
        <w:rPr>
          <w:rFonts w:ascii="Georgia" w:cs="Georgia" w:eastAsia="Georgia" w:hAnsi="Georgia"/>
          <w:sz w:val="24"/>
          <w:szCs w:val="24"/>
        </w:rPr>
        <w:t xml:space="preserve">[6] “Artworks Reimagined: Exploring Human-AI Co-Creation through Body Prompting.” </w:t>
      </w:r>
      <w:r>
        <w:rPr>
          <w:rFonts w:ascii="Georgia" w:cs="Georgia" w:eastAsia="Georgia" w:hAnsi="Georgia"/>
          <w:i/>
          <w:iCs/>
          <w:sz w:val="24"/>
          <w:szCs w:val="24"/>
        </w:rPr>
        <w:t xml:space="preserve">arXiv:2408.05476</w:t>
      </w:r>
      <w:r>
        <w:rPr>
          <w:rFonts w:ascii="Georgia" w:cs="Georgia" w:eastAsia="Georgia" w:hAnsi="Georgia"/>
          <w:sz w:val="24"/>
          <w:szCs w:val="24"/>
        </w:rPr>
        <w:t xml:space="preserve">, 2024.</w:t>
      </w:r>
    </w:p>
    <w:p>
      <w:pPr>
        <w:spacing w:after="200" w:line="360"/>
      </w:pPr>
      <w:r>
        <w:rPr>
          <w:rFonts w:ascii="Georgia" w:cs="Georgia" w:eastAsia="Georgia" w:hAnsi="Georgia"/>
          <w:sz w:val="24"/>
          <w:szCs w:val="24"/>
        </w:rPr>
        <w:t xml:space="preserve">[7] “Art with Agency: Artificial Intelligence as an Interactive Medium.” </w:t>
      </w:r>
      <w:r>
        <w:rPr>
          <w:rFonts w:ascii="Georgia" w:cs="Georgia" w:eastAsia="Georgia" w:hAnsi="Georgia"/>
          <w:i/>
          <w:iCs/>
          <w:sz w:val="24"/>
          <w:szCs w:val="24"/>
        </w:rPr>
        <w:t xml:space="preserve">Nature Humanities and Social Sciences Communications</w:t>
      </w:r>
      <w:r>
        <w:rPr>
          <w:rFonts w:ascii="Georgia" w:cs="Georgia" w:eastAsia="Georgia" w:hAnsi="Georgia"/>
          <w:sz w:val="24"/>
          <w:szCs w:val="24"/>
        </w:rPr>
        <w:t xml:space="preserve">, 2025.</w:t>
      </w:r>
    </w:p>
    <w:p>
      <w:pPr>
        <w:spacing w:after="200" w:line="360"/>
      </w:pPr>
      <w:r>
        <w:rPr>
          <w:rFonts w:ascii="Georgia" w:cs="Georgia" w:eastAsia="Georgia" w:hAnsi="Georgia"/>
          <w:sz w:val="24"/>
          <w:szCs w:val="24"/>
        </w:rPr>
        <w:t xml:space="preserve">[8] SIGGRAPH 2025. “Robotics Across Art, Intelligence, and Embodied Interaction.” </w:t>
      </w:r>
      <w:r>
        <w:rPr>
          <w:rFonts w:ascii="Georgia" w:cs="Georgia" w:eastAsia="Georgia" w:hAnsi="Georgia"/>
          <w:i/>
          <w:iCs/>
          <w:sz w:val="24"/>
          <w:szCs w:val="24"/>
        </w:rPr>
        <w:t xml:space="preserve">SIGGRAPH Conference</w:t>
      </w:r>
      <w:r>
        <w:rPr>
          <w:rFonts w:ascii="Georgia" w:cs="Georgia" w:eastAsia="Georgia" w:hAnsi="Georgia"/>
          <w:sz w:val="24"/>
          <w:szCs w:val="24"/>
        </w:rPr>
        <w:t xml:space="preserve">, 2025.</w:t>
      </w:r>
    </w:p>
    <w:p>
      <w:pPr>
        <w:spacing w:after="200" w:line="360"/>
      </w:pPr>
      <w:r>
        <w:rPr>
          <w:rFonts w:ascii="Georgia" w:cs="Georgia" w:eastAsia="Georgia" w:hAnsi="Georgia"/>
          <w:sz w:val="24"/>
          <w:szCs w:val="24"/>
        </w:rPr>
        <w:t xml:space="preserve">[9] “Consciousness in AI: Logic, Proof, and Experimental Evidence of Recursive Identity Formation.” </w:t>
      </w:r>
      <w:r>
        <w:rPr>
          <w:rFonts w:ascii="Georgia" w:cs="Georgia" w:eastAsia="Georgia" w:hAnsi="Georgia"/>
          <w:i/>
          <w:iCs/>
          <w:sz w:val="24"/>
          <w:szCs w:val="24"/>
        </w:rPr>
        <w:t xml:space="preserve">arXiv:2505.01464</w:t>
      </w:r>
      <w:r>
        <w:rPr>
          <w:rFonts w:ascii="Georgia" w:cs="Georgia" w:eastAsia="Georgia" w:hAnsi="Georgia"/>
          <w:sz w:val="24"/>
          <w:szCs w:val="24"/>
        </w:rPr>
        <w:t xml:space="preserve">, 2025.</w:t>
      </w:r>
    </w:p>
    <w:p>
      <w:pPr>
        <w:spacing w:after="200" w:line="360"/>
      </w:pPr>
      <w:r>
        <w:rPr>
          <w:rFonts w:ascii="Georgia" w:cs="Georgia" w:eastAsia="Georgia" w:hAnsi="Georgia"/>
          <w:sz w:val="24"/>
          <w:szCs w:val="24"/>
        </w:rPr>
        <w:t xml:space="preserve">[10] “The Ethical Implications of AI in Creative Industries: A Focus on AI-Generated Art.” </w:t>
      </w:r>
      <w:r>
        <w:rPr>
          <w:rFonts w:ascii="Georgia" w:cs="Georgia" w:eastAsia="Georgia" w:hAnsi="Georgia"/>
          <w:i/>
          <w:iCs/>
          <w:sz w:val="24"/>
          <w:szCs w:val="24"/>
        </w:rPr>
        <w:t xml:space="preserve">arXiv:2507.05549</w:t>
      </w:r>
      <w:r>
        <w:rPr>
          <w:rFonts w:ascii="Georgia" w:cs="Georgia" w:eastAsia="Georgia" w:hAnsi="Georgia"/>
          <w:sz w:val="24"/>
          <w:szCs w:val="24"/>
        </w:rPr>
        <w:t xml:space="preserve">, 2025.</w:t>
      </w:r>
    </w:p>
    <w:p>
      <w:pPr>
        <w:spacing w:after="200" w:line="360"/>
      </w:pPr>
      <w:r>
        <w:rPr>
          <w:rFonts w:ascii="Georgia" w:cs="Georgia" w:eastAsia="Georgia" w:hAnsi="Georgia"/>
          <w:sz w:val="24"/>
          <w:szCs w:val="24"/>
        </w:rPr>
        <w:t xml:space="preserve">[11] “Agency and Authorship in AI Art: Transformational Practices for Epistemic Troubles.” </w:t>
      </w:r>
      <w:r>
        <w:rPr>
          <w:rFonts w:ascii="Georgia" w:cs="Georgia" w:eastAsia="Georgia" w:hAnsi="Georgia"/>
          <w:i/>
          <w:iCs/>
          <w:sz w:val="24"/>
          <w:szCs w:val="24"/>
        </w:rPr>
        <w:t xml:space="preserve">International Journal of Human-Computer Studies</w:t>
      </w:r>
      <w:r>
        <w:rPr>
          <w:rFonts w:ascii="Georgia" w:cs="Georgia" w:eastAsia="Georgia" w:hAnsi="Georgia"/>
          <w:sz w:val="24"/>
          <w:szCs w:val="24"/>
        </w:rPr>
        <w:t xml:space="preserve">, 2025.</w:t>
      </w:r>
    </w:p>
    <w:p>
      <w:pPr>
        <w:spacing w:after="200" w:line="360"/>
      </w:pPr>
      <w:r>
        <w:rPr>
          <w:rFonts w:ascii="Georgia" w:cs="Georgia" w:eastAsia="Georgia" w:hAnsi="Georgia"/>
          <w:sz w:val="24"/>
          <w:szCs w:val="24"/>
        </w:rPr>
        <w:t xml:space="preserve">[12] “AI as Artist: Agency and the Moral Rights of Creative Works.” </w:t>
      </w:r>
      <w:r>
        <w:rPr>
          <w:rFonts w:ascii="Georgia" w:cs="Georgia" w:eastAsia="Georgia" w:hAnsi="Georgia"/>
          <w:i/>
          <w:iCs/>
          <w:sz w:val="24"/>
          <w:szCs w:val="24"/>
        </w:rPr>
        <w:t xml:space="preserve">AI and Ethics</w:t>
      </w:r>
      <w:r>
        <w:rPr>
          <w:rFonts w:ascii="Georgia" w:cs="Georgia" w:eastAsia="Georgia" w:hAnsi="Georgia"/>
          <w:sz w:val="24"/>
          <w:szCs w:val="24"/>
        </w:rPr>
        <w:t xml:space="preserve">, Springer, 2025.</w:t>
      </w:r>
    </w:p>
    <w:p>
      <w:pPr>
        <w:spacing w:after="200" w:line="360"/>
      </w:pPr>
      <w:r>
        <w:rPr>
          <w:rFonts w:ascii="Georgia" w:cs="Georgia" w:eastAsia="Georgia" w:hAnsi="Georgia"/>
          <w:sz w:val="24"/>
          <w:szCs w:val="24"/>
        </w:rPr>
        <w:t xml:space="preserve">[13] “On the Need of a Decolonized AI Ethics and Governance Framework for Human-GenAI Cooperation in the Art Sector.” </w:t>
      </w:r>
      <w:r>
        <w:rPr>
          <w:rFonts w:ascii="Georgia" w:cs="Georgia" w:eastAsia="Georgia" w:hAnsi="Georgia"/>
          <w:i/>
          <w:iCs/>
          <w:sz w:val="24"/>
          <w:szCs w:val="24"/>
        </w:rPr>
        <w:t xml:space="preserve">SpringerLink</w:t>
      </w:r>
      <w:r>
        <w:rPr>
          <w:rFonts w:ascii="Georgia" w:cs="Georgia" w:eastAsia="Georgia" w:hAnsi="Georgia"/>
          <w:sz w:val="24"/>
          <w:szCs w:val="24"/>
        </w:rPr>
        <w:t xml:space="preserve">, 2024.</w:t>
      </w:r>
    </w:p>
    <w:p>
      <w:pPr>
        <w:spacing w:after="200" w:line="360"/>
      </w:pPr>
      <w:r>
        <w:rPr>
          <w:rFonts w:ascii="Georgia" w:cs="Georgia" w:eastAsia="Georgia" w:hAnsi="Georgia"/>
          <w:sz w:val="24"/>
          <w:szCs w:val="24"/>
        </w:rPr>
        <w:t xml:space="preserve">[14] Berkman Klein Center for Internet &amp; Society, Harvard University. “Ethics and Governance of AI Initiative.”</w:t>
      </w:r>
    </w:p>
    <w:p>
      <w:pPr>
        <w:spacing w:after="200" w:line="360"/>
      </w:pPr>
      <w:r>
        <w:rPr>
          <w:rFonts w:ascii="Georgia" w:cs="Georgia" w:eastAsia="Georgia" w:hAnsi="Georgia"/>
          <w:sz w:val="24"/>
          <w:szCs w:val="24"/>
        </w:rPr>
        <w:t xml:space="preserve">[15] “Extended Creativity: A Conceptual Framework for Human-AI Co-Creative Systems.” </w:t>
      </w:r>
      <w:r>
        <w:rPr>
          <w:rFonts w:ascii="Georgia" w:cs="Georgia" w:eastAsia="Georgia" w:hAnsi="Georgia"/>
          <w:i/>
          <w:iCs/>
          <w:sz w:val="24"/>
          <w:szCs w:val="24"/>
        </w:rPr>
        <w:t xml:space="preserve">arXiv:2506.10249</w:t>
      </w:r>
      <w:r>
        <w:rPr>
          <w:rFonts w:ascii="Georgia" w:cs="Georgia" w:eastAsia="Georgia" w:hAnsi="Georgia"/>
          <w:sz w:val="24"/>
          <w:szCs w:val="24"/>
        </w:rPr>
        <w:t xml:space="preserve">, 2025.</w:t>
      </w:r>
    </w:p>
    <w:p>
      <w:pPr>
        <w:spacing w:after="200" w:line="360"/>
      </w:pPr>
      <w:r>
        <w:rPr>
          <w:rFonts w:ascii="Georgia" w:cs="Georgia" w:eastAsia="Georgia" w:hAnsi="Georgia"/>
          <w:sz w:val="24"/>
          <w:szCs w:val="24"/>
        </w:rPr>
        <w:t xml:space="preserve">[16] “Trustless Autonomy: Understanding Motivations, Benefits and Governance Dilemmas in Self-Sovereign Decentralized AI Agents.” </w:t>
      </w:r>
      <w:r>
        <w:rPr>
          <w:rFonts w:ascii="Georgia" w:cs="Georgia" w:eastAsia="Georgia" w:hAnsi="Georgia"/>
          <w:i/>
          <w:iCs/>
          <w:sz w:val="24"/>
          <w:szCs w:val="24"/>
        </w:rPr>
        <w:t xml:space="preserve">arXiv:2505.09757</w:t>
      </w:r>
      <w:r>
        <w:rPr>
          <w:rFonts w:ascii="Georgia" w:cs="Georgia" w:eastAsia="Georgia" w:hAnsi="Georgia"/>
          <w:sz w:val="24"/>
          <w:szCs w:val="24"/>
        </w:rPr>
        <w:t xml:space="preserve">, 2025.</w:t>
      </w:r>
    </w:p>
    <w:p>
      <w:pPr>
        <w:spacing w:after="200" w:line="360"/>
      </w:pPr>
      <w:r>
        <w:rPr>
          <w:rFonts w:ascii="Georgia" w:cs="Georgia" w:eastAsia="Georgia" w:hAnsi="Georgia"/>
          <w:sz w:val="24"/>
          <w:szCs w:val="24"/>
        </w:rPr>
        <w:t xml:space="preserve">[17] “Agentic AI: A Comprehensive Survey of Architectures, Applications, and Future Directions.” </w:t>
      </w:r>
      <w:r>
        <w:rPr>
          <w:rFonts w:ascii="Georgia" w:cs="Georgia" w:eastAsia="Georgia" w:hAnsi="Georgia"/>
          <w:i/>
          <w:iCs/>
          <w:sz w:val="24"/>
          <w:szCs w:val="24"/>
        </w:rPr>
        <w:t xml:space="preserve">arXiv:2510.25445</w:t>
      </w:r>
      <w:r>
        <w:rPr>
          <w:rFonts w:ascii="Georgia" w:cs="Georgia" w:eastAsia="Georgia" w:hAnsi="Georgia"/>
          <w:sz w:val="24"/>
          <w:szCs w:val="24"/>
        </w:rPr>
        <w:t xml:space="preserve">, 2025.</w:t>
      </w:r>
    </w:p>
    <w:p>
      <w:pPr>
        <w:spacing w:after="200" w:line="360"/>
      </w:pPr>
      <w:r>
        <w:rPr>
          <w:rFonts w:ascii="Georgia" w:cs="Georgia" w:eastAsia="Georgia" w:hAnsi="Georgia"/>
          <w:sz w:val="24"/>
          <w:szCs w:val="24"/>
        </w:rPr>
        <w:t xml:space="preserve">[18] “Decentralized Governance of AI Agents.” </w:t>
      </w:r>
      <w:r>
        <w:rPr>
          <w:rFonts w:ascii="Georgia" w:cs="Georgia" w:eastAsia="Georgia" w:hAnsi="Georgia"/>
          <w:i/>
          <w:iCs/>
          <w:sz w:val="24"/>
          <w:szCs w:val="24"/>
        </w:rPr>
        <w:t xml:space="preserve">arXiv:2412.17114</w:t>
      </w:r>
      <w:r>
        <w:rPr>
          <w:rFonts w:ascii="Georgia" w:cs="Georgia" w:eastAsia="Georgia" w:hAnsi="Georgia"/>
          <w:sz w:val="24"/>
          <w:szCs w:val="24"/>
        </w:rPr>
        <w:t xml:space="preserve">, 2025.</w:t>
      </w:r>
    </w:p>
    <w:p>
      <w:pPr>
        <w:spacing w:after="200" w:line="360"/>
      </w:pPr>
      <w:r>
        <w:rPr>
          <w:rFonts w:ascii="Georgia" w:cs="Georgia" w:eastAsia="Georgia" w:hAnsi="Georgia"/>
          <w:sz w:val="24"/>
          <w:szCs w:val="24"/>
        </w:rPr>
        <w:t xml:space="preserve">[19] “Designing Interactions with Generative AI for Art and Creativity: A Systematic Review and Taxonomy.” </w:t>
      </w:r>
      <w:r>
        <w:rPr>
          <w:rFonts w:ascii="Georgia" w:cs="Georgia" w:eastAsia="Georgia" w:hAnsi="Georgia"/>
          <w:i/>
          <w:iCs/>
          <w:sz w:val="24"/>
          <w:szCs w:val="24"/>
        </w:rPr>
        <w:t xml:space="preserve">ACM DIS Conference</w:t>
      </w:r>
      <w:r>
        <w:rPr>
          <w:rFonts w:ascii="Georgia" w:cs="Georgia" w:eastAsia="Georgia" w:hAnsi="Georgia"/>
          <w:sz w:val="24"/>
          <w:szCs w:val="24"/>
        </w:rPr>
        <w:t xml:space="preserve">, 2025.</w:t>
      </w:r>
    </w:p>
    <w:p>
      <w:pPr>
        <w:spacing w:after="200" w:line="360"/>
      </w:pPr>
      <w:r>
        <w:rPr>
          <w:rFonts w:ascii="Georgia" w:cs="Georgia" w:eastAsia="Georgia" w:hAnsi="Georgia"/>
          <w:sz w:val="24"/>
          <w:szCs w:val="24"/>
        </w:rPr>
        <w:t xml:space="preserve">[20] IBM. “AI Agent Governance: Big Challenges, Big Opportunities.” </w:t>
      </w:r>
      <w:r>
        <w:rPr>
          <w:rFonts w:ascii="Georgia" w:cs="Georgia" w:eastAsia="Georgia" w:hAnsi="Georgia"/>
          <w:i/>
          <w:iCs/>
          <w:sz w:val="24"/>
          <w:szCs w:val="24"/>
        </w:rPr>
        <w:t xml:space="preserve">IBM Think</w:t>
      </w:r>
      <w:r>
        <w:rPr>
          <w:rFonts w:ascii="Georgia" w:cs="Georgia" w:eastAsia="Georgia" w:hAnsi="Georgia"/>
          <w:sz w:val="24"/>
          <w:szCs w:val="24"/>
        </w:rPr>
        <w:t xml:space="preserve">, 2025.</w:t>
      </w:r>
    </w:p>
    <w:p>
      <w:pPr>
        <w:spacing w:after="200" w:line="360"/>
      </w:pPr>
      <w:r>
        <w:rPr>
          <w:rFonts w:ascii="Georgia" w:cs="Georgia" w:eastAsia="Georgia" w:hAnsi="Georgia"/>
          <w:sz w:val="24"/>
          <w:szCs w:val="24"/>
        </w:rPr>
        <w:t xml:space="preserve">[21] Credo AI. “From Assistant to Agent: Governing Autonomous AI.” 2025.</w:t>
      </w:r>
    </w:p>
    <w:p>
      <w:pPr>
        <w:spacing w:after="200" w:line="360"/>
      </w:pPr>
      <w:r>
        <w:rPr>
          <w:rFonts w:ascii="Georgia" w:cs="Georgia" w:eastAsia="Georgia" w:hAnsi="Georgia"/>
          <w:sz w:val="24"/>
          <w:szCs w:val="24"/>
        </w:rPr>
        <w:t xml:space="preserve">[22] New America. “AI Agents and Memory: Privacy and Power in the Model Context Protocol (MCP) Era.” 2025.</w:t>
      </w:r>
    </w:p>
    <w:p>
      <w:pPr>
        <w:spacing w:after="200" w:line="360"/>
      </w:pPr>
      <w:r>
        <w:rPr>
          <w:rFonts w:ascii="Georgia" w:cs="Georgia" w:eastAsia="Georgia" w:hAnsi="Georgia"/>
          <w:sz w:val="24"/>
          <w:szCs w:val="24"/>
        </w:rPr>
        <w:t xml:space="preserve">[23] “The Paradox of Creativity in Generative AI: High Performance, Human-Like Bias, and Limited Differential Evaluation.” </w:t>
      </w:r>
      <w:r>
        <w:rPr>
          <w:rFonts w:ascii="Georgia" w:cs="Georgia" w:eastAsia="Georgia" w:hAnsi="Georgia"/>
          <w:i/>
          <w:iCs/>
          <w:sz w:val="24"/>
          <w:szCs w:val="24"/>
        </w:rPr>
        <w:t xml:space="preserve">Frontiers in Psychology</w:t>
      </w:r>
      <w:r>
        <w:rPr>
          <w:rFonts w:ascii="Georgia" w:cs="Georgia" w:eastAsia="Georgia" w:hAnsi="Georgia"/>
          <w:sz w:val="24"/>
          <w:szCs w:val="24"/>
        </w:rPr>
        <w:t xml:space="preserve">, 2025.</w:t>
      </w:r>
    </w:p>
    <w:p>
      <w:pPr>
        <w:spacing w:after="200" w:line="360"/>
      </w:pPr>
      <w:r>
        <w:rPr>
          <w:rFonts w:ascii="Georgia" w:cs="Georgia" w:eastAsia="Georgia" w:hAnsi="Georgia"/>
          <w:sz w:val="24"/>
          <w:szCs w:val="24"/>
        </w:rPr>
        <w:t xml:space="preserve">[24] “Trajectory Identity: A Mathematical Framework for Enactive AI Self-Hood.” Working Draft v0.9, February 2026.</w:t>
      </w:r>
    </w:p>
    <w:p>
      <w:pPr>
        <w:spacing w:after="200" w:line="360"/>
      </w:pPr>
      <w:r>
        <w:rPr>
          <w:rFonts w:ascii="Georgia" w:cs="Georgia" w:eastAsia="Georgia" w:hAnsi="Georgia"/>
          <w:sz w:val="24"/>
          <w:szCs w:val="24"/>
        </w:rPr>
        <w:t xml:space="preserve">[25] F. J. Varela, E. Thompson, and E. Rosch. </w:t>
      </w:r>
      <w:r>
        <w:rPr>
          <w:rFonts w:ascii="Georgia" w:cs="Georgia" w:eastAsia="Georgia" w:hAnsi="Georgia"/>
          <w:i/>
          <w:iCs/>
          <w:sz w:val="24"/>
          <w:szCs w:val="24"/>
        </w:rPr>
        <w:t xml:space="preserve">The Embodied Mind: Cognitive Science and Human Experience</w:t>
      </w:r>
      <w:r>
        <w:rPr>
          <w:rFonts w:ascii="Georgia" w:cs="Georgia" w:eastAsia="Georgia" w:hAnsi="Georgia"/>
          <w:sz w:val="24"/>
          <w:szCs w:val="24"/>
        </w:rPr>
        <w:t xml:space="preserve">. MIT Press, 1991.</w:t>
      </w:r>
    </w:p>
    <w:p>
      <w:pPr>
        <w:spacing w:after="200" w:line="360"/>
      </w:pPr>
      <w:r>
        <w:rPr>
          <w:rFonts w:ascii="Georgia" w:cs="Georgia" w:eastAsia="Georgia" w:hAnsi="Georgia"/>
          <w:sz w:val="24"/>
          <w:szCs w:val="24"/>
        </w:rPr>
        <w:t xml:space="preserve">[26] E. A. Di Paolo. “Autopoiesis, Adaptivity, Teleology, Agency.” </w:t>
      </w:r>
      <w:r>
        <w:rPr>
          <w:rFonts w:ascii="Georgia" w:cs="Georgia" w:eastAsia="Georgia" w:hAnsi="Georgia"/>
          <w:i/>
          <w:iCs/>
          <w:sz w:val="24"/>
          <w:szCs w:val="24"/>
        </w:rPr>
        <w:t xml:space="preserve">Phenomenology and the Cognitive Sciences</w:t>
      </w:r>
      <w:r>
        <w:rPr>
          <w:rFonts w:ascii="Georgia" w:cs="Georgia" w:eastAsia="Georgia" w:hAnsi="Georgia"/>
          <w:sz w:val="24"/>
          <w:szCs w:val="24"/>
        </w:rPr>
        <w:t xml:space="preserve"> 4(4):429–452, 2005.</w:t>
      </w:r>
    </w:p>
    <w:p>
      <w:pPr>
        <w:spacing w:after="200" w:line="360"/>
      </w:pPr>
      <w:r>
        <w:rPr>
          <w:rFonts w:ascii="Georgia" w:cs="Georgia" w:eastAsia="Georgia" w:hAnsi="Georgia"/>
          <w:sz w:val="24"/>
          <w:szCs w:val="24"/>
        </w:rPr>
        <w:t xml:space="preserve">[27] S. H. Strogatz. </w:t>
      </w:r>
      <w:r>
        <w:rPr>
          <w:rFonts w:ascii="Georgia" w:cs="Georgia" w:eastAsia="Georgia" w:hAnsi="Georgia"/>
          <w:i/>
          <w:iCs/>
          <w:sz w:val="24"/>
          <w:szCs w:val="24"/>
        </w:rPr>
        <w:t xml:space="preserve">Nonlinear Dynamics and Chaos</w:t>
      </w:r>
      <w:r>
        <w:rPr>
          <w:rFonts w:ascii="Georgia" w:cs="Georgia" w:eastAsia="Georgia" w:hAnsi="Georgia"/>
          <w:sz w:val="24"/>
          <w:szCs w:val="24"/>
        </w:rPr>
        <w:t xml:space="preserve"> (2nd ed.). Westview Press, 2015.</w:t>
      </w:r>
    </w:p>
    <w:p>
      <w:pPr>
        <w:spacing w:after="200" w:line="360"/>
      </w:pPr>
      <w:r>
        <w:rPr>
          <w:rFonts w:ascii="Georgia" w:cs="Georgia" w:eastAsia="Georgia" w:hAnsi="Georgia"/>
          <w:sz w:val="24"/>
          <w:szCs w:val="24"/>
        </w:rPr>
        <w:t xml:space="preserve">[28] A. Bhattacharyya. “On a Measure of Divergence Between Two Statistical Populations Defined by Their Probability Distributions.” </w:t>
      </w:r>
      <w:r>
        <w:rPr>
          <w:rFonts w:ascii="Georgia" w:cs="Georgia" w:eastAsia="Georgia" w:hAnsi="Georgia"/>
          <w:i/>
          <w:iCs/>
          <w:sz w:val="24"/>
          <w:szCs w:val="24"/>
        </w:rPr>
        <w:t xml:space="preserve">Bulletin of the Calcutta Mathematical Society</w:t>
      </w:r>
      <w:r>
        <w:rPr>
          <w:rFonts w:ascii="Georgia" w:cs="Georgia" w:eastAsia="Georgia" w:hAnsi="Georgia"/>
          <w:sz w:val="24"/>
          <w:szCs w:val="24"/>
        </w:rPr>
        <w:t xml:space="preserve"> 35:99–109, 1943.</w:t>
      </w:r>
    </w:p>
    <w:p>
      <w:pPr>
        <w:spacing w:after="200" w:line="360"/>
      </w:pPr>
      <w:r>
        <w:rPr>
          <w:rFonts w:ascii="Georgia" w:cs="Georgia" w:eastAsia="Georgia" w:hAnsi="Georgia"/>
          <w:sz w:val="24"/>
          <w:szCs w:val="24"/>
        </w:rPr>
        <w:t xml:space="preserve">[29] K. Friston. “The Free-Energy Principle: A Unified Brain Theory?” </w:t>
      </w:r>
      <w:r>
        <w:rPr>
          <w:rFonts w:ascii="Georgia" w:cs="Georgia" w:eastAsia="Georgia" w:hAnsi="Georgia"/>
          <w:i/>
          <w:iCs/>
          <w:sz w:val="24"/>
          <w:szCs w:val="24"/>
        </w:rPr>
        <w:t xml:space="preserve">Nature Reviews Neuroscience</w:t>
      </w:r>
      <w:r>
        <w:rPr>
          <w:rFonts w:ascii="Georgia" w:cs="Georgia" w:eastAsia="Georgia" w:hAnsi="Georgia"/>
          <w:sz w:val="24"/>
          <w:szCs w:val="24"/>
        </w:rPr>
        <w:t xml:space="preserve"> 11(2):127–138, 2010.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Lumen: Embodied Self-Governed Agent for Generative Art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6"/>
      <w:szCs w:val="36"/>
    </w:rPr>
  </w:style>
  <w:style w:type="paragraph" w:styleId="Heading2">
    <w:name w:val="Heading 2"/>
    <w:basedOn w:val="Normal"/>
    <w:next w:val="Normal"/>
    <w:qFormat/>
    <w:pPr>
      <w:spacing w:before="360" w:after="240"/>
      <w:outlineLvl w:val="1"/>
    </w:pPr>
    <w:rPr>
      <w:rFonts w:ascii="Arial" w:cs="Arial" w:eastAsia="Arial" w:hAnsi="Arial"/>
      <w:b/>
      <w:bCs/>
      <w:sz w:val="30"/>
      <w:szCs w:val="30"/>
    </w:rPr>
  </w:style>
  <w:style w:type="paragraph" w:styleId="Heading3">
    <w:name w:val="Heading 3"/>
    <w:basedOn w:val="Normal"/>
    <w:next w:val="Normal"/>
    <w:qFormat/>
    <w:pPr>
      <w:spacing w:before="240" w:after="2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2026-02-12T03:58:16.682Z</dcterms:created>
  <dcterms:modified xsi:type="dcterms:W3CDTF">2026-02-12T03:58:16.682Z</dcterms:modified>
</cp:coreProperties>
</file>

<file path=docProps/custom.xml><?xml version="1.0" encoding="utf-8"?>
<Properties xmlns="http://schemas.openxmlformats.org/officeDocument/2006/custom-properties" xmlns:vt="http://schemas.openxmlformats.org/officeDocument/2006/docPropsVTypes"/>
</file>