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Weekly Status Report: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Notes: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a two page document – the actual format of the report is on page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report is to be completed by a different team member (who is not the team coordinator) each week.  The team member completing it should forward the report to the team coordinator to upload to Catalyst.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Four in-process reports are needed and should be uploaded no later than 12:00 noon on Monday of the following four weeks – Nov 10, Nov 17, Nov 24 and Dec 1.  Since Nov 10 is a holiday, the first report can be uploaded by 12:00 noon on Nov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One final status report is to be uploaded on the Monday of finals week after the presentations are over.  That should only have the first section and give an assessment of how the team performed in the presentation.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teams with six team members, each of the five remaining team members is tasked with one report.  For teams with five team members, the team coordinator will be responsible for the final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the list of itemized activities as required, they have to be descriptive enough to provide a clear understanding of what was achieved – a person can have multiple entries in the tables.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Weekly Status Report: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Week of: </w:t>
      </w:r>
      <w:r w:rsidDel="00000000" w:rsidR="00000000" w:rsidRPr="00000000">
        <w:rPr>
          <w:sz w:val="28"/>
          <w:szCs w:val="28"/>
          <w:rtl w:val="0"/>
        </w:rPr>
        <w:t xml:space="preserve">11/6/2017 to 11/13/2017</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Report prepared by:</w:t>
      </w:r>
      <w:r w:rsidDel="00000000" w:rsidR="00000000" w:rsidRPr="00000000">
        <w:rPr>
          <w:sz w:val="28"/>
          <w:szCs w:val="28"/>
          <w:rtl w:val="0"/>
        </w:rPr>
        <w:t xml:space="preserve"> Michael Wu</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List of itemized activities planned for this week:</w:t>
      </w:r>
    </w:p>
    <w:tbl>
      <w:tblPr>
        <w:tblStyle w:val="Table1"/>
        <w:tblW w:w="93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970"/>
        <w:gridCol w:w="1778"/>
        <w:gridCol w:w="1870"/>
        <w:gridCol w:w="1870"/>
        <w:tblGridChange w:id="0">
          <w:tblGrid>
            <w:gridCol w:w="895"/>
            <w:gridCol w:w="2970"/>
            <w:gridCol w:w="1778"/>
            <w:gridCol w:w="1870"/>
            <w:gridCol w:w="1870"/>
          </w:tblGrid>
        </w:tblGridChange>
      </w:tblGrid>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 No.</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Activity Description</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Responsible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Completion Status (%)</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Reason for delay</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3</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Detailed Division of Labor in Modules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2</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Headers and Structures for Modules planned out</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4</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Familiarization with API’s and specifications of project</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List of itemized activities planned for next week:</w:t>
      </w:r>
    </w:p>
    <w:tbl>
      <w:tblPr>
        <w:tblStyle w:val="Table2"/>
        <w:tblW w:w="93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520"/>
        <w:gridCol w:w="2228"/>
        <w:gridCol w:w="1870"/>
        <w:gridCol w:w="1870"/>
        <w:tblGridChange w:id="0">
          <w:tblGrid>
            <w:gridCol w:w="895"/>
            <w:gridCol w:w="2520"/>
            <w:gridCol w:w="2228"/>
            <w:gridCol w:w="1870"/>
            <w:gridCol w:w="1870"/>
          </w:tblGrid>
        </w:tblGridChange>
      </w:tblGrid>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S. No.</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Activity Description</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Member Responsible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Completion Expected (%)</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Reason for multi-week</w:t>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5</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Initial Programming</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25%</w:t>
            </w:r>
          </w:p>
        </w:tc>
        <w:tc>
          <w:tcPr/>
          <w:p w:rsidR="00000000" w:rsidDel="00000000" w:rsidP="00000000" w:rsidRDefault="00000000" w:rsidRPr="00000000">
            <w:pPr>
              <w:contextualSpacing w:val="0"/>
              <w:rPr>
                <w:sz w:val="28"/>
                <w:szCs w:val="28"/>
              </w:rPr>
            </w:pPr>
            <w:r w:rsidDel="00000000" w:rsidR="00000000" w:rsidRPr="00000000">
              <w:rPr>
                <w:rtl w:val="0"/>
              </w:rPr>
            </w:r>
          </w:p>
        </w:tc>
      </w:tr>
      <w:tr>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6</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Communication in Case of Structural Changes</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Everyone</w:t>
            </w:r>
          </w:p>
        </w:tc>
        <w:tc>
          <w:tcPr/>
          <w:p w:rsidR="00000000" w:rsidDel="00000000" w:rsidP="00000000" w:rsidRDefault="00000000" w:rsidRPr="00000000">
            <w:pPr>
              <w:contextualSpacing w:val="0"/>
              <w:rPr>
                <w:sz w:val="28"/>
                <w:szCs w:val="28"/>
              </w:rPr>
            </w:pPr>
            <w:r w:rsidDel="00000000" w:rsidR="00000000" w:rsidRPr="00000000">
              <w:rPr>
                <w:sz w:val="28"/>
                <w:szCs w:val="28"/>
                <w:rtl w:val="0"/>
              </w:rPr>
              <w:t xml:space="preserve">100%</w:t>
            </w:r>
          </w:p>
        </w:tc>
        <w:tc>
          <w:tcPr/>
          <w:p w:rsidR="00000000" w:rsidDel="00000000" w:rsidP="00000000" w:rsidRDefault="00000000" w:rsidRPr="00000000">
            <w:pPr>
              <w:contextualSpacing w:val="0"/>
              <w:rPr>
                <w:sz w:val="28"/>
                <w:szCs w:val="28"/>
              </w:rPr>
            </w:pPr>
            <w:r w:rsidDel="00000000" w:rsidR="00000000" w:rsidRPr="00000000">
              <w:rPr>
                <w:rtl w:val="0"/>
              </w:rPr>
            </w:r>
          </w:p>
        </w:tc>
      </w:tr>
      <w:tr>
        <w:tc>
          <w:tcPr/>
          <w:p w:rsidR="00000000" w:rsidDel="00000000" w:rsidP="00000000" w:rsidRDefault="00000000" w:rsidRPr="00000000">
            <w:pPr>
              <w:contextualSpacing w:val="0"/>
              <w:rPr>
                <w:sz w:val="28"/>
                <w:szCs w:val="28"/>
              </w:rPr>
            </w:pPr>
            <w:bookmarkStart w:colFirst="0" w:colLast="0" w:name="_gjdgxs" w:id="0"/>
            <w:bookmarkEnd w:id="0"/>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c>
          <w:tcPr/>
          <w:p w:rsidR="00000000" w:rsidDel="00000000" w:rsidP="00000000" w:rsidRDefault="00000000" w:rsidRPr="00000000">
            <w:pPr>
              <w:contextualSpacing w:val="0"/>
              <w:rPr>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