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322DA405">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6E78CE73" w:rsidR="00440F5D" w:rsidRPr="00814A4F" w:rsidRDefault="00814A4F" w:rsidP="00512C77">
      <w:pPr>
        <w:pStyle w:val="Title"/>
        <w:rPr>
          <w:sz w:val="60"/>
          <w:szCs w:val="60"/>
        </w:rPr>
      </w:pPr>
      <w:r w:rsidRPr="00814A4F">
        <w:rPr>
          <w:sz w:val="60"/>
          <w:szCs w:val="60"/>
        </w:rPr>
        <w:t>Federal Attack Surface Testing Assessment Report</w:t>
      </w:r>
      <w:r w:rsidR="009029C8" w:rsidRPr="00814A4F">
        <w:rPr>
          <w:sz w:val="60"/>
          <w:szCs w:val="60"/>
        </w:rPr>
        <w:t xml:space="preserve">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485D41C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15C18D97" w14:textId="3A41CD18" w:rsidR="00581A5C" w:rsidRDefault="0083432D">
          <w:pPr>
            <w:pStyle w:val="TOC1"/>
            <w:tabs>
              <w:tab w:val="right" w:leader="dot" w:pos="4310"/>
            </w:tabs>
            <w:rPr>
              <w:rFonts w:eastAsiaTheme="minorEastAsia" w:cstheme="minorBidi"/>
              <w:bCs w:val="0"/>
              <w:caps w:val="0"/>
              <w:noProof/>
              <w:color w:val="auto"/>
              <w:kern w:val="2"/>
              <w:sz w:val="24"/>
              <w:szCs w:val="24"/>
              <w14:ligatures w14:val="standardContextual"/>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43591621" w:history="1">
            <w:r w:rsidR="00581A5C" w:rsidRPr="00322077">
              <w:rPr>
                <w:rStyle w:val="Hyperlink"/>
                <w:noProof/>
              </w:rPr>
              <w:t>Findings</w:t>
            </w:r>
            <w:r w:rsidR="00581A5C">
              <w:rPr>
                <w:noProof/>
                <w:webHidden/>
              </w:rPr>
              <w:tab/>
            </w:r>
            <w:r w:rsidR="00581A5C">
              <w:rPr>
                <w:noProof/>
                <w:webHidden/>
              </w:rPr>
              <w:fldChar w:fldCharType="begin"/>
            </w:r>
            <w:r w:rsidR="00581A5C">
              <w:rPr>
                <w:noProof/>
                <w:webHidden/>
              </w:rPr>
              <w:instrText xml:space="preserve"> PAGEREF _Toc143591621 \h </w:instrText>
            </w:r>
            <w:r w:rsidR="00581A5C">
              <w:rPr>
                <w:noProof/>
                <w:webHidden/>
              </w:rPr>
            </w:r>
            <w:r w:rsidR="00581A5C">
              <w:rPr>
                <w:noProof/>
                <w:webHidden/>
              </w:rPr>
              <w:fldChar w:fldCharType="separate"/>
            </w:r>
            <w:r w:rsidR="00581A5C">
              <w:rPr>
                <w:noProof/>
                <w:webHidden/>
              </w:rPr>
              <w:t>3</w:t>
            </w:r>
            <w:r w:rsidR="00581A5C">
              <w:rPr>
                <w:noProof/>
                <w:webHidden/>
              </w:rPr>
              <w:fldChar w:fldCharType="end"/>
            </w:r>
          </w:hyperlink>
        </w:p>
        <w:p w14:paraId="3D6185EA" w14:textId="7529D7DF"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2" w:history="1">
            <w:r w:rsidR="00581A5C" w:rsidRPr="00322077">
              <w:rPr>
                <w:rStyle w:val="Hyperlink"/>
                <w:noProof/>
              </w:rPr>
              <w:t>Attack Paths</w:t>
            </w:r>
            <w:r w:rsidR="00581A5C">
              <w:rPr>
                <w:noProof/>
                <w:webHidden/>
              </w:rPr>
              <w:tab/>
            </w:r>
            <w:r w:rsidR="00581A5C">
              <w:rPr>
                <w:noProof/>
                <w:webHidden/>
              </w:rPr>
              <w:fldChar w:fldCharType="begin"/>
            </w:r>
            <w:r w:rsidR="00581A5C">
              <w:rPr>
                <w:noProof/>
                <w:webHidden/>
              </w:rPr>
              <w:instrText xml:space="preserve"> PAGEREF _Toc143591622 \h </w:instrText>
            </w:r>
            <w:r w:rsidR="00581A5C">
              <w:rPr>
                <w:noProof/>
                <w:webHidden/>
              </w:rPr>
            </w:r>
            <w:r w:rsidR="00581A5C">
              <w:rPr>
                <w:noProof/>
                <w:webHidden/>
              </w:rPr>
              <w:fldChar w:fldCharType="separate"/>
            </w:r>
            <w:r w:rsidR="00581A5C">
              <w:rPr>
                <w:noProof/>
                <w:webHidden/>
              </w:rPr>
              <w:t>5</w:t>
            </w:r>
            <w:r w:rsidR="00581A5C">
              <w:rPr>
                <w:noProof/>
                <w:webHidden/>
              </w:rPr>
              <w:fldChar w:fldCharType="end"/>
            </w:r>
          </w:hyperlink>
        </w:p>
        <w:p w14:paraId="615B345A" w14:textId="5BA97B8D"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3" w:history="1">
            <w:r w:rsidR="00581A5C" w:rsidRPr="00322077">
              <w:rPr>
                <w:rStyle w:val="Hyperlink"/>
                <w:noProof/>
              </w:rPr>
              <w:t>Appendix A: Severity Rating Criteria</w:t>
            </w:r>
            <w:r w:rsidR="00581A5C">
              <w:rPr>
                <w:noProof/>
                <w:webHidden/>
              </w:rPr>
              <w:tab/>
            </w:r>
            <w:r w:rsidR="00581A5C">
              <w:rPr>
                <w:noProof/>
                <w:webHidden/>
              </w:rPr>
              <w:fldChar w:fldCharType="begin"/>
            </w:r>
            <w:r w:rsidR="00581A5C">
              <w:rPr>
                <w:noProof/>
                <w:webHidden/>
              </w:rPr>
              <w:instrText xml:space="preserve"> PAGEREF _Toc143591623 \h </w:instrText>
            </w:r>
            <w:r w:rsidR="00581A5C">
              <w:rPr>
                <w:noProof/>
                <w:webHidden/>
              </w:rPr>
            </w:r>
            <w:r w:rsidR="00581A5C">
              <w:rPr>
                <w:noProof/>
                <w:webHidden/>
              </w:rPr>
              <w:fldChar w:fldCharType="separate"/>
            </w:r>
            <w:r w:rsidR="00581A5C">
              <w:rPr>
                <w:noProof/>
                <w:webHidden/>
              </w:rPr>
              <w:t>5</w:t>
            </w:r>
            <w:r w:rsidR="00581A5C">
              <w:rPr>
                <w:noProof/>
                <w:webHidden/>
              </w:rPr>
              <w:fldChar w:fldCharType="end"/>
            </w:r>
          </w:hyperlink>
        </w:p>
        <w:p w14:paraId="02F45271" w14:textId="54442B89"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4" w:history="1">
            <w:r w:rsidR="00581A5C" w:rsidRPr="00322077">
              <w:rPr>
                <w:rStyle w:val="Hyperlink"/>
                <w:noProof/>
              </w:rPr>
              <w:t>APPENDIX B: Narrative</w:t>
            </w:r>
            <w:r w:rsidR="00581A5C">
              <w:rPr>
                <w:noProof/>
                <w:webHidden/>
              </w:rPr>
              <w:tab/>
            </w:r>
            <w:r w:rsidR="00581A5C">
              <w:rPr>
                <w:noProof/>
                <w:webHidden/>
              </w:rPr>
              <w:fldChar w:fldCharType="begin"/>
            </w:r>
            <w:r w:rsidR="00581A5C">
              <w:rPr>
                <w:noProof/>
                <w:webHidden/>
              </w:rPr>
              <w:instrText xml:space="preserve"> PAGEREF _Toc143591624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720B622F" w14:textId="2C41B6CA"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5" w:history="1">
            <w:r w:rsidR="00581A5C" w:rsidRPr="00322077">
              <w:rPr>
                <w:rStyle w:val="Hyperlink"/>
                <w:noProof/>
              </w:rPr>
              <w:t>Appendix C: Scope</w:t>
            </w:r>
            <w:r w:rsidR="00581A5C">
              <w:rPr>
                <w:noProof/>
                <w:webHidden/>
              </w:rPr>
              <w:tab/>
            </w:r>
            <w:r w:rsidR="00581A5C">
              <w:rPr>
                <w:noProof/>
                <w:webHidden/>
              </w:rPr>
              <w:fldChar w:fldCharType="begin"/>
            </w:r>
            <w:r w:rsidR="00581A5C">
              <w:rPr>
                <w:noProof/>
                <w:webHidden/>
              </w:rPr>
              <w:instrText xml:space="preserve"> PAGEREF _Toc143591625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39C29A91" w14:textId="20A397D8"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6" w:history="1">
            <w:r w:rsidR="00581A5C" w:rsidRPr="00322077">
              <w:rPr>
                <w:rStyle w:val="Hyperlink"/>
                <w:noProof/>
              </w:rPr>
              <w:t>Appendix D: External Port Mapping</w:t>
            </w:r>
            <w:r w:rsidR="00581A5C">
              <w:rPr>
                <w:noProof/>
                <w:webHidden/>
              </w:rPr>
              <w:tab/>
            </w:r>
            <w:r w:rsidR="00581A5C">
              <w:rPr>
                <w:noProof/>
                <w:webHidden/>
              </w:rPr>
              <w:fldChar w:fldCharType="begin"/>
            </w:r>
            <w:r w:rsidR="00581A5C">
              <w:rPr>
                <w:noProof/>
                <w:webHidden/>
              </w:rPr>
              <w:instrText xml:space="preserve"> PAGEREF _Toc143591626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79B07008" w14:textId="487EF1B4"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7" w:history="1">
            <w:r w:rsidR="00581A5C" w:rsidRPr="00322077">
              <w:rPr>
                <w:rStyle w:val="Hyperlink"/>
                <w:noProof/>
              </w:rPr>
              <w:t>Appendix E: Abbreviations and Acronyms</w:t>
            </w:r>
            <w:r w:rsidR="00581A5C">
              <w:rPr>
                <w:noProof/>
                <w:webHidden/>
              </w:rPr>
              <w:tab/>
            </w:r>
            <w:r w:rsidR="00581A5C">
              <w:rPr>
                <w:noProof/>
                <w:webHidden/>
              </w:rPr>
              <w:fldChar w:fldCharType="begin"/>
            </w:r>
            <w:r w:rsidR="00581A5C">
              <w:rPr>
                <w:noProof/>
                <w:webHidden/>
              </w:rPr>
              <w:instrText xml:space="preserve"> PAGEREF _Toc143591627 \h </w:instrText>
            </w:r>
            <w:r w:rsidR="00581A5C">
              <w:rPr>
                <w:noProof/>
                <w:webHidden/>
              </w:rPr>
            </w:r>
            <w:r w:rsidR="00581A5C">
              <w:rPr>
                <w:noProof/>
                <w:webHidden/>
              </w:rPr>
              <w:fldChar w:fldCharType="separate"/>
            </w:r>
            <w:r w:rsidR="00581A5C">
              <w:rPr>
                <w:noProof/>
                <w:webHidden/>
              </w:rPr>
              <w:t>7</w:t>
            </w:r>
            <w:r w:rsidR="00581A5C">
              <w:rPr>
                <w:noProof/>
                <w:webHidden/>
              </w:rPr>
              <w:fldChar w:fldCharType="end"/>
            </w:r>
          </w:hyperlink>
        </w:p>
        <w:p w14:paraId="5DF67208" w14:textId="00C6EE6D"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50B2E146" w14:textId="7032D1C1" w:rsidR="00581A5C"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43591628" w:history="1">
        <w:r w:rsidR="00581A5C" w:rsidRPr="001732BB">
          <w:rPr>
            <w:rStyle w:val="Hyperlink"/>
            <w:noProof/>
          </w:rPr>
          <w:t>Table 1: Summary of Findings, Severity, and Mitigation Status</w:t>
        </w:r>
        <w:r w:rsidR="00581A5C">
          <w:rPr>
            <w:noProof/>
            <w:webHidden/>
          </w:rPr>
          <w:tab/>
        </w:r>
        <w:r w:rsidR="00581A5C">
          <w:rPr>
            <w:noProof/>
            <w:webHidden/>
          </w:rPr>
          <w:fldChar w:fldCharType="begin"/>
        </w:r>
        <w:r w:rsidR="00581A5C">
          <w:rPr>
            <w:noProof/>
            <w:webHidden/>
          </w:rPr>
          <w:instrText xml:space="preserve"> PAGEREF _Toc143591628 \h </w:instrText>
        </w:r>
        <w:r w:rsidR="00581A5C">
          <w:rPr>
            <w:noProof/>
            <w:webHidden/>
          </w:rPr>
        </w:r>
        <w:r w:rsidR="00581A5C">
          <w:rPr>
            <w:noProof/>
            <w:webHidden/>
          </w:rPr>
          <w:fldChar w:fldCharType="separate"/>
        </w:r>
        <w:r w:rsidR="00581A5C">
          <w:rPr>
            <w:noProof/>
            <w:webHidden/>
          </w:rPr>
          <w:t>3</w:t>
        </w:r>
        <w:r w:rsidR="00581A5C">
          <w:rPr>
            <w:noProof/>
            <w:webHidden/>
          </w:rPr>
          <w:fldChar w:fldCharType="end"/>
        </w:r>
      </w:hyperlink>
    </w:p>
    <w:p w14:paraId="797915D7" w14:textId="39C46C42" w:rsidR="00581A5C"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591629" w:history="1">
        <w:r w:rsidR="00581A5C" w:rsidRPr="001732BB">
          <w:rPr>
            <w:rStyle w:val="Hyperlink"/>
            <w:noProof/>
          </w:rPr>
          <w:t>Table 2: Severity Rating Descriptions</w:t>
        </w:r>
        <w:r w:rsidR="00581A5C">
          <w:rPr>
            <w:noProof/>
            <w:webHidden/>
          </w:rPr>
          <w:tab/>
        </w:r>
        <w:r w:rsidR="00581A5C">
          <w:rPr>
            <w:noProof/>
            <w:webHidden/>
          </w:rPr>
          <w:fldChar w:fldCharType="begin"/>
        </w:r>
        <w:r w:rsidR="00581A5C">
          <w:rPr>
            <w:noProof/>
            <w:webHidden/>
          </w:rPr>
          <w:instrText xml:space="preserve"> PAGEREF _Toc143591629 \h </w:instrText>
        </w:r>
        <w:r w:rsidR="00581A5C">
          <w:rPr>
            <w:noProof/>
            <w:webHidden/>
          </w:rPr>
        </w:r>
        <w:r w:rsidR="00581A5C">
          <w:rPr>
            <w:noProof/>
            <w:webHidden/>
          </w:rPr>
          <w:fldChar w:fldCharType="separate"/>
        </w:r>
        <w:r w:rsidR="00581A5C">
          <w:rPr>
            <w:noProof/>
            <w:webHidden/>
          </w:rPr>
          <w:t>5</w:t>
        </w:r>
        <w:r w:rsidR="00581A5C">
          <w:rPr>
            <w:noProof/>
            <w:webHidden/>
          </w:rPr>
          <w:fldChar w:fldCharType="end"/>
        </w:r>
      </w:hyperlink>
    </w:p>
    <w:p w14:paraId="3547CA06" w14:textId="6705A431" w:rsidR="00581A5C"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591630" w:history="1">
        <w:r w:rsidR="00581A5C" w:rsidRPr="001732BB">
          <w:rPr>
            <w:rStyle w:val="Hyperlink"/>
            <w:noProof/>
          </w:rPr>
          <w:t>Table 3: Open Ports and Services on External Systems</w:t>
        </w:r>
        <w:r w:rsidR="00581A5C">
          <w:rPr>
            <w:noProof/>
            <w:webHidden/>
          </w:rPr>
          <w:tab/>
        </w:r>
        <w:r w:rsidR="00581A5C">
          <w:rPr>
            <w:noProof/>
            <w:webHidden/>
          </w:rPr>
          <w:fldChar w:fldCharType="begin"/>
        </w:r>
        <w:r w:rsidR="00581A5C">
          <w:rPr>
            <w:noProof/>
            <w:webHidden/>
          </w:rPr>
          <w:instrText xml:space="preserve"> PAGEREF _Toc143591630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25AC2498" w14:textId="1E1E17D5"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44ABF443" w14:textId="53B1E055"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eastAsiaTheme="minorHAnsi" w:cstheme="minorBidi"/>
          <w:b w:val="0"/>
          <w:caps w:val="0"/>
          <w:color w:val="5A5B5D"/>
          <w:szCs w:val="20"/>
        </w:rPr>
        <w:fldChar w:fldCharType="begin"/>
      </w:r>
      <w:r w:rsidRPr="001877E0">
        <w:rPr>
          <w:color w:val="5A5B5D"/>
          <w:szCs w:val="20"/>
        </w:rPr>
        <w:instrText xml:space="preserve"> TOC \h \z \c "Figure" </w:instrText>
      </w:r>
      <w:r w:rsidRPr="001877E0">
        <w:rPr>
          <w:rFonts w:eastAsiaTheme="minorHAnsi" w:cstheme="minorBidi"/>
          <w:b w:val="0"/>
          <w:caps w:val="0"/>
          <w:color w:val="5A5B5D"/>
          <w:szCs w:val="20"/>
        </w:rPr>
        <w:fldChar w:fldCharType="separate"/>
      </w:r>
      <w:r w:rsidR="00581A5C">
        <w:rPr>
          <w:rFonts w:eastAsiaTheme="minorHAnsi" w:cstheme="minorBidi"/>
          <w:bCs/>
          <w:caps w:val="0"/>
          <w:noProof/>
          <w:color w:val="5A5B5D"/>
          <w:szCs w:val="20"/>
        </w:rPr>
        <w:t>No table of figures entries found.</w:t>
      </w: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5A3AA24F" w14:textId="1E4CA72E" w:rsidR="0088618F" w:rsidRPr="00795162" w:rsidRDefault="00AE70C6" w:rsidP="0088618F">
      <w:pPr>
        <w:pStyle w:val="Heading1"/>
      </w:pPr>
      <w:bookmarkStart w:id="0" w:name="_Toc143591621"/>
      <w:r>
        <w:lastRenderedPageBreak/>
        <w:t>Findings</w:t>
      </w:r>
      <w:bookmarkEnd w:id="0"/>
    </w:p>
    <w:p w14:paraId="1DFA0D40" w14:textId="1A86C66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77910371" w:rsidR="0088618F" w:rsidRPr="0088618F" w:rsidRDefault="00AE70C6" w:rsidP="00FF43DC">
      <w:pPr>
        <w:pStyle w:val="Caption"/>
      </w:pPr>
      <w:bookmarkStart w:id="1" w:name="_Toc143591628"/>
      <w:r>
        <w:t xml:space="preserve">Table </w:t>
      </w:r>
      <w:fldSimple w:instr=" SEQ Table \* ARABIC ">
        <w:r w:rsidR="00581A5C">
          <w:rPr>
            <w:noProof/>
          </w:rPr>
          <w:t>1</w:t>
        </w:r>
      </w:fldSimple>
      <w:r>
        <w:t xml:space="preserve">: </w:t>
      </w:r>
      <w:r w:rsidR="00FF43DC">
        <w:t>Summary of Findings, Severity, and Mitigation Status</w:t>
      </w:r>
      <w:bookmarkEnd w:id="1"/>
    </w:p>
    <w:p w14:paraId="30C1A551" w14:textId="0A05CA71"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69B9AAD7" w14:textId="785F0132" w:rsidR="00B63DD2" w:rsidRPr="008914AB" w:rsidRDefault="00670D99" w:rsidP="008914AB">
      <w:r>
        <w:t>{Table: Detailed Findings}</w:t>
      </w:r>
      <w:bookmarkStart w:id="2" w:name="KEV"/>
      <w:bookmarkEnd w:id="2"/>
    </w:p>
    <w:p w14:paraId="73533D2E" w14:textId="48399E96" w:rsidR="00363C59" w:rsidRPr="006051C6" w:rsidRDefault="00363C59" w:rsidP="006051C6">
      <w:pPr>
        <w:rPr>
          <w:color w:val="5A5B5D"/>
        </w:rPr>
      </w:pPr>
      <w:bookmarkStart w:id="3" w:name="APPA"/>
      <w:bookmarkEnd w:id="3"/>
      <w:r>
        <w:rPr>
          <w:color w:val="5A5B5D"/>
        </w:rPr>
        <w:t>{PHISHING CAMPAIGN RESULTS}</w:t>
      </w:r>
    </w:p>
    <w:p w14:paraId="482FA37A" w14:textId="3B5FD159" w:rsidR="00366D1A" w:rsidRDefault="00366D1A" w:rsidP="00366D1A">
      <w:pPr>
        <w:pStyle w:val="Heading1"/>
      </w:pPr>
      <w:bookmarkStart w:id="4" w:name="_Toc143591622"/>
      <w:r>
        <w:t>Attack Paths</w:t>
      </w:r>
      <w:bookmarkEnd w:id="4"/>
    </w:p>
    <w:p w14:paraId="3528B67B" w14:textId="3567E32C"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CISA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5" w:name="_Toc143591623"/>
      <w:r>
        <w:t xml:space="preserve">Appendix A: </w:t>
      </w:r>
      <w:r w:rsidR="004B01AA">
        <w:t>Severity</w:t>
      </w:r>
      <w:r>
        <w:t xml:space="preserve"> </w:t>
      </w:r>
      <w:r w:rsidR="00D86D26">
        <w:t xml:space="preserve">Rating </w:t>
      </w:r>
      <w:r>
        <w:t>Criteria</w:t>
      </w:r>
      <w:bookmarkEnd w:id="5"/>
    </w:p>
    <w:p w14:paraId="22159AD1" w14:textId="08D6EE09"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are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D91A91E"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27A36944" w:rsidR="00415C0C" w:rsidRPr="00A518CB" w:rsidRDefault="00432925" w:rsidP="003A5505">
      <w:pPr>
        <w:pStyle w:val="Caption"/>
      </w:pPr>
      <w:bookmarkStart w:id="6" w:name="_Toc143591629"/>
      <w:r>
        <w:t xml:space="preserve">Table </w:t>
      </w:r>
      <w:fldSimple w:instr=" SEQ Table \* ARABIC ">
        <w:r w:rsidR="00581A5C">
          <w:rPr>
            <w:noProof/>
          </w:rPr>
          <w:t>2</w:t>
        </w:r>
      </w:fldSimple>
      <w:r>
        <w:t xml:space="preserve">: </w:t>
      </w:r>
      <w:r w:rsidR="00D86D26">
        <w:t>Severity Rating Descriptions</w:t>
      </w:r>
      <w:bookmarkEnd w:id="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6CF20DD2" w14:textId="3BE62580" w:rsidR="000C40C7" w:rsidRDefault="008845BF" w:rsidP="000C40C7">
      <w:pPr>
        <w:pStyle w:val="Heading1"/>
      </w:pPr>
      <w:bookmarkStart w:id="7" w:name="_Toc143591624"/>
      <w:bookmarkStart w:id="8" w:name="NAR"/>
      <w:r>
        <w:lastRenderedPageBreak/>
        <w:t xml:space="preserve">APPENDIX </w:t>
      </w:r>
      <w:r w:rsidR="00814A4F">
        <w:t>B</w:t>
      </w:r>
      <w:r>
        <w:t xml:space="preserve">: </w:t>
      </w:r>
      <w:r w:rsidR="000C40C7">
        <w:t>Narrative</w:t>
      </w:r>
      <w:bookmarkEnd w:id="7"/>
    </w:p>
    <w:bookmarkEnd w:id="8"/>
    <w:p w14:paraId="1D092D4C" w14:textId="31D188A4" w:rsidR="000C40C7" w:rsidRDefault="000C40C7" w:rsidP="000C40C7">
      <w:pPr>
        <w:rPr>
          <w:color w:val="5A5B5D"/>
        </w:rPr>
      </w:pPr>
      <w:r w:rsidRPr="001F22FE">
        <w:rPr>
          <w:color w:val="5A5B5D"/>
        </w:rPr>
        <w:t>This section highlights key tools and techniques the CISA team utilized during testing and can be used to replicate the CISA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4D2A521A" w14:textId="00625ABE" w:rsidR="00AB6232" w:rsidRPr="00AB6232" w:rsidRDefault="009F0C2F" w:rsidP="003E7456">
      <w:pPr>
        <w:pStyle w:val="Heading1"/>
      </w:pPr>
      <w:bookmarkStart w:id="9" w:name="_Toc143591625"/>
      <w:r>
        <w:t xml:space="preserve">Appendix </w:t>
      </w:r>
      <w:r w:rsidR="00814A4F">
        <w:t>C</w:t>
      </w:r>
      <w:r>
        <w:t xml:space="preserve">: </w:t>
      </w:r>
      <w:r w:rsidR="00814A4F">
        <w:t>Scope</w:t>
      </w:r>
      <w:bookmarkEnd w:id="9"/>
    </w:p>
    <w:p w14:paraId="1778D3DC" w14:textId="65D8331C" w:rsidR="001714A2" w:rsidRDefault="009164D0" w:rsidP="001714A2">
      <w:pPr>
        <w:spacing w:after="120"/>
        <w:rPr>
          <w:color w:val="5A5B5D"/>
        </w:rPr>
      </w:pPr>
      <w:r>
        <w:rPr>
          <w:color w:val="5A5B5D"/>
        </w:rPr>
        <w:t>{</w:t>
      </w:r>
      <w:r w:rsidR="000C3EFA">
        <w:rPr>
          <w:color w:val="5A5B5D"/>
        </w:rPr>
        <w:t>Table: Scope</w:t>
      </w:r>
      <w:r>
        <w:rPr>
          <w:color w:val="5A5B5D"/>
        </w:rPr>
        <w:t>}</w:t>
      </w:r>
    </w:p>
    <w:p w14:paraId="00292EFC" w14:textId="1E8A08DD" w:rsidR="00814A4F" w:rsidRDefault="00814A4F" w:rsidP="00814A4F">
      <w:pPr>
        <w:pStyle w:val="Heading1"/>
      </w:pPr>
      <w:bookmarkStart w:id="10" w:name="_Toc143591626"/>
      <w:r>
        <w:t>Appendix D: External Port Mapping</w:t>
      </w:r>
      <w:bookmarkEnd w:id="10"/>
    </w:p>
    <w:p w14:paraId="46FC2741" w14:textId="77777777" w:rsidR="00814A4F" w:rsidRDefault="00814A4F" w:rsidP="00814A4F">
      <w:pPr>
        <w:spacing w:after="120"/>
        <w:rPr>
          <w:color w:val="5A5B5D"/>
        </w:rPr>
      </w:pPr>
      <w:r>
        <w:rPr>
          <w:color w:val="5A5B5D"/>
        </w:rPr>
        <w:t>During external testing, the CISA team identified the following open ports/services on {Stakeholder Name}’s public-facing systems. It is recommended to review the data below, determine if any unnecessary ports/services are publicly accessible, and minimize the external attack surface where possible.</w:t>
      </w:r>
    </w:p>
    <w:p w14:paraId="527ABACF" w14:textId="77777777" w:rsidR="00814A4F" w:rsidRPr="00432925" w:rsidRDefault="00814A4F" w:rsidP="00814A4F">
      <w:pPr>
        <w:spacing w:after="120"/>
        <w:rPr>
          <w:color w:val="5A5B5D"/>
        </w:rPr>
      </w:pPr>
      <w:r>
        <w:rPr>
          <w:color w:val="5A5B5D"/>
        </w:rPr>
        <w:t>{Table: Port Mapping}</w:t>
      </w:r>
    </w:p>
    <w:p w14:paraId="1F7FAD54" w14:textId="023A8CCE" w:rsidR="00814A4F" w:rsidRPr="00814A4F" w:rsidRDefault="00814A4F" w:rsidP="00814A4F">
      <w:pPr>
        <w:pStyle w:val="Caption"/>
      </w:pPr>
      <w:bookmarkStart w:id="11" w:name="_Toc143591630"/>
      <w:r>
        <w:t xml:space="preserve">Table </w:t>
      </w:r>
      <w:fldSimple w:instr=" SEQ Table \* ARABIC ">
        <w:r w:rsidR="00581A5C">
          <w:rPr>
            <w:noProof/>
          </w:rPr>
          <w:t>3</w:t>
        </w:r>
      </w:fldSimple>
      <w:r>
        <w:t>: Open Ports and Services on External Systems</w:t>
      </w:r>
      <w:bookmarkEnd w:id="11"/>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12" w:name="_Toc143591627"/>
      <w:r>
        <w:lastRenderedPageBreak/>
        <w:t xml:space="preserve">Appendix </w:t>
      </w:r>
      <w:r w:rsidR="00DA5E5C">
        <w:t>E</w:t>
      </w:r>
      <w:r>
        <w:t>: Abbreviations and Acronyms</w:t>
      </w:r>
      <w:bookmarkEnd w:id="12"/>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2F3BD" w14:textId="77777777" w:rsidR="006716FA" w:rsidRDefault="006716FA" w:rsidP="003E24BB">
      <w:pPr>
        <w:spacing w:before="0"/>
      </w:pPr>
      <w:r>
        <w:separator/>
      </w:r>
    </w:p>
  </w:endnote>
  <w:endnote w:type="continuationSeparator" w:id="0">
    <w:p w14:paraId="4F9BBFFC" w14:textId="77777777" w:rsidR="006716FA" w:rsidRDefault="006716FA"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7C67087D"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Vulnerability Evaluation</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38434563"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r w:rsidRPr="00050462">
      <w:t>|  Vulnerability Evaluation</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EA4D" w14:textId="77777777" w:rsidR="006716FA" w:rsidRDefault="006716FA" w:rsidP="003E24BB">
      <w:pPr>
        <w:spacing w:before="0"/>
      </w:pPr>
      <w:r>
        <w:separator/>
      </w:r>
    </w:p>
  </w:footnote>
  <w:footnote w:type="continuationSeparator" w:id="0">
    <w:p w14:paraId="0A2F6FFE" w14:textId="77777777" w:rsidR="006716FA" w:rsidRDefault="006716FA"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451D8"/>
    <w:rsid w:val="000500AE"/>
    <w:rsid w:val="00050462"/>
    <w:rsid w:val="00050EC7"/>
    <w:rsid w:val="00055D25"/>
    <w:rsid w:val="00060B7B"/>
    <w:rsid w:val="00071D7A"/>
    <w:rsid w:val="00090400"/>
    <w:rsid w:val="00096814"/>
    <w:rsid w:val="000A30DF"/>
    <w:rsid w:val="000B1E0A"/>
    <w:rsid w:val="000C3EFA"/>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3F47"/>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E7456"/>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60189"/>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5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16FA"/>
    <w:rsid w:val="00676199"/>
    <w:rsid w:val="00680B96"/>
    <w:rsid w:val="006814EE"/>
    <w:rsid w:val="006829C3"/>
    <w:rsid w:val="006850F5"/>
    <w:rsid w:val="006951B0"/>
    <w:rsid w:val="00695C91"/>
    <w:rsid w:val="006962DE"/>
    <w:rsid w:val="00696DE1"/>
    <w:rsid w:val="006A127F"/>
    <w:rsid w:val="006A2D91"/>
    <w:rsid w:val="006A564A"/>
    <w:rsid w:val="006C0845"/>
    <w:rsid w:val="006C112F"/>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A1808"/>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14A4F"/>
    <w:rsid w:val="0083432D"/>
    <w:rsid w:val="00861221"/>
    <w:rsid w:val="0086591A"/>
    <w:rsid w:val="00867F9F"/>
    <w:rsid w:val="008763F6"/>
    <w:rsid w:val="00883FC4"/>
    <w:rsid w:val="00884538"/>
    <w:rsid w:val="008845BF"/>
    <w:rsid w:val="00884ACF"/>
    <w:rsid w:val="0088618F"/>
    <w:rsid w:val="008914AB"/>
    <w:rsid w:val="00893779"/>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5666"/>
    <w:rsid w:val="009C583A"/>
    <w:rsid w:val="009C729D"/>
    <w:rsid w:val="009D151F"/>
    <w:rsid w:val="009E0A5B"/>
    <w:rsid w:val="009E3D92"/>
    <w:rsid w:val="009E4849"/>
    <w:rsid w:val="009E5008"/>
    <w:rsid w:val="009F0C2F"/>
    <w:rsid w:val="009F3748"/>
    <w:rsid w:val="009F7478"/>
    <w:rsid w:val="00A03977"/>
    <w:rsid w:val="00A0465B"/>
    <w:rsid w:val="00A24EDA"/>
    <w:rsid w:val="00A2779A"/>
    <w:rsid w:val="00A3160F"/>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B6232"/>
    <w:rsid w:val="00AC16F1"/>
    <w:rsid w:val="00AC33F6"/>
    <w:rsid w:val="00AC47D5"/>
    <w:rsid w:val="00AC5955"/>
    <w:rsid w:val="00AC5CD8"/>
    <w:rsid w:val="00AD1E19"/>
    <w:rsid w:val="00AD45FB"/>
    <w:rsid w:val="00AE1283"/>
    <w:rsid w:val="00AE70C6"/>
    <w:rsid w:val="00AF3822"/>
    <w:rsid w:val="00AF4FA0"/>
    <w:rsid w:val="00AF5C1B"/>
    <w:rsid w:val="00B03FFA"/>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722C6"/>
    <w:rsid w:val="00B8577F"/>
    <w:rsid w:val="00B8602A"/>
    <w:rsid w:val="00B87410"/>
    <w:rsid w:val="00B912ED"/>
    <w:rsid w:val="00BA0BAA"/>
    <w:rsid w:val="00BA3024"/>
    <w:rsid w:val="00BB18BD"/>
    <w:rsid w:val="00BC6F4F"/>
    <w:rsid w:val="00BC7293"/>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6</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151</cp:revision>
  <dcterms:created xsi:type="dcterms:W3CDTF">2023-03-28T15:23:00Z</dcterms:created>
  <dcterms:modified xsi:type="dcterms:W3CDTF">2023-08-22T15:50:00Z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