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Calibri" w:hAnsi="Calibri"/>
          <w:noProof/>
          <w:lang w:eastAsia="fr-FR"/>
        </w:rPr>
        <w:drawing>
          <wp:anchor distT="0" distB="0" distL="114300" distR="114300" simplePos="0" relativeHeight="252061696" behindDoc="1" locked="0" layoutInCell="1" allowOverlap="1">
            <wp:simplePos x="0" y="0"/>
            <wp:positionH relativeFrom="margin">
              <wp:align>center</wp:align>
            </wp:positionH>
            <wp:positionV relativeFrom="paragraph">
              <wp:posOffset>-464229</wp:posOffset>
            </wp:positionV>
            <wp:extent cx="6753225" cy="1607176"/>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753225" cy="1607176"/>
                    </a:xfrm>
                    <a:prstGeom prst="rect">
                      <a:avLst/>
                    </a:prstGeom>
                    <a:noFill/>
                    <a:ln>
                      <a:noFill/>
                    </a:ln>
                  </pic:spPr>
                </pic:pic>
              </a:graphicData>
            </a:graphic>
            <wp14:sizeRelH relativeFrom="page">
              <wp14:pctWidth>0</wp14:pctWidth>
            </wp14:sizeRelH>
            <wp14:sizeRelV relativeFrom="page">
              <wp14:pctHeight>0</wp14:pctHeight>
            </wp14:sizeRelV>
          </wp:anchor>
        </w:drawing>
      </w:r>
    </w:p>
    <w:p/>
    <w:p/>
    <w:p/>
    <w:p>
      <w:r>
        <w:rPr>
          <w:noProof/>
        </w:rPr>
        <mc:AlternateContent>
          <mc:Choice Requires="wps">
            <w:drawing>
              <wp:anchor distT="0" distB="0" distL="114300" distR="114300" simplePos="0" relativeHeight="251954176" behindDoc="0" locked="0" layoutInCell="1" allowOverlap="1">
                <wp:simplePos x="0" y="0"/>
                <wp:positionH relativeFrom="page">
                  <wp:posOffset>4824248</wp:posOffset>
                </wp:positionH>
                <wp:positionV relativeFrom="paragraph">
                  <wp:posOffset>8061456</wp:posOffset>
                </wp:positionV>
                <wp:extent cx="1371874" cy="482009"/>
                <wp:effectExtent l="0" t="0" r="0" b="0"/>
                <wp:wrapNone/>
                <wp:docPr id="195" name="Zone de texte 195"/>
                <wp:cNvGraphicFramePr/>
                <a:graphic xmlns:a="http://schemas.openxmlformats.org/drawingml/2006/main">
                  <a:graphicData uri="http://schemas.microsoft.com/office/word/2010/wordprocessingShape">
                    <wps:wsp>
                      <wps:cNvSpPr txBox="1"/>
                      <wps:spPr>
                        <a:xfrm>
                          <a:off x="0" y="0"/>
                          <a:ext cx="1371874" cy="482009"/>
                        </a:xfrm>
                        <a:prstGeom prst="rect">
                          <a:avLst/>
                        </a:prstGeom>
                        <a:noFill/>
                        <a:ln w="6350">
                          <a:noFill/>
                        </a:ln>
                      </wps:spPr>
                      <wps:txbx>
                        <w:txbxContent>
                          <w:p>
                            <w:pPr>
                              <w:jc w:val="center"/>
                              <w:rPr>
                                <w:rFonts w:ascii="Marianne ExtraBold" w:hAnsi="Marianne ExtraBold"/>
                                <w:color w:val="FFFFFF" w:themeColor="background1"/>
                                <w:sz w:val="28"/>
                                <w:szCs w:val="32"/>
                              </w:rPr>
                            </w:pPr>
                            <w:r>
                              <w:rPr>
                                <w:rFonts w:ascii="Marianne ExtraBold" w:hAnsi="Marianne ExtraBold"/>
                                <w:color w:val="FFFFFF" w:themeColor="background1"/>
                                <w:sz w:val="28"/>
                                <w:szCs w:val="32"/>
                              </w:rPr>
                              <w:t>AOÛT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95" o:spid="_x0000_s1026" type="#_x0000_t202" style="position:absolute;margin-left:379.85pt;margin-top:634.75pt;width:108pt;height:37.95pt;z-index:25195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" filled="f" stroked="f" strokeweight=".5pt">
                <v:textbox>
                  <w:txbxContent>
                    <w:p>
                      <w:pPr>
                        <w:jc w:val="center"/>
                        <w:rPr>
                          <w:rFonts w:ascii="Marianne ExtraBold" w:hAnsi="Marianne ExtraBold"/>
                          <w:color w:val="FFFFFF" w:themeColor="background1"/>
                          <w:sz w:val="28"/>
                          <w:szCs w:val="32"/>
                        </w:rPr>
                      </w:pPr>
                      <w:r>
                        <w:rPr>
                          <w:rFonts w:ascii="Marianne ExtraBold" w:hAnsi="Marianne ExtraBold"/>
                          <w:color w:val="FFFFFF" w:themeColor="background1"/>
                          <w:sz w:val="28"/>
                          <w:szCs w:val="32"/>
                        </w:rPr>
                        <w:t>AOÛT 2026</w:t>
                      </w:r>
                    </w:p>
                  </w:txbxContent>
                </v:textbox>
                <w10:wrap anchorx="page"/>
              </v:shape>
            </w:pict>
          </mc:Fallback>
        </mc:AlternateContent>
      </w:r>
      <w:r>
        <w:rPr>
          <w:noProof/>
        </w:rPr>
        <mc:AlternateContent>
          <mc:Choice Requires="wps">
            <w:drawing>
              <wp:anchor distT="0" distB="0" distL="114300" distR="114300" simplePos="0" relativeHeight="251935744" behindDoc="0" locked="0" layoutInCell="1" allowOverlap="1">
                <wp:simplePos x="0" y="0"/>
                <wp:positionH relativeFrom="column">
                  <wp:posOffset>1573013</wp:posOffset>
                </wp:positionH>
                <wp:positionV relativeFrom="paragraph">
                  <wp:posOffset>7982719</wp:posOffset>
                </wp:positionV>
                <wp:extent cx="576000" cy="485704"/>
                <wp:effectExtent l="7303" t="11747" r="21907" b="40958"/>
                <wp:wrapNone/>
                <wp:docPr id="185" name="Hexagon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576000" cy="485704"/>
                        </a:xfrm>
                        <a:prstGeom prst="hexagon">
                          <a:avLst/>
                        </a:prstGeom>
                        <a:solidFill>
                          <a:srgbClr val="5770BE"/>
                        </a:solidFill>
                        <a:ln>
                          <a:solidFill>
                            <a:srgbClr val="5770B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e 185" o:spid="_x0000_s1027" type="#_x0000_t9" style="position:absolute;margin-left:123.85pt;margin-top:628.55pt;width:45.35pt;height:38.25pt;rotation:-90;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" adj="4553" fillcolor="#5770be" strokecolor="#5770be" strokeweight="1pt">
                <v:path arrowok="t"/>
                <o:lock v:ext="edit" aspectratio="t"/>
                <v:textbox>
                  <w:txbxContent>
                    <w:p>
                      <w:pPr>
                        <w:jc w:val="center"/>
                      </w:pPr>
                    </w:p>
                  </w:txbxContent>
                </v:textbox>
              </v:shape>
            </w:pict>
          </mc:Fallback>
        </mc:AlternateContent>
      </w:r>
      <w:r>
        <w:rPr>
          <w:noProof/>
        </w:rPr>
        <mc:AlternateContent>
          <mc:Choice Requires="wps">
            <w:drawing>
              <wp:anchor distT="0" distB="0" distL="114300" distR="114300" simplePos="0" relativeHeight="252015616" behindDoc="0" locked="0" layoutInCell="1" allowOverlap="1">
                <wp:simplePos x="0" y="0"/>
                <wp:positionH relativeFrom="leftMargin">
                  <wp:posOffset>264795</wp:posOffset>
                </wp:positionH>
                <wp:positionV relativeFrom="paragraph">
                  <wp:posOffset>8493275</wp:posOffset>
                </wp:positionV>
                <wp:extent cx="218757" cy="184381"/>
                <wp:effectExtent l="0" t="20955" r="27305" b="46355"/>
                <wp:wrapNone/>
                <wp:docPr id="3" name="Hexago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218757" cy="184381"/>
                        </a:xfrm>
                        <a:prstGeom prst="hexagon">
                          <a:avLst/>
                        </a:prstGeom>
                        <a:solidFill>
                          <a:srgbClr val="FFC29E"/>
                        </a:solidFill>
                        <a:ln w="12700" cap="flat" cmpd="sng" algn="ctr">
                          <a:solidFill>
                            <a:srgbClr val="FFC29E"/>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3" o:spid="_x0000_s1028" type="#_x0000_t9" style="position:absolute;margin-left:20.85pt;margin-top:668.75pt;width:17.2pt;height:14.5pt;rotation:-90;z-index:2520156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" adj="4551" fillcolor="#ffc29e" strokecolor="#ffc29e" strokeweight="1pt">
                <v:path arrowok="t"/>
                <o:lock v:ext="edit" aspectratio="t"/>
                <v:textbox>
                  <w:txbxContent>
                    <w:p>
                      <w:pPr>
                        <w:jc w:val="center"/>
                      </w:pPr>
                    </w:p>
                  </w:txbxContent>
                </v:textbox>
                <w10:wrap anchorx="margin"/>
              </v:shape>
            </w:pict>
          </mc:Fallback>
        </mc:AlternateContent>
      </w:r>
      <w:r>
        <w:rPr>
          <w:noProof/>
        </w:rPr>
        <mc:AlternateContent>
          <mc:Choice Requires="wps">
            <w:drawing>
              <wp:anchor distT="0" distB="0" distL="114300" distR="114300" simplePos="0" relativeHeight="251941888" behindDoc="0" locked="0" layoutInCell="1" allowOverlap="1">
                <wp:simplePos x="0" y="0"/>
                <wp:positionH relativeFrom="margin">
                  <wp:posOffset>401639</wp:posOffset>
                </wp:positionH>
                <wp:positionV relativeFrom="paragraph">
                  <wp:posOffset>7750609</wp:posOffset>
                </wp:positionV>
                <wp:extent cx="400561" cy="337408"/>
                <wp:effectExtent l="0" t="25718" r="12383" b="31432"/>
                <wp:wrapNone/>
                <wp:docPr id="188" name="Hexagon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400561" cy="337408"/>
                        </a:xfrm>
                        <a:prstGeom prst="hexagon">
                          <a:avLst/>
                        </a:prstGeom>
                        <a:solidFill>
                          <a:srgbClr val="FFC29E"/>
                        </a:solidFill>
                        <a:ln>
                          <a:solidFill>
                            <a:srgbClr val="FFC29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88" o:spid="_x0000_s1029" type="#_x0000_t9" style="position:absolute;margin-left:31.65pt;margin-top:610.3pt;width:31.55pt;height:26.55pt;rotation:-90;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" adj="4549" fillcolor="#ffc29e" strokecolor="#ffc29e" strokeweight="1pt">
                <v:path arrowok="t"/>
                <o:lock v:ext="edit" aspectratio="t"/>
                <v:textbox>
                  <w:txbxContent>
                    <w:p>
                      <w:pPr>
                        <w:jc w:val="center"/>
                      </w:pPr>
                    </w:p>
                  </w:txbxContent>
                </v:textbox>
                <w10:wrap anchorx="margin"/>
              </v:shape>
            </w:pict>
          </mc:Fallback>
        </mc:AlternateContent>
      </w:r>
      <w:r>
        <w:rPr>
          <w:noProof/>
        </w:rPr>
        <mc:AlternateContent>
          <mc:Choice Requires="wps">
            <w:drawing>
              <wp:anchor distT="0" distB="0" distL="114300" distR="114300" simplePos="0" relativeHeight="252017664" behindDoc="0" locked="0" layoutInCell="1" allowOverlap="1">
                <wp:simplePos x="0" y="0"/>
                <wp:positionH relativeFrom="margin">
                  <wp:posOffset>184266</wp:posOffset>
                </wp:positionH>
                <wp:positionV relativeFrom="paragraph">
                  <wp:posOffset>8332637</wp:posOffset>
                </wp:positionV>
                <wp:extent cx="263525" cy="221977"/>
                <wp:effectExtent l="1905" t="17145" r="24130" b="43180"/>
                <wp:wrapNone/>
                <wp:docPr id="4" name="Hexagon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263525" cy="221977"/>
                        </a:xfrm>
                        <a:prstGeom prst="hexagon">
                          <a:avLst/>
                        </a:prstGeom>
                        <a:solidFill>
                          <a:srgbClr val="5770BE"/>
                        </a:solidFill>
                        <a:ln w="12700" cap="flat" cmpd="sng" algn="ctr">
                          <a:solidFill>
                            <a:srgbClr val="5770BE"/>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4" o:spid="_x0000_s1030" type="#_x0000_t9" style="position:absolute;margin-left:14.5pt;margin-top:656.1pt;width:20.75pt;height:17.5pt;rotation:-90;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" adj="4549" fillcolor="#5770be" strokecolor="#5770be" strokeweight="1pt">
                <v:path arrowok="t"/>
                <o:lock v:ext="edit" aspectratio="t"/>
                <v:textbox>
                  <w:txbxContent>
                    <w:p>
                      <w:pPr>
                        <w:jc w:val="center"/>
                      </w:pPr>
                    </w:p>
                  </w:txbxContent>
                </v:textbox>
                <w10:wrap anchorx="margin"/>
              </v:shape>
            </w:pict>
          </mc:Fallback>
        </mc:AlternateContent>
      </w:r>
      <w:r>
        <w:rPr>
          <w:noProof/>
        </w:rPr>
        <mc:AlternateContent>
          <mc:Choice Requires="wps">
            <w:drawing>
              <wp:anchor distT="0" distB="0" distL="114300" distR="114300" simplePos="0" relativeHeight="251933696" behindDoc="0" locked="0" layoutInCell="1" allowOverlap="1">
                <wp:simplePos x="0" y="0"/>
                <wp:positionH relativeFrom="column">
                  <wp:posOffset>1023605</wp:posOffset>
                </wp:positionH>
                <wp:positionV relativeFrom="paragraph">
                  <wp:posOffset>7689431</wp:posOffset>
                </wp:positionV>
                <wp:extent cx="452122" cy="380366"/>
                <wp:effectExtent l="0" t="21273" r="21908" b="40957"/>
                <wp:wrapNone/>
                <wp:docPr id="184" name="Hexagon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452122" cy="380366"/>
                        </a:xfrm>
                        <a:prstGeom prst="hexagon">
                          <a:avLst/>
                        </a:prstGeom>
                        <a:solidFill>
                          <a:srgbClr val="91AE4F"/>
                        </a:solidFill>
                        <a:ln>
                          <a:solidFill>
                            <a:srgbClr val="91AE4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84" o:spid="_x0000_s1031" type="#_x0000_t9" style="position:absolute;margin-left:80.6pt;margin-top:605.45pt;width:35.6pt;height:29.95pt;rotation:-9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" adj="4543" fillcolor="#91ae4f" strokecolor="#91ae4f" strokeweight="1pt">
                <v:path arrowok="t"/>
                <o:lock v:ext="edit" aspectratio="t"/>
                <v:textbox>
                  <w:txbxContent>
                    <w:p>
                      <w:pPr>
                        <w:jc w:val="center"/>
                      </w:pPr>
                    </w:p>
                  </w:txbxContent>
                </v:textbox>
              </v:shape>
            </w:pict>
          </mc:Fallback>
        </mc:AlternateContent>
      </w:r>
      <w:r>
        <w:rPr>
          <w:noProof/>
        </w:rPr>
        <mc:AlternateContent>
          <mc:Choice Requires="wps">
            <w:drawing>
              <wp:anchor distT="0" distB="0" distL="114300" distR="114300" simplePos="0" relativeHeight="251948032" behindDoc="0" locked="0" layoutInCell="1" allowOverlap="1">
                <wp:simplePos x="0" y="0"/>
                <wp:positionH relativeFrom="column">
                  <wp:posOffset>1521611</wp:posOffset>
                </wp:positionH>
                <wp:positionV relativeFrom="paragraph">
                  <wp:posOffset>6954637</wp:posOffset>
                </wp:positionV>
                <wp:extent cx="575945" cy="485140"/>
                <wp:effectExtent l="7303" t="11747" r="21907" b="40958"/>
                <wp:wrapNone/>
                <wp:docPr id="191" name="Hexagon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575945" cy="485140"/>
                        </a:xfrm>
                        <a:prstGeom prst="hexagon">
                          <a:avLst/>
                        </a:prstGeom>
                        <a:solidFill>
                          <a:srgbClr val="FFC29E"/>
                        </a:solidFill>
                        <a:ln>
                          <a:solidFill>
                            <a:srgbClr val="FFC29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91" o:spid="_x0000_s1032" type="#_x0000_t9" style="position:absolute;margin-left:119.8pt;margin-top:547.6pt;width:45.35pt;height:38.2pt;rotation:-90;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" adj="4549" fillcolor="#ffc29e" strokecolor="#ffc29e" strokeweight="1pt">
                <v:path arrowok="t"/>
                <o:lock v:ext="edit" aspectratio="t"/>
                <v:textbox>
                  <w:txbxContent>
                    <w:p>
                      <w:pPr>
                        <w:jc w:val="center"/>
                        <w:rPr>
                          <w:color w:val="FF0000"/>
                        </w:rPr>
                      </w:pPr>
                    </w:p>
                  </w:txbxContent>
                </v:textbox>
              </v:shape>
            </w:pict>
          </mc:Fallback>
        </mc:AlternateContent>
      </w:r>
      <w:r>
        <w:rPr>
          <w:noProof/>
        </w:rPr>
        <mc:AlternateContent>
          <mc:Choice Requires="wps">
            <w:drawing>
              <wp:anchor distT="0" distB="0" distL="114300" distR="114300" simplePos="0" relativeHeight="251950080" behindDoc="0" locked="0" layoutInCell="1" allowOverlap="1">
                <wp:simplePos x="0" y="0"/>
                <wp:positionH relativeFrom="margin">
                  <wp:posOffset>2526600</wp:posOffset>
                </wp:positionH>
                <wp:positionV relativeFrom="paragraph">
                  <wp:posOffset>6082681</wp:posOffset>
                </wp:positionV>
                <wp:extent cx="752474" cy="611505"/>
                <wp:effectExtent l="0" t="25083" r="23178" b="42227"/>
                <wp:wrapNone/>
                <wp:docPr id="192" name="Hexagon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752474" cy="611505"/>
                        </a:xfrm>
                        <a:prstGeom prst="hexagon">
                          <a:avLst/>
                        </a:prstGeom>
                        <a:solidFill>
                          <a:srgbClr val="5770BE"/>
                        </a:solidFill>
                        <a:ln>
                          <a:solidFill>
                            <a:srgbClr val="5770B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92" o:spid="_x0000_s1033" type="#_x0000_t9" style="position:absolute;margin-left:198.95pt;margin-top:478.95pt;width:59.25pt;height:48.15pt;rotation:-90;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" adj="4388" fillcolor="#5770be" strokecolor="#5770be" strokeweight="1pt">
                <v:path arrowok="t"/>
                <o:lock v:ext="edit" aspectratio="t"/>
                <v:textbox>
                  <w:txbxContent>
                    <w:p>
                      <w:pPr>
                        <w:jc w:val="center"/>
                      </w:pPr>
                    </w:p>
                  </w:txbxContent>
                </v:textbox>
                <w10:wrap anchorx="margin"/>
              </v:shape>
            </w:pict>
          </mc:Fallback>
        </mc:AlternateContent>
      </w:r>
      <w:r>
        <w:rPr>
          <w:noProof/>
        </w:rPr>
        <mc:AlternateContent>
          <mc:Choice Requires="wps">
            <w:drawing>
              <wp:anchor distT="0" distB="0" distL="114300" distR="114300" simplePos="0" relativeHeight="251945984" behindDoc="0" locked="0" layoutInCell="1" allowOverlap="1">
                <wp:simplePos x="0" y="0"/>
                <wp:positionH relativeFrom="column">
                  <wp:posOffset>2289861</wp:posOffset>
                </wp:positionH>
                <wp:positionV relativeFrom="paragraph">
                  <wp:posOffset>7275127</wp:posOffset>
                </wp:positionV>
                <wp:extent cx="725776" cy="612000"/>
                <wp:effectExtent l="0" t="19368" r="17463" b="36512"/>
                <wp:wrapNone/>
                <wp:docPr id="190" name="Hexagon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725776" cy="612000"/>
                        </a:xfrm>
                        <a:prstGeom prst="hexagon">
                          <a:avLst/>
                        </a:prstGeom>
                        <a:solidFill>
                          <a:srgbClr val="91AE4F"/>
                        </a:solidFill>
                        <a:ln>
                          <a:solidFill>
                            <a:srgbClr val="91AE4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90" o:spid="_x0000_s1034" type="#_x0000_t9" style="position:absolute;margin-left:180.3pt;margin-top:572.85pt;width:57.15pt;height:48.2pt;rotation:-90;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" adj="4553" fillcolor="#91ae4f" strokecolor="#91ae4f" strokeweight="1pt">
                <v:path arrowok="t"/>
                <o:lock v:ext="edit" aspectratio="t"/>
                <v:textbox>
                  <w:txbxContent>
                    <w:p>
                      <w:pPr>
                        <w:jc w:val="center"/>
                      </w:pPr>
                    </w:p>
                  </w:txbxContent>
                </v:textbox>
              </v:shape>
            </w:pict>
          </mc:Fallback>
        </mc:AlternateContent>
      </w:r>
      <w:r>
        <w:rPr>
          <w:noProof/>
        </w:rPr>
        <mc:AlternateContent>
          <mc:Choice Requires="wps">
            <w:drawing>
              <wp:anchor distT="0" distB="0" distL="114300" distR="114300" simplePos="0" relativeHeight="251939840" behindDoc="0" locked="0" layoutInCell="1" allowOverlap="1">
                <wp:simplePos x="0" y="0"/>
                <wp:positionH relativeFrom="column">
                  <wp:posOffset>3133910</wp:posOffset>
                </wp:positionH>
                <wp:positionV relativeFrom="paragraph">
                  <wp:posOffset>7832908</wp:posOffset>
                </wp:positionV>
                <wp:extent cx="725776" cy="612000"/>
                <wp:effectExtent l="0" t="19368" r="17463" b="36512"/>
                <wp:wrapNone/>
                <wp:docPr id="187" name="Hexagon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725776" cy="612000"/>
                        </a:xfrm>
                        <a:prstGeom prst="hexagon">
                          <a:avLst/>
                        </a:prstGeom>
                        <a:solidFill>
                          <a:srgbClr val="5770BE"/>
                        </a:solidFill>
                        <a:ln>
                          <a:solidFill>
                            <a:srgbClr val="5770B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87" o:spid="_x0000_s1035" type="#_x0000_t9" style="position:absolute;margin-left:246.75pt;margin-top:616.75pt;width:57.15pt;height:48.2pt;rotation:-90;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" adj="4553" fillcolor="#5770be" strokecolor="#5770be" strokeweight="1pt">
                <v:path arrowok="t"/>
                <o:lock v:ext="edit" aspectratio="t"/>
                <v:textbox>
                  <w:txbxContent>
                    <w:p>
                      <w:pPr>
                        <w:jc w:val="center"/>
                      </w:pPr>
                    </w:p>
                  </w:txbxContent>
                </v:textbox>
              </v:shape>
            </w:pict>
          </mc:Fallback>
        </mc:AlternateContent>
      </w:r>
      <w:r>
        <w:rPr>
          <w:noProof/>
        </w:rPr>
        <mc:AlternateContent>
          <mc:Choice Requires="wps">
            <w:drawing>
              <wp:anchor distT="0" distB="0" distL="114300" distR="114300" simplePos="0" relativeHeight="251937792" behindDoc="0" locked="0" layoutInCell="1" allowOverlap="1">
                <wp:simplePos x="0" y="0"/>
                <wp:positionH relativeFrom="column">
                  <wp:posOffset>2203768</wp:posOffset>
                </wp:positionH>
                <wp:positionV relativeFrom="paragraph">
                  <wp:posOffset>8391207</wp:posOffset>
                </wp:positionV>
                <wp:extent cx="725170" cy="611505"/>
                <wp:effectExtent l="0" t="19368" r="17463" b="36512"/>
                <wp:wrapNone/>
                <wp:docPr id="186" name="Hexagon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725170" cy="611505"/>
                        </a:xfrm>
                        <a:prstGeom prst="hexagon">
                          <a:avLst/>
                        </a:prstGeom>
                        <a:solidFill>
                          <a:srgbClr val="FFC29E"/>
                        </a:solidFill>
                        <a:ln>
                          <a:solidFill>
                            <a:srgbClr val="FFC29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86" o:spid="_x0000_s1036" type="#_x0000_t9" style="position:absolute;margin-left:173.55pt;margin-top:660.7pt;width:57.1pt;height:48.15pt;rotation:-90;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" adj="4554" fillcolor="#ffc29e" strokecolor="#ffc29e" strokeweight="1pt">
                <v:path arrowok="t"/>
                <o:lock v:ext="edit" aspectratio="t"/>
                <v:textbox>
                  <w:txbxContent>
                    <w:p>
                      <w:pPr>
                        <w:jc w:val="center"/>
                      </w:pPr>
                    </w:p>
                  </w:txbxContent>
                </v:textbox>
              </v:shape>
            </w:pict>
          </mc:Fallback>
        </mc:AlternateContent>
      </w:r>
      <w:r>
        <w:rPr>
          <w:noProof/>
        </w:rPr>
        <mc:AlternateContent>
          <mc:Choice Requires="wps">
            <w:drawing>
              <wp:anchor distT="0" distB="0" distL="114300" distR="114300" simplePos="0" relativeHeight="251943936" behindDoc="0" locked="0" layoutInCell="1" allowOverlap="1">
                <wp:simplePos x="0" y="0"/>
                <wp:positionH relativeFrom="column">
                  <wp:posOffset>783908</wp:posOffset>
                </wp:positionH>
                <wp:positionV relativeFrom="paragraph">
                  <wp:posOffset>8526462</wp:posOffset>
                </wp:positionV>
                <wp:extent cx="459104" cy="386720"/>
                <wp:effectExtent l="0" t="21273" r="15558" b="34607"/>
                <wp:wrapNone/>
                <wp:docPr id="189" name="Hexagon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459104" cy="386720"/>
                        </a:xfrm>
                        <a:prstGeom prst="hexagon">
                          <a:avLst/>
                        </a:prstGeom>
                        <a:solidFill>
                          <a:srgbClr val="5770BE"/>
                        </a:solidFill>
                        <a:ln>
                          <a:solidFill>
                            <a:srgbClr val="5770BE"/>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89" o:spid="_x0000_s1037" type="#_x0000_t9" style="position:absolute;margin-left:61.75pt;margin-top:671.35pt;width:36.15pt;height:30.45pt;rotation:90;flip: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" adj="4549" fillcolor="#5770be" strokecolor="#5770be" strokeweight="1pt">
                <v:path arrowok="t"/>
                <o:lock v:ext="edit" aspectratio="t"/>
                <v:textbox>
                  <w:txbxContent>
                    <w:p>
                      <w:pPr>
                        <w:jc w:val="center"/>
                      </w:pPr>
                    </w:p>
                  </w:txbxContent>
                </v:textbox>
              </v:shape>
            </w:pict>
          </mc:Fallback>
        </mc:AlternateContent>
      </w:r>
      <w:r>
        <w:rPr>
          <w:noProof/>
        </w:rPr>
        <w:drawing>
          <wp:anchor distT="0" distB="0" distL="114300" distR="114300" simplePos="0" relativeHeight="252033024" behindDoc="0" locked="0" layoutInCell="1" allowOverlap="1">
            <wp:simplePos x="0" y="0"/>
            <wp:positionH relativeFrom="page">
              <wp:posOffset>6489174</wp:posOffset>
            </wp:positionH>
            <wp:positionV relativeFrom="paragraph">
              <wp:posOffset>3752215</wp:posOffset>
            </wp:positionV>
            <wp:extent cx="1075690" cy="1275715"/>
            <wp:effectExtent l="0" t="0" r="0" b="63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7671"/>
                    <a:stretch/>
                  </pic:blipFill>
                  <pic:spPr bwMode="auto">
                    <a:xfrm flipH="1">
                      <a:off x="0" y="0"/>
                      <a:ext cx="1075690" cy="1275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5264" behindDoc="0" locked="0" layoutInCell="1" allowOverlap="1">
                <wp:simplePos x="0" y="0"/>
                <wp:positionH relativeFrom="column">
                  <wp:posOffset>5485129</wp:posOffset>
                </wp:positionH>
                <wp:positionV relativeFrom="paragraph">
                  <wp:posOffset>7622858</wp:posOffset>
                </wp:positionV>
                <wp:extent cx="1514475" cy="1367790"/>
                <wp:effectExtent l="0" t="21907" r="25717" b="44768"/>
                <wp:wrapNone/>
                <wp:docPr id="103" name="Hexagone 103"/>
                <wp:cNvGraphicFramePr/>
                <a:graphic xmlns:a="http://schemas.openxmlformats.org/drawingml/2006/main">
                  <a:graphicData uri="http://schemas.microsoft.com/office/word/2010/wordprocessingShape">
                    <wps:wsp>
                      <wps:cNvSpPr/>
                      <wps:spPr>
                        <a:xfrm rot="16200000">
                          <a:off x="0" y="0"/>
                          <a:ext cx="1514475" cy="1367790"/>
                        </a:xfrm>
                        <a:prstGeom prst="hexagon">
                          <a:avLst/>
                        </a:prstGeom>
                        <a:solidFill>
                          <a:srgbClr val="466964"/>
                        </a:solidFill>
                        <a:ln>
                          <a:solidFill>
                            <a:srgbClr val="4669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exagone 103" o:spid="_x0000_s1026" type="#_x0000_t9" style="position:absolute;margin-left:431.9pt;margin-top:600.25pt;width:119.25pt;height:107.7pt;rotation:-90;z-index:251915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" adj="4877" fillcolor="#466964" strokecolor="#466964" strokeweight="1pt"/>
            </w:pict>
          </mc:Fallback>
        </mc:AlternateContent>
      </w:r>
      <w:r>
        <w:rPr>
          <w:noProof/>
        </w:rPr>
        <w:drawing>
          <wp:anchor distT="0" distB="0" distL="114300" distR="114300" simplePos="0" relativeHeight="251951104" behindDoc="0" locked="0" layoutInCell="1" allowOverlap="1">
            <wp:simplePos x="0" y="0"/>
            <wp:positionH relativeFrom="column">
              <wp:posOffset>5811339</wp:posOffset>
            </wp:positionH>
            <wp:positionV relativeFrom="paragraph">
              <wp:posOffset>7928371</wp:posOffset>
            </wp:positionV>
            <wp:extent cx="831179" cy="512577"/>
            <wp:effectExtent l="0" t="0" r="7620" b="1905"/>
            <wp:wrapNone/>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1778" cy="51294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9360" behindDoc="0" locked="0" layoutInCell="1" allowOverlap="1">
                <wp:simplePos x="0" y="0"/>
                <wp:positionH relativeFrom="column">
                  <wp:posOffset>6205537</wp:posOffset>
                </wp:positionH>
                <wp:positionV relativeFrom="paragraph">
                  <wp:posOffset>6376576</wp:posOffset>
                </wp:positionV>
                <wp:extent cx="1514475" cy="1367790"/>
                <wp:effectExtent l="0" t="21907" r="25717" b="44768"/>
                <wp:wrapNone/>
                <wp:docPr id="125" name="Hexagone 125"/>
                <wp:cNvGraphicFramePr/>
                <a:graphic xmlns:a="http://schemas.openxmlformats.org/drawingml/2006/main">
                  <a:graphicData uri="http://schemas.microsoft.com/office/word/2010/wordprocessingShape">
                    <wps:wsp>
                      <wps:cNvSpPr/>
                      <wps:spPr>
                        <a:xfrm rot="16200000">
                          <a:off x="0" y="0"/>
                          <a:ext cx="1514475" cy="1367790"/>
                        </a:xfrm>
                        <a:prstGeom prst="hexagon">
                          <a:avLst/>
                        </a:prstGeom>
                        <a:solidFill>
                          <a:srgbClr val="466964"/>
                        </a:solidFill>
                        <a:ln>
                          <a:solidFill>
                            <a:srgbClr val="4669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exagone 125" o:spid="_x0000_s1026" type="#_x0000_t9" style="position:absolute;margin-left:488.6pt;margin-top:502.1pt;width:119.25pt;height:107.7pt;rotation:-90;z-index:251919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" adj="4877" fillcolor="#466964" strokecolor="#466964" strokeweight="1pt"/>
            </w:pict>
          </mc:Fallback>
        </mc:AlternateContent>
      </w:r>
      <w:r>
        <w:rPr>
          <w:noProof/>
        </w:rPr>
        <mc:AlternateContent>
          <mc:Choice Requires="wps">
            <w:drawing>
              <wp:anchor distT="0" distB="0" distL="114300" distR="114300" simplePos="0" relativeHeight="251917312" behindDoc="0" locked="0" layoutInCell="1" allowOverlap="1">
                <wp:simplePos x="0" y="0"/>
                <wp:positionH relativeFrom="column">
                  <wp:posOffset>4033837</wp:posOffset>
                </wp:positionH>
                <wp:positionV relativeFrom="paragraph">
                  <wp:posOffset>7625729</wp:posOffset>
                </wp:positionV>
                <wp:extent cx="1514475" cy="1367790"/>
                <wp:effectExtent l="0" t="21907" r="25717" b="44768"/>
                <wp:wrapNone/>
                <wp:docPr id="124" name="Hexagone 124"/>
                <wp:cNvGraphicFramePr/>
                <a:graphic xmlns:a="http://schemas.openxmlformats.org/drawingml/2006/main">
                  <a:graphicData uri="http://schemas.microsoft.com/office/word/2010/wordprocessingShape">
                    <wps:wsp>
                      <wps:cNvSpPr/>
                      <wps:spPr>
                        <a:xfrm rot="16200000">
                          <a:off x="0" y="0"/>
                          <a:ext cx="1514475" cy="1367790"/>
                        </a:xfrm>
                        <a:prstGeom prst="hexagon">
                          <a:avLst/>
                        </a:prstGeom>
                        <a:solidFill>
                          <a:srgbClr val="466964"/>
                        </a:solidFill>
                        <a:ln>
                          <a:solidFill>
                            <a:srgbClr val="4669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exagone 124" o:spid="_x0000_s1026" type="#_x0000_t9" style="position:absolute;margin-left:317.6pt;margin-top:600.45pt;width:119.25pt;height:107.7pt;rotation:-90;z-index:25191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" adj="4877" fillcolor="#466964" strokecolor="#466964" strokeweight="1pt"/>
            </w:pict>
          </mc:Fallback>
        </mc:AlternateContent>
      </w:r>
      <w:r>
        <w:rPr>
          <w:noProof/>
        </w:rPr>
        <mc:AlternateContent>
          <mc:Choice Requires="wps">
            <w:drawing>
              <wp:anchor distT="0" distB="0" distL="114300" distR="114300" simplePos="0" relativeHeight="252035072" behindDoc="0" locked="0" layoutInCell="1" allowOverlap="1">
                <wp:simplePos x="0" y="0"/>
                <wp:positionH relativeFrom="rightMargin">
                  <wp:posOffset>113030</wp:posOffset>
                </wp:positionH>
                <wp:positionV relativeFrom="paragraph">
                  <wp:posOffset>6514465</wp:posOffset>
                </wp:positionV>
                <wp:extent cx="685800" cy="114300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685800" cy="1143000"/>
                        </a:xfrm>
                        <a:prstGeom prst="rect">
                          <a:avLst/>
                        </a:prstGeom>
                        <a:noFill/>
                        <a:ln w="6350">
                          <a:noFill/>
                        </a:ln>
                      </wps:spPr>
                      <wps:txbx>
                        <w:txbxContent>
                          <w:p>
                            <w:pPr>
                              <w:jc w:val="center"/>
                              <w:rPr>
                                <w:color w:val="BFBFBF" w:themeColor="background1" w:themeShade="BF"/>
                                <w:sz w:val="40"/>
                                <w:szCs w:val="40"/>
                              </w:rPr>
                            </w:pPr>
                            <w:r>
                              <w:rPr>
                                <w:color w:val="BFBFBF" w:themeColor="background1" w:themeShade="BF"/>
                                <w:sz w:val="40"/>
                                <w:szCs w:val="40"/>
                              </w:rPr>
                              <w:t>BARRI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2" o:spid="_x0000_s1038" type="#_x0000_t202" style="position:absolute;margin-left:8.9pt;margin-top:512.95pt;width:54pt;height:90pt;z-index:2520350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" filled="f" stroked="f" strokeweight=".5pt">
                <v:textbox style="layout-flow:vertical;mso-layout-flow-alt:bottom-to-top">
                  <w:txbxContent>
                    <w:p>
                      <w:pPr>
                        <w:jc w:val="center"/>
                        <w:rPr>
                          <w:color w:val="BFBFBF" w:themeColor="background1" w:themeShade="BF"/>
                          <w:sz w:val="40"/>
                          <w:szCs w:val="40"/>
                        </w:rPr>
                      </w:pPr>
                      <w:r>
                        <w:rPr>
                          <w:color w:val="BFBFBF" w:themeColor="background1" w:themeShade="BF"/>
                          <w:sz w:val="40"/>
                          <w:szCs w:val="40"/>
                        </w:rPr>
                        <w:t>BARRI</w:t>
                      </w:r>
                    </w:p>
                  </w:txbxContent>
                </v:textbox>
                <w10:wrap anchorx="margin"/>
              </v:shape>
            </w:pict>
          </mc:Fallback>
        </mc:AlternateContent>
      </w:r>
      <w:r>
        <w:rPr>
          <w:noProof/>
        </w:rPr>
        <mc:AlternateContent>
          <mc:Choice Requires="wps">
            <w:drawing>
              <wp:anchor distT="0" distB="0" distL="114300" distR="114300" simplePos="0" relativeHeight="251952128" behindDoc="0" locked="0" layoutInCell="1" allowOverlap="1">
                <wp:simplePos x="0" y="0"/>
                <wp:positionH relativeFrom="column">
                  <wp:posOffset>4880610</wp:posOffset>
                </wp:positionH>
                <wp:positionV relativeFrom="paragraph">
                  <wp:posOffset>6876415</wp:posOffset>
                </wp:positionV>
                <wp:extent cx="1334770" cy="482600"/>
                <wp:effectExtent l="0" t="0" r="0" b="0"/>
                <wp:wrapNone/>
                <wp:docPr id="194" name="Zone de texte 194"/>
                <wp:cNvGraphicFramePr/>
                <a:graphic xmlns:a="http://schemas.openxmlformats.org/drawingml/2006/main">
                  <a:graphicData uri="http://schemas.microsoft.com/office/word/2010/wordprocessingShape">
                    <wps:wsp>
                      <wps:cNvSpPr txBox="1"/>
                      <wps:spPr>
                        <a:xfrm>
                          <a:off x="0" y="0"/>
                          <a:ext cx="1334770" cy="482600"/>
                        </a:xfrm>
                        <a:prstGeom prst="rect">
                          <a:avLst/>
                        </a:prstGeom>
                        <a:noFill/>
                        <a:ln w="6350">
                          <a:noFill/>
                        </a:ln>
                      </wps:spPr>
                      <wps:txbx>
                        <w:txbxContent>
                          <w:p>
                            <w:pPr>
                              <w:jc w:val="center"/>
                              <w:rPr>
                                <w:rFonts w:ascii="Marianne ExtraBold" w:hAnsi="Marianne ExtraBold"/>
                                <w:color w:val="FFFFFF" w:themeColor="background1"/>
                                <w:sz w:val="40"/>
                                <w:szCs w:val="44"/>
                                <w:u w:val="single"/>
                              </w:rPr>
                            </w:pPr>
                            <w:r>
                              <w:rPr>
                                <w:rFonts w:ascii="Marianne ExtraBold" w:hAnsi="Marianne ExtraBold"/>
                                <w:color w:val="FFFFFF" w:themeColor="background1"/>
                                <w:sz w:val="40"/>
                                <w:szCs w:val="44"/>
                                <w:u w:val="single"/>
                              </w:rPr>
                              <w:t>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94" o:spid="_x0000_s1039" type="#_x0000_t202" style="position:absolute;margin-left:384.3pt;margin-top:541.45pt;width:105.1pt;height:38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" filled="f" stroked="f" strokeweight=".5pt">
                <v:textbox>
                  <w:txbxContent>
                    <w:p>
                      <w:pPr>
                        <w:jc w:val="center"/>
                        <w:rPr>
                          <w:rFonts w:ascii="Marianne ExtraBold" w:hAnsi="Marianne ExtraBold"/>
                          <w:color w:val="FFFFFF" w:themeColor="background1"/>
                          <w:sz w:val="40"/>
                          <w:szCs w:val="44"/>
                          <w:u w:val="single"/>
                        </w:rPr>
                      </w:pPr>
                      <w:r>
                        <w:rPr>
                          <w:rFonts w:ascii="Marianne ExtraBold" w:hAnsi="Marianne ExtraBold"/>
                          <w:color w:val="FFFFFF" w:themeColor="background1"/>
                          <w:sz w:val="40"/>
                          <w:szCs w:val="44"/>
                          <w:u w:val="single"/>
                        </w:rPr>
                        <w:t>GUIDE</w:t>
                      </w:r>
                    </w:p>
                  </w:txbxContent>
                </v:textbox>
              </v:shape>
            </w:pict>
          </mc:Fallback>
        </mc:AlternateContent>
      </w:r>
      <w:r>
        <w:rPr>
          <w:noProof/>
        </w:rPr>
        <mc:AlternateContent>
          <mc:Choice Requires="wps">
            <w:drawing>
              <wp:anchor distT="0" distB="0" distL="114300" distR="114300" simplePos="0" relativeHeight="251923456" behindDoc="0" locked="0" layoutInCell="1" allowOverlap="1">
                <wp:simplePos x="0" y="0"/>
                <wp:positionH relativeFrom="column">
                  <wp:posOffset>4081462</wp:posOffset>
                </wp:positionH>
                <wp:positionV relativeFrom="paragraph">
                  <wp:posOffset>5134929</wp:posOffset>
                </wp:positionV>
                <wp:extent cx="1238096" cy="1044000"/>
                <wp:effectExtent l="1588" t="17462" r="21272" b="40323"/>
                <wp:wrapNone/>
                <wp:docPr id="170" name="Hexagon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238096" cy="1044000"/>
                        </a:xfrm>
                        <a:prstGeom prst="hexagon">
                          <a:avLst/>
                        </a:prstGeom>
                        <a:solidFill>
                          <a:srgbClr val="466964"/>
                        </a:solidFill>
                        <a:ln>
                          <a:solidFill>
                            <a:srgbClr val="4669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70" o:spid="_x0000_s1026" type="#_x0000_t9" style="position:absolute;margin-left:321.35pt;margin-top:404.35pt;width:97.5pt;height:82.2pt;rotation:-9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" adj="4553" fillcolor="#466964" strokecolor="#466964" strokeweight="1pt">
                <v:path arrowok="t"/>
                <o:lock v:ext="edit" aspectratio="t"/>
              </v:shape>
            </w:pict>
          </mc:Fallback>
        </mc:AlternateContent>
      </w:r>
      <w:r>
        <w:rPr>
          <w:noProof/>
        </w:rPr>
        <mc:AlternateContent>
          <mc:Choice Requires="wps">
            <w:drawing>
              <wp:anchor distT="0" distB="0" distL="114300" distR="114300" simplePos="0" relativeHeight="251925504" behindDoc="0" locked="0" layoutInCell="1" allowOverlap="1">
                <wp:simplePos x="0" y="0"/>
                <wp:positionH relativeFrom="column">
                  <wp:posOffset>3294063</wp:posOffset>
                </wp:positionH>
                <wp:positionV relativeFrom="paragraph">
                  <wp:posOffset>6482398</wp:posOffset>
                </wp:positionV>
                <wp:extent cx="1238096" cy="1044000"/>
                <wp:effectExtent l="1588" t="17462" r="21272" b="40323"/>
                <wp:wrapNone/>
                <wp:docPr id="180" name="Hexagon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238096" cy="1044000"/>
                        </a:xfrm>
                        <a:prstGeom prst="hexagon">
                          <a:avLst/>
                        </a:prstGeom>
                        <a:solidFill>
                          <a:srgbClr val="466964"/>
                        </a:solidFill>
                        <a:ln>
                          <a:solidFill>
                            <a:srgbClr val="4669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180" o:spid="_x0000_s1026" type="#_x0000_t9" style="position:absolute;margin-left:259.4pt;margin-top:510.45pt;width:97.5pt;height:82.2pt;rotation:-9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" adj="4553" fillcolor="#466964" strokecolor="#466964" strokeweight="1pt">
                <v:path arrowok="t"/>
                <o:lock v:ext="edit" aspectratio="t"/>
              </v:shape>
            </w:pict>
          </mc:Fallback>
        </mc:AlternateContent>
      </w:r>
      <w:r>
        <w:rPr>
          <w:noProof/>
        </w:rPr>
        <mc:AlternateContent>
          <mc:Choice Requires="wps">
            <w:drawing>
              <wp:anchor distT="0" distB="0" distL="114300" distR="114300" simplePos="0" relativeHeight="251655164" behindDoc="0" locked="0" layoutInCell="1" allowOverlap="1">
                <wp:simplePos x="0" y="0"/>
                <wp:positionH relativeFrom="column">
                  <wp:posOffset>5630228</wp:posOffset>
                </wp:positionH>
                <wp:positionV relativeFrom="paragraph">
                  <wp:posOffset>5096694</wp:posOffset>
                </wp:positionV>
                <wp:extent cx="1238096" cy="1044000"/>
                <wp:effectExtent l="1588" t="17462" r="21272" b="40323"/>
                <wp:wrapNone/>
                <wp:docPr id="2" name="Hexago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238096" cy="1044000"/>
                        </a:xfrm>
                        <a:prstGeom prst="hexagon">
                          <a:avLst/>
                        </a:prstGeom>
                        <a:solidFill>
                          <a:srgbClr val="466964"/>
                        </a:solidFill>
                        <a:ln w="12700" cap="flat" cmpd="sng" algn="ctr">
                          <a:solidFill>
                            <a:srgbClr val="46696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xagone 2" o:spid="_x0000_s1026" type="#_x0000_t9" style="position:absolute;margin-left:443.35pt;margin-top:401.3pt;width:97.5pt;height:82.2pt;rotation:-90;z-index:2516551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" adj="4553" fillcolor="#466964" strokecolor="#466964" strokeweight="1pt">
                <v:path arrowok="t"/>
                <o:lock v:ext="edit" aspectratio="t"/>
              </v:shape>
            </w:pict>
          </mc:Fallback>
        </mc:AlternateContent>
      </w:r>
      <w:r>
        <w:rPr>
          <w:noProof/>
        </w:rPr>
        <mc:AlternateContent>
          <mc:Choice Requires="wps">
            <w:drawing>
              <wp:anchor distT="0" distB="0" distL="114300" distR="114300" simplePos="0" relativeHeight="251921408" behindDoc="0" locked="0" layoutInCell="1" allowOverlap="1">
                <wp:simplePos x="0" y="0"/>
                <wp:positionH relativeFrom="column">
                  <wp:posOffset>4756785</wp:posOffset>
                </wp:positionH>
                <wp:positionV relativeFrom="paragraph">
                  <wp:posOffset>6376670</wp:posOffset>
                </wp:positionV>
                <wp:extent cx="1514475" cy="1367790"/>
                <wp:effectExtent l="0" t="21907" r="25717" b="44768"/>
                <wp:wrapNone/>
                <wp:docPr id="126" name="Hexagone 126"/>
                <wp:cNvGraphicFramePr/>
                <a:graphic xmlns:a="http://schemas.openxmlformats.org/drawingml/2006/main">
                  <a:graphicData uri="http://schemas.microsoft.com/office/word/2010/wordprocessingShape">
                    <wps:wsp>
                      <wps:cNvSpPr/>
                      <wps:spPr>
                        <a:xfrm rot="16200000">
                          <a:off x="0" y="0"/>
                          <a:ext cx="1514475" cy="1367790"/>
                        </a:xfrm>
                        <a:prstGeom prst="hexagon">
                          <a:avLst/>
                        </a:prstGeom>
                        <a:solidFill>
                          <a:srgbClr val="91AE4F"/>
                        </a:solidFill>
                        <a:ln>
                          <a:solidFill>
                            <a:srgbClr val="91AE4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exagone 126" o:spid="_x0000_s1026" type="#_x0000_t9" style="position:absolute;margin-left:374.55pt;margin-top:502.1pt;width:119.25pt;height:107.7pt;rotation:-90;z-index:25192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" adj="4877" fillcolor="#91ae4f" strokecolor="#91ae4f" strokeweight="1pt"/>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109182</wp:posOffset>
                </wp:positionH>
                <wp:positionV relativeFrom="paragraph">
                  <wp:posOffset>1398185</wp:posOffset>
                </wp:positionV>
                <wp:extent cx="5745480" cy="1583055"/>
                <wp:effectExtent l="0" t="0" r="7620" b="0"/>
                <wp:wrapNone/>
                <wp:docPr id="14" name="Zone de texte 14" descr="Guide du supplément familial de traitement">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5745480" cy="1583055"/>
                        </a:xfrm>
                        <a:prstGeom prst="rect">
                          <a:avLst/>
                        </a:prstGeom>
                        <a:solidFill>
                          <a:srgbClr val="91AE4F"/>
                        </a:solidFill>
                        <a:ln w="6350">
                          <a:noFill/>
                        </a:ln>
                      </wps:spPr>
                      <wps:txbx>
                        <w:txbxContent>
                          <w:p>
                            <w:pPr>
                              <w:jc w:val="center"/>
                              <w:rPr>
                                <w:rFonts w:ascii="Marianne ExtraBold" w:hAnsi="Marianne ExtraBold"/>
                                <w:color w:val="FFFFFF" w:themeColor="background1"/>
                                <w:sz w:val="72"/>
                                <w:szCs w:val="72"/>
                              </w:rPr>
                            </w:pPr>
                            <w:r>
                              <w:rPr>
                                <w:rFonts w:ascii="Marianne ExtraBold" w:hAnsi="Marianne ExtraBold"/>
                                <w:color w:val="FFFFFF" w:themeColor="background1"/>
                                <w:sz w:val="68"/>
                                <w:szCs w:val="68"/>
                              </w:rPr>
                              <w:t>Indemnité spécifique de rupture conventionnelle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4" o:spid="_x0000_s1040" type="#_x0000_t202" alt="Guide du supplément familial de traitement" style="position:absolute;margin-left:8.6pt;margin-top:110.1pt;width:452.4pt;height:12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" fillcolor="#91ae4f" stroked="f" strokeweight=".5pt">
                <v:textbox>
                  <w:txbxContent>
                    <w:p>
                      <w:pPr>
                        <w:jc w:val="center"/>
                        <w:rPr>
                          <w:rFonts w:ascii="Marianne ExtraBold" w:hAnsi="Marianne ExtraBold"/>
                          <w:color w:val="FFFFFF" w:themeColor="background1"/>
                          <w:sz w:val="72"/>
                          <w:szCs w:val="72"/>
                        </w:rPr>
                      </w:pPr>
                      <w:r>
                        <w:rPr>
                          <w:rFonts w:ascii="Marianne ExtraBold" w:hAnsi="Marianne ExtraBold"/>
                          <w:color w:val="FFFFFF" w:themeColor="background1"/>
                          <w:sz w:val="68"/>
                          <w:szCs w:val="68"/>
                        </w:rPr>
                        <w:t>Indemnité spécifique de rupture conventionnelle</w:t>
                      </w:r>
                    </w:p>
                  </w:txbxContent>
                </v:textbox>
              </v:shape>
            </w:pict>
          </mc:Fallback>
        </mc:AlternateContent>
      </w:r>
      <w:r>
        <w:br w:type="page"/>
      </w:r>
    </w:p>
    <w:p>
      <w:pPr>
        <w:rPr>
          <w:rFonts w:ascii="Marianne ExtraBold" w:hAnsi="Marianne ExtraBold"/>
          <w:color w:val="91AE4F"/>
          <w:sz w:val="72"/>
          <w:szCs w:val="96"/>
        </w:rPr>
      </w:pPr>
      <w:r>
        <w:rPr>
          <w:rFonts w:ascii="Marianne ExtraBold" w:hAnsi="Marianne ExtraBold"/>
          <w:color w:val="91AE4F"/>
          <w:sz w:val="72"/>
          <w:szCs w:val="96"/>
        </w:rPr>
        <w:t>Sommaire</w:t>
      </w:r>
    </w:p>
    <w:sdt>
      <w:sdtPr>
        <w:rPr>
          <w:rFonts w:ascii="Marianne" w:eastAsiaTheme="minorHAnsi" w:hAnsi="Marianne" w:cstheme="minorBidi"/>
          <w:color w:val="auto"/>
          <w:sz w:val="20"/>
          <w:szCs w:val="22"/>
          <w:lang w:eastAsia="en-US"/>
        </w:rPr>
        <w:id w:val="176005863"/>
        <w:docPartObj>
          <w:docPartGallery w:val="Table of Contents"/>
          <w:docPartUnique/>
        </w:docPartObj>
      </w:sdtPr>
      <w:sdtEndPr>
        <w:rPr>
          <w:b/>
          <w:bCs/>
        </w:rPr>
      </w:sdtEndPr>
      <w:sdtContent>
        <w:p>
          <w:pPr>
            <w:pStyle w:val="En-ttedetabledesmatires"/>
            <w:rPr>
              <w:sz w:val="24"/>
              <w:szCs w:val="24"/>
            </w:rPr>
          </w:pPr>
        </w:p>
        <w:p>
          <w:pPr>
            <w:pStyle w:val="TM1"/>
            <w:tabs>
              <w:tab w:val="right" w:leader="dot" w:pos="9628"/>
            </w:tabs>
            <w:rPr>
              <w:rFonts w:asciiTheme="minorHAnsi" w:eastAsiaTheme="minorEastAsia" w:hAnsiTheme="minorHAnsi"/>
              <w:noProof/>
              <w:sz w:val="22"/>
              <w:lang w:eastAsia="fr-FR"/>
            </w:rPr>
          </w:pPr>
          <w:r>
            <w:rPr>
              <w:sz w:val="24"/>
              <w:szCs w:val="24"/>
            </w:rPr>
            <w:fldChar w:fldCharType="begin"/>
          </w:r>
          <w:r>
            <w:rPr>
              <w:sz w:val="24"/>
              <w:szCs w:val="24"/>
            </w:rPr>
            <w:instrText xml:space="preserve"> TOC \o "1-3" \h \z \u </w:instrText>
          </w:r>
          <w:r>
            <w:rPr>
              <w:sz w:val="24"/>
              <w:szCs w:val="24"/>
            </w:rPr>
            <w:fldChar w:fldCharType="separate"/>
          </w:r>
          <w:hyperlink w:anchor="_Toc237958302" w:history="1">
            <w:r>
              <w:rPr>
                <w:rStyle w:val="Lienhypertexte"/>
                <w:noProof/>
              </w:rPr>
              <w:t>Contexte</w:t>
            </w:r>
            <w:r>
              <w:rPr>
                <w:noProof/>
                <w:webHidden/>
              </w:rPr>
              <w:tab/>
            </w:r>
            <w:r>
              <w:rPr>
                <w:noProof/>
                <w:webHidden/>
              </w:rPr>
              <w:fldChar w:fldCharType="begin"/>
            </w:r>
            <w:r>
              <w:rPr>
                <w:noProof/>
                <w:webHidden/>
              </w:rPr>
              <w:instrText xml:space="preserve"> PAGEREF _Toc237958302 \h </w:instrText>
            </w:r>
            <w:r>
              <w:rPr>
                <w:noProof/>
                <w:webHidden/>
              </w:rPr>
            </w:r>
            <w:r>
              <w:rPr>
                <w:noProof/>
                <w:webHidden/>
              </w:rPr>
              <w:fldChar w:fldCharType="separate"/>
            </w:r>
            <w:r>
              <w:rPr>
                <w:noProof/>
                <w:webHidden/>
              </w:rPr>
              <w:t>4</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03" w:history="1">
            <w:r>
              <w:rPr>
                <w:noProof/>
                <w:webHidden/>
              </w:rPr>
              <w:tab/>
            </w:r>
            <w:r>
              <w:rPr>
                <w:noProof/>
                <w:webHidden/>
              </w:rPr>
              <w:fldChar w:fldCharType="begin"/>
            </w:r>
            <w:r>
              <w:rPr>
                <w:noProof/>
                <w:webHidden/>
              </w:rPr>
              <w:instrText xml:space="preserve"> PAGEREF _Toc237958303 \h </w:instrText>
            </w:r>
            <w:r>
              <w:rPr>
                <w:noProof/>
                <w:webHidden/>
              </w:rPr>
            </w:r>
            <w:r>
              <w:rPr>
                <w:noProof/>
                <w:webHidden/>
              </w:rPr>
              <w:fldChar w:fldCharType="separate"/>
            </w:r>
            <w:r>
              <w:rPr>
                <w:noProof/>
                <w:webHidden/>
              </w:rPr>
              <w:t>5</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04" w:history="1">
            <w:r>
              <w:rPr>
                <w:rStyle w:val="Lienhypertexte"/>
                <w:noProof/>
              </w:rPr>
              <w:t>1. Généralités</w:t>
            </w:r>
            <w:r>
              <w:rPr>
                <w:noProof/>
                <w:webHidden/>
              </w:rPr>
              <w:tab/>
            </w:r>
            <w:r>
              <w:rPr>
                <w:noProof/>
                <w:webHidden/>
              </w:rPr>
              <w:fldChar w:fldCharType="begin"/>
            </w:r>
            <w:r>
              <w:rPr>
                <w:noProof/>
                <w:webHidden/>
              </w:rPr>
              <w:instrText xml:space="preserve"> PAGEREF _Toc237958304 \h </w:instrText>
            </w:r>
            <w:r>
              <w:rPr>
                <w:noProof/>
                <w:webHidden/>
              </w:rPr>
            </w:r>
            <w:r>
              <w:rPr>
                <w:noProof/>
                <w:webHidden/>
              </w:rPr>
              <w:fldChar w:fldCharType="separate"/>
            </w:r>
            <w:r>
              <w:rPr>
                <w:noProof/>
                <w:webHidden/>
              </w:rPr>
              <w:t>5</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05" w:history="1">
            <w:r>
              <w:rPr>
                <w:rStyle w:val="Lienhypertexte"/>
                <w:noProof/>
              </w:rPr>
              <w:t>1.1 Présentation générale</w:t>
            </w:r>
            <w:r>
              <w:rPr>
                <w:noProof/>
                <w:webHidden/>
              </w:rPr>
              <w:tab/>
            </w:r>
            <w:r>
              <w:rPr>
                <w:noProof/>
                <w:webHidden/>
              </w:rPr>
              <w:fldChar w:fldCharType="begin"/>
            </w:r>
            <w:r>
              <w:rPr>
                <w:noProof/>
                <w:webHidden/>
              </w:rPr>
              <w:instrText xml:space="preserve"> PAGEREF _Toc237958305 \h </w:instrText>
            </w:r>
            <w:r>
              <w:rPr>
                <w:noProof/>
                <w:webHidden/>
              </w:rPr>
            </w:r>
            <w:r>
              <w:rPr>
                <w:noProof/>
                <w:webHidden/>
              </w:rPr>
              <w:fldChar w:fldCharType="separate"/>
            </w:r>
            <w:r>
              <w:rPr>
                <w:noProof/>
                <w:webHidden/>
              </w:rPr>
              <w:t>6</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06" w:history="1">
            <w:r>
              <w:rPr>
                <w:rStyle w:val="Lienhypertexte"/>
                <w:noProof/>
              </w:rPr>
              <w:t>1.2 Les textes de références</w:t>
            </w:r>
            <w:r>
              <w:rPr>
                <w:noProof/>
                <w:webHidden/>
              </w:rPr>
              <w:tab/>
            </w:r>
            <w:r>
              <w:rPr>
                <w:noProof/>
                <w:webHidden/>
              </w:rPr>
              <w:fldChar w:fldCharType="begin"/>
            </w:r>
            <w:r>
              <w:rPr>
                <w:noProof/>
                <w:webHidden/>
              </w:rPr>
              <w:instrText xml:space="preserve"> PAGEREF _Toc237958306 \h </w:instrText>
            </w:r>
            <w:r>
              <w:rPr>
                <w:noProof/>
                <w:webHidden/>
              </w:rPr>
            </w:r>
            <w:r>
              <w:rPr>
                <w:noProof/>
                <w:webHidden/>
              </w:rPr>
              <w:fldChar w:fldCharType="separate"/>
            </w:r>
            <w:r>
              <w:rPr>
                <w:noProof/>
                <w:webHidden/>
              </w:rPr>
              <w:t>6</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07" w:history="1">
            <w:r>
              <w:rPr>
                <w:rStyle w:val="Lienhypertexte"/>
                <w:noProof/>
              </w:rPr>
              <w:t>2. Périmètre / Populations concernées</w:t>
            </w:r>
            <w:r>
              <w:rPr>
                <w:noProof/>
                <w:webHidden/>
              </w:rPr>
              <w:tab/>
            </w:r>
            <w:r>
              <w:rPr>
                <w:noProof/>
                <w:webHidden/>
              </w:rPr>
              <w:fldChar w:fldCharType="begin"/>
            </w:r>
            <w:r>
              <w:rPr>
                <w:noProof/>
                <w:webHidden/>
              </w:rPr>
              <w:instrText xml:space="preserve"> PAGEREF _Toc237958307 \h </w:instrText>
            </w:r>
            <w:r>
              <w:rPr>
                <w:noProof/>
                <w:webHidden/>
              </w:rPr>
            </w:r>
            <w:r>
              <w:rPr>
                <w:noProof/>
                <w:webHidden/>
              </w:rPr>
              <w:fldChar w:fldCharType="separate"/>
            </w:r>
            <w:r>
              <w:rPr>
                <w:noProof/>
                <w:webHidden/>
              </w:rPr>
              <w:t>8</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08" w:history="1">
            <w:r>
              <w:rPr>
                <w:rStyle w:val="Lienhypertexte"/>
                <w:noProof/>
              </w:rPr>
              <w:t>2.1 Populations éligibles à la rupture conventionnelle</w:t>
            </w:r>
            <w:r>
              <w:rPr>
                <w:noProof/>
                <w:webHidden/>
              </w:rPr>
              <w:tab/>
            </w:r>
            <w:r>
              <w:rPr>
                <w:noProof/>
                <w:webHidden/>
              </w:rPr>
              <w:fldChar w:fldCharType="begin"/>
            </w:r>
            <w:r>
              <w:rPr>
                <w:noProof/>
                <w:webHidden/>
              </w:rPr>
              <w:instrText xml:space="preserve"> PAGEREF _Toc237958308 \h </w:instrText>
            </w:r>
            <w:r>
              <w:rPr>
                <w:noProof/>
                <w:webHidden/>
              </w:rPr>
            </w:r>
            <w:r>
              <w:rPr>
                <w:noProof/>
                <w:webHidden/>
              </w:rPr>
              <w:fldChar w:fldCharType="separate"/>
            </w:r>
            <w:r>
              <w:rPr>
                <w:noProof/>
                <w:webHidden/>
              </w:rPr>
              <w:t>9</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09" w:history="1">
            <w:r>
              <w:rPr>
                <w:rStyle w:val="Lienhypertexte"/>
                <w:noProof/>
              </w:rPr>
              <w:t>2.2 Populations non éligibles à la rupture conventionnelle</w:t>
            </w:r>
            <w:r>
              <w:rPr>
                <w:noProof/>
                <w:webHidden/>
              </w:rPr>
              <w:tab/>
            </w:r>
            <w:r>
              <w:rPr>
                <w:noProof/>
                <w:webHidden/>
              </w:rPr>
              <w:fldChar w:fldCharType="begin"/>
            </w:r>
            <w:r>
              <w:rPr>
                <w:noProof/>
                <w:webHidden/>
              </w:rPr>
              <w:instrText xml:space="preserve"> PAGEREF _Toc237958309 \h </w:instrText>
            </w:r>
            <w:r>
              <w:rPr>
                <w:noProof/>
                <w:webHidden/>
              </w:rPr>
            </w:r>
            <w:r>
              <w:rPr>
                <w:noProof/>
                <w:webHidden/>
              </w:rPr>
              <w:fldChar w:fldCharType="separate"/>
            </w:r>
            <w:r>
              <w:rPr>
                <w:noProof/>
                <w:webHidden/>
              </w:rPr>
              <w:t>9</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10" w:history="1">
            <w:r>
              <w:rPr>
                <w:noProof/>
                <w:webHidden/>
              </w:rPr>
              <w:tab/>
            </w:r>
            <w:r>
              <w:rPr>
                <w:noProof/>
                <w:webHidden/>
              </w:rPr>
              <w:fldChar w:fldCharType="begin"/>
            </w:r>
            <w:r>
              <w:rPr>
                <w:noProof/>
                <w:webHidden/>
              </w:rPr>
              <w:instrText xml:space="preserve"> PAGEREF _Toc237958310 \h </w:instrText>
            </w:r>
            <w:r>
              <w:rPr>
                <w:noProof/>
                <w:webHidden/>
              </w:rPr>
            </w:r>
            <w:r>
              <w:rPr>
                <w:noProof/>
                <w:webHidden/>
              </w:rPr>
              <w:fldChar w:fldCharType="separate"/>
            </w:r>
            <w:r>
              <w:rPr>
                <w:noProof/>
                <w:webHidden/>
              </w:rPr>
              <w:t>- 11 -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11" w:history="1">
            <w:r>
              <w:rPr>
                <w:rStyle w:val="Lienhypertexte"/>
                <w:noProof/>
              </w:rPr>
              <w:t>3. Conditions d’attribution</w:t>
            </w:r>
            <w:r>
              <w:rPr>
                <w:noProof/>
                <w:webHidden/>
              </w:rPr>
              <w:tab/>
            </w:r>
            <w:r>
              <w:rPr>
                <w:noProof/>
                <w:webHidden/>
              </w:rPr>
              <w:fldChar w:fldCharType="begin"/>
            </w:r>
            <w:r>
              <w:rPr>
                <w:noProof/>
                <w:webHidden/>
              </w:rPr>
              <w:instrText xml:space="preserve"> PAGEREF _Toc237958311 \h </w:instrText>
            </w:r>
            <w:r>
              <w:rPr>
                <w:noProof/>
                <w:webHidden/>
              </w:rPr>
            </w:r>
            <w:r>
              <w:rPr>
                <w:noProof/>
                <w:webHidden/>
              </w:rPr>
              <w:fldChar w:fldCharType="separate"/>
            </w:r>
            <w:r>
              <w:rPr>
                <w:noProof/>
                <w:webHidden/>
              </w:rPr>
              <w:t>- 11 -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12" w:history="1">
            <w:r>
              <w:rPr>
                <w:rStyle w:val="Lienhypertexte"/>
                <w:noProof/>
              </w:rPr>
              <w:t>3.1 Procédure de rupture conventionnelle pour les fonctionnaires</w:t>
            </w:r>
            <w:r>
              <w:rPr>
                <w:noProof/>
                <w:webHidden/>
              </w:rPr>
              <w:tab/>
            </w:r>
            <w:r>
              <w:rPr>
                <w:noProof/>
                <w:webHidden/>
              </w:rPr>
              <w:fldChar w:fldCharType="begin"/>
            </w:r>
            <w:r>
              <w:rPr>
                <w:noProof/>
                <w:webHidden/>
              </w:rPr>
              <w:instrText xml:space="preserve"> PAGEREF _Toc237958312 \h </w:instrText>
            </w:r>
            <w:r>
              <w:rPr>
                <w:noProof/>
                <w:webHidden/>
              </w:rPr>
            </w:r>
            <w:r>
              <w:rPr>
                <w:noProof/>
                <w:webHidden/>
              </w:rPr>
              <w:fldChar w:fldCharType="separate"/>
            </w:r>
            <w:r>
              <w:rPr>
                <w:noProof/>
                <w:webHidden/>
              </w:rPr>
              <w:t>- 12 -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13" w:history="1">
            <w:r>
              <w:rPr>
                <w:rStyle w:val="Lienhypertexte"/>
                <w:noProof/>
              </w:rPr>
              <w:t>3.2 Procédure de rupture conventionnelle pour les contractuels en CDI</w:t>
            </w:r>
            <w:r>
              <w:rPr>
                <w:noProof/>
                <w:webHidden/>
              </w:rPr>
              <w:tab/>
            </w:r>
            <w:r>
              <w:rPr>
                <w:noProof/>
                <w:webHidden/>
              </w:rPr>
              <w:fldChar w:fldCharType="begin"/>
            </w:r>
            <w:r>
              <w:rPr>
                <w:noProof/>
                <w:webHidden/>
              </w:rPr>
              <w:instrText xml:space="preserve"> PAGEREF _Toc237958313 \h </w:instrText>
            </w:r>
            <w:r>
              <w:rPr>
                <w:noProof/>
                <w:webHidden/>
              </w:rPr>
            </w:r>
            <w:r>
              <w:rPr>
                <w:noProof/>
                <w:webHidden/>
              </w:rPr>
              <w:fldChar w:fldCharType="separate"/>
            </w:r>
            <w:r>
              <w:rPr>
                <w:noProof/>
                <w:webHidden/>
              </w:rPr>
              <w:t>- 13 -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14" w:history="1">
            <w:r>
              <w:rPr>
                <w:rStyle w:val="Lienhypertexte"/>
                <w:noProof/>
              </w:rPr>
              <w:t>3.3 Procédure de rupture conventionnelle pour les ouvriers assujettis au FSPOEIE</w:t>
            </w:r>
            <w:r>
              <w:rPr>
                <w:noProof/>
                <w:webHidden/>
              </w:rPr>
              <w:tab/>
            </w:r>
            <w:r>
              <w:rPr>
                <w:noProof/>
                <w:webHidden/>
              </w:rPr>
              <w:fldChar w:fldCharType="begin"/>
            </w:r>
            <w:r>
              <w:rPr>
                <w:noProof/>
                <w:webHidden/>
              </w:rPr>
              <w:instrText xml:space="preserve"> PAGEREF _Toc237958314 \h </w:instrText>
            </w:r>
            <w:r>
              <w:rPr>
                <w:noProof/>
                <w:webHidden/>
              </w:rPr>
            </w:r>
            <w:r>
              <w:rPr>
                <w:noProof/>
                <w:webHidden/>
              </w:rPr>
              <w:fldChar w:fldCharType="separate"/>
            </w:r>
            <w:r>
              <w:rPr>
                <w:noProof/>
                <w:webHidden/>
              </w:rPr>
              <w:t>- 13 -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15" w:history="1">
            <w:r>
              <w:rPr>
                <w:rStyle w:val="Lienhypertexte"/>
                <w:noProof/>
              </w:rPr>
              <w:t>3.4 Versement et remboursement de l’ISRC</w:t>
            </w:r>
            <w:r>
              <w:rPr>
                <w:noProof/>
                <w:webHidden/>
              </w:rPr>
              <w:tab/>
            </w:r>
            <w:r>
              <w:rPr>
                <w:noProof/>
                <w:webHidden/>
              </w:rPr>
              <w:fldChar w:fldCharType="begin"/>
            </w:r>
            <w:r>
              <w:rPr>
                <w:noProof/>
                <w:webHidden/>
              </w:rPr>
              <w:instrText xml:space="preserve"> PAGEREF _Toc237958315 \h </w:instrText>
            </w:r>
            <w:r>
              <w:rPr>
                <w:noProof/>
                <w:webHidden/>
              </w:rPr>
            </w:r>
            <w:r>
              <w:rPr>
                <w:noProof/>
                <w:webHidden/>
              </w:rPr>
              <w:fldChar w:fldCharType="separate"/>
            </w:r>
            <w:r>
              <w:rPr>
                <w:noProof/>
                <w:webHidden/>
              </w:rPr>
              <w:t>- 14 -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16" w:history="1">
            <w:r>
              <w:rPr>
                <w:rStyle w:val="Lienhypertexte"/>
                <w:noProof/>
              </w:rPr>
              <w:t>3.5 Principe de non cumul</w:t>
            </w:r>
            <w:r>
              <w:rPr>
                <w:noProof/>
                <w:webHidden/>
              </w:rPr>
              <w:tab/>
            </w:r>
            <w:r>
              <w:rPr>
                <w:noProof/>
                <w:webHidden/>
              </w:rPr>
              <w:fldChar w:fldCharType="begin"/>
            </w:r>
            <w:r>
              <w:rPr>
                <w:noProof/>
                <w:webHidden/>
              </w:rPr>
              <w:instrText xml:space="preserve"> PAGEREF _Toc237958316 \h </w:instrText>
            </w:r>
            <w:r>
              <w:rPr>
                <w:noProof/>
                <w:webHidden/>
              </w:rPr>
            </w:r>
            <w:r>
              <w:rPr>
                <w:noProof/>
                <w:webHidden/>
              </w:rPr>
              <w:fldChar w:fldCharType="separate"/>
            </w:r>
            <w:r>
              <w:rPr>
                <w:noProof/>
                <w:webHidden/>
              </w:rPr>
              <w:t>- 14 -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17" w:history="1">
            <w:r>
              <w:rPr>
                <w:noProof/>
                <w:webHidden/>
              </w:rPr>
              <w:tab/>
            </w:r>
            <w:r>
              <w:rPr>
                <w:noProof/>
                <w:webHidden/>
              </w:rPr>
              <w:fldChar w:fldCharType="begin"/>
            </w:r>
            <w:r>
              <w:rPr>
                <w:noProof/>
                <w:webHidden/>
              </w:rPr>
              <w:instrText xml:space="preserve"> PAGEREF _Toc237958317 \h </w:instrText>
            </w:r>
            <w:r>
              <w:rPr>
                <w:noProof/>
                <w:webHidden/>
              </w:rPr>
            </w:r>
            <w:r>
              <w:rPr>
                <w:noProof/>
                <w:webHidden/>
              </w:rPr>
              <w:fldChar w:fldCharType="separate"/>
            </w:r>
            <w:r>
              <w:rPr>
                <w:noProof/>
                <w:webHidden/>
              </w:rPr>
              <w:t>- 15 -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18" w:history="1">
            <w:r>
              <w:rPr>
                <w:rStyle w:val="Lienhypertexte"/>
                <w:noProof/>
              </w:rPr>
              <w:t>4. Calcul de l’ISRC</w:t>
            </w:r>
            <w:r>
              <w:rPr>
                <w:noProof/>
                <w:webHidden/>
              </w:rPr>
              <w:tab/>
            </w:r>
            <w:r>
              <w:rPr>
                <w:noProof/>
                <w:webHidden/>
              </w:rPr>
              <w:fldChar w:fldCharType="begin"/>
            </w:r>
            <w:r>
              <w:rPr>
                <w:noProof/>
                <w:webHidden/>
              </w:rPr>
              <w:instrText xml:space="preserve"> PAGEREF _Toc237958318 \h </w:instrText>
            </w:r>
            <w:r>
              <w:rPr>
                <w:noProof/>
                <w:webHidden/>
              </w:rPr>
            </w:r>
            <w:r>
              <w:rPr>
                <w:noProof/>
                <w:webHidden/>
              </w:rPr>
              <w:fldChar w:fldCharType="separate"/>
            </w:r>
            <w:r>
              <w:rPr>
                <w:noProof/>
                <w:webHidden/>
              </w:rPr>
              <w:t>- 15 -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19" w:history="1">
            <w:r>
              <w:rPr>
                <w:rStyle w:val="Lienhypertexte"/>
                <w:noProof/>
              </w:rPr>
              <w:t>4.1 Calcul de l’ISRC</w:t>
            </w:r>
            <w:r>
              <w:rPr>
                <w:noProof/>
                <w:webHidden/>
              </w:rPr>
              <w:tab/>
            </w:r>
            <w:r>
              <w:rPr>
                <w:noProof/>
                <w:webHidden/>
              </w:rPr>
              <w:fldChar w:fldCharType="begin"/>
            </w:r>
            <w:r>
              <w:rPr>
                <w:noProof/>
                <w:webHidden/>
              </w:rPr>
              <w:instrText xml:space="preserve"> PAGEREF _Toc237958319 \h </w:instrText>
            </w:r>
            <w:r>
              <w:rPr>
                <w:noProof/>
                <w:webHidden/>
              </w:rPr>
            </w:r>
            <w:r>
              <w:rPr>
                <w:noProof/>
                <w:webHidden/>
              </w:rPr>
              <w:fldChar w:fldCharType="separate"/>
            </w:r>
            <w:r>
              <w:rPr>
                <w:noProof/>
                <w:webHidden/>
              </w:rPr>
              <w:t>- 16 -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20" w:history="1">
            <w:r>
              <w:rPr>
                <w:rStyle w:val="Lienhypertexte"/>
                <w:bCs/>
                <w:noProof/>
              </w:rPr>
              <w:t>4.1.1. Régime juridique applicable</w:t>
            </w:r>
            <w:r>
              <w:rPr>
                <w:noProof/>
                <w:webHidden/>
              </w:rPr>
              <w:tab/>
            </w:r>
            <w:r>
              <w:rPr>
                <w:noProof/>
                <w:webHidden/>
              </w:rPr>
              <w:fldChar w:fldCharType="begin"/>
            </w:r>
            <w:r>
              <w:rPr>
                <w:noProof/>
                <w:webHidden/>
              </w:rPr>
              <w:instrText xml:space="preserve"> PAGEREF _Toc237958320 \h </w:instrText>
            </w:r>
            <w:r>
              <w:rPr>
                <w:noProof/>
                <w:webHidden/>
              </w:rPr>
            </w:r>
            <w:r>
              <w:rPr>
                <w:noProof/>
                <w:webHidden/>
              </w:rPr>
              <w:fldChar w:fldCharType="separate"/>
            </w:r>
            <w:r>
              <w:rPr>
                <w:noProof/>
                <w:webHidden/>
              </w:rPr>
              <w:t>- 16 -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21" w:history="1">
            <w:r>
              <w:rPr>
                <w:rStyle w:val="Lienhypertexte"/>
                <w:bCs/>
                <w:noProof/>
              </w:rPr>
              <w:t>4.1.2 Modalités de détermination de la rémunération brute de référence</w:t>
            </w:r>
            <w:r>
              <w:rPr>
                <w:noProof/>
                <w:webHidden/>
              </w:rPr>
              <w:tab/>
            </w:r>
            <w:r>
              <w:rPr>
                <w:noProof/>
                <w:webHidden/>
              </w:rPr>
              <w:fldChar w:fldCharType="begin"/>
            </w:r>
            <w:r>
              <w:rPr>
                <w:noProof/>
                <w:webHidden/>
              </w:rPr>
              <w:instrText xml:space="preserve"> PAGEREF _Toc237958321 \h </w:instrText>
            </w:r>
            <w:r>
              <w:rPr>
                <w:noProof/>
                <w:webHidden/>
              </w:rPr>
            </w:r>
            <w:r>
              <w:rPr>
                <w:noProof/>
                <w:webHidden/>
              </w:rPr>
              <w:fldChar w:fldCharType="separate"/>
            </w:r>
            <w:r>
              <w:rPr>
                <w:noProof/>
                <w:webHidden/>
              </w:rPr>
              <w:t>- 16 -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22" w:history="1">
            <w:r>
              <w:rPr>
                <w:rStyle w:val="Lienhypertexte"/>
                <w:bCs/>
                <w:noProof/>
              </w:rPr>
              <w:t>4.1.3. Les montants plancher et plafond de l’ISRC</w:t>
            </w:r>
            <w:r>
              <w:rPr>
                <w:noProof/>
                <w:webHidden/>
              </w:rPr>
              <w:tab/>
            </w:r>
            <w:r>
              <w:rPr>
                <w:noProof/>
                <w:webHidden/>
              </w:rPr>
              <w:fldChar w:fldCharType="begin"/>
            </w:r>
            <w:r>
              <w:rPr>
                <w:noProof/>
                <w:webHidden/>
              </w:rPr>
              <w:instrText xml:space="preserve"> PAGEREF _Toc237958322 \h </w:instrText>
            </w:r>
            <w:r>
              <w:rPr>
                <w:noProof/>
                <w:webHidden/>
              </w:rPr>
            </w:r>
            <w:r>
              <w:rPr>
                <w:noProof/>
                <w:webHidden/>
              </w:rPr>
              <w:fldChar w:fldCharType="separate"/>
            </w:r>
            <w:r>
              <w:rPr>
                <w:noProof/>
                <w:webHidden/>
              </w:rPr>
              <w:t>- 17 -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23" w:history="1">
            <w:r>
              <w:rPr>
                <w:rStyle w:val="Lienhypertexte"/>
                <w:bCs/>
                <w:noProof/>
              </w:rPr>
              <w:t>4.1.4. Assiettes fiscales et sociales de l’ISRC</w:t>
            </w:r>
            <w:r>
              <w:rPr>
                <w:noProof/>
                <w:webHidden/>
              </w:rPr>
              <w:tab/>
            </w:r>
            <w:r>
              <w:rPr>
                <w:noProof/>
                <w:webHidden/>
              </w:rPr>
              <w:fldChar w:fldCharType="begin"/>
            </w:r>
            <w:r>
              <w:rPr>
                <w:noProof/>
                <w:webHidden/>
              </w:rPr>
              <w:instrText xml:space="preserve"> PAGEREF _Toc237958323 \h </w:instrText>
            </w:r>
            <w:r>
              <w:rPr>
                <w:noProof/>
                <w:webHidden/>
              </w:rPr>
            </w:r>
            <w:r>
              <w:rPr>
                <w:noProof/>
                <w:webHidden/>
              </w:rPr>
              <w:fldChar w:fldCharType="separate"/>
            </w:r>
            <w:r>
              <w:rPr>
                <w:noProof/>
                <w:webHidden/>
              </w:rPr>
              <w:t>- 19 -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24" w:history="1">
            <w:r>
              <w:rPr>
                <w:rStyle w:val="Lienhypertexte"/>
                <w:noProof/>
              </w:rPr>
              <w:t>4.2 Principaux textes de référence</w:t>
            </w:r>
            <w:r>
              <w:rPr>
                <w:noProof/>
                <w:webHidden/>
              </w:rPr>
              <w:tab/>
            </w:r>
            <w:r>
              <w:rPr>
                <w:noProof/>
                <w:webHidden/>
              </w:rPr>
              <w:fldChar w:fldCharType="begin"/>
            </w:r>
            <w:r>
              <w:rPr>
                <w:noProof/>
                <w:webHidden/>
              </w:rPr>
              <w:instrText xml:space="preserve"> PAGEREF _Toc237958324 \h </w:instrText>
            </w:r>
            <w:r>
              <w:rPr>
                <w:noProof/>
                <w:webHidden/>
              </w:rPr>
            </w:r>
            <w:r>
              <w:rPr>
                <w:noProof/>
                <w:webHidden/>
              </w:rPr>
              <w:fldChar w:fldCharType="separate"/>
            </w:r>
            <w:r>
              <w:rPr>
                <w:noProof/>
                <w:webHidden/>
              </w:rPr>
              <w:t>- 25 -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25" w:history="1">
            <w:r>
              <w:rPr>
                <w:noProof/>
                <w:webHidden/>
              </w:rPr>
              <w:tab/>
            </w:r>
            <w:r>
              <w:rPr>
                <w:noProof/>
                <w:webHidden/>
              </w:rPr>
              <w:fldChar w:fldCharType="begin"/>
            </w:r>
            <w:r>
              <w:rPr>
                <w:noProof/>
                <w:webHidden/>
              </w:rPr>
              <w:instrText xml:space="preserve"> PAGEREF _Toc237958325 \h </w:instrText>
            </w:r>
            <w:r>
              <w:rPr>
                <w:noProof/>
                <w:webHidden/>
              </w:rPr>
            </w:r>
            <w:r>
              <w:rPr>
                <w:noProof/>
                <w:webHidden/>
              </w:rPr>
              <w:fldChar w:fldCharType="separate"/>
            </w:r>
            <w:r>
              <w:rPr>
                <w:noProof/>
                <w:webHidden/>
              </w:rPr>
              <w:t>- 26 -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26" w:history="1">
            <w:r>
              <w:rPr>
                <w:rStyle w:val="Lienhypertexte"/>
                <w:noProof/>
              </w:rPr>
              <w:t>5. Volet métier / Cas d’usage /Utilisation</w:t>
            </w:r>
            <w:r>
              <w:rPr>
                <w:noProof/>
                <w:webHidden/>
              </w:rPr>
              <w:tab/>
            </w:r>
            <w:r>
              <w:rPr>
                <w:noProof/>
                <w:webHidden/>
              </w:rPr>
              <w:fldChar w:fldCharType="begin"/>
            </w:r>
            <w:r>
              <w:rPr>
                <w:noProof/>
                <w:webHidden/>
              </w:rPr>
              <w:instrText xml:space="preserve"> PAGEREF _Toc237958326 \h </w:instrText>
            </w:r>
            <w:r>
              <w:rPr>
                <w:noProof/>
                <w:webHidden/>
              </w:rPr>
            </w:r>
            <w:r>
              <w:rPr>
                <w:noProof/>
                <w:webHidden/>
              </w:rPr>
              <w:fldChar w:fldCharType="separate"/>
            </w:r>
            <w:r>
              <w:rPr>
                <w:noProof/>
                <w:webHidden/>
              </w:rPr>
              <w:t>- 26 -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27" w:history="1">
            <w:r>
              <w:rPr>
                <w:rStyle w:val="Lienhypertexte"/>
                <w:noProof/>
              </w:rPr>
              <w:t>5.1 Cas d’usage / Utilisation</w:t>
            </w:r>
            <w:r>
              <w:rPr>
                <w:noProof/>
                <w:webHidden/>
              </w:rPr>
              <w:tab/>
            </w:r>
            <w:r>
              <w:rPr>
                <w:noProof/>
                <w:webHidden/>
              </w:rPr>
              <w:fldChar w:fldCharType="begin"/>
            </w:r>
            <w:r>
              <w:rPr>
                <w:noProof/>
                <w:webHidden/>
              </w:rPr>
              <w:instrText xml:space="preserve"> PAGEREF _Toc237958327 \h </w:instrText>
            </w:r>
            <w:r>
              <w:rPr>
                <w:noProof/>
                <w:webHidden/>
              </w:rPr>
            </w:r>
            <w:r>
              <w:rPr>
                <w:noProof/>
                <w:webHidden/>
              </w:rPr>
              <w:fldChar w:fldCharType="separate"/>
            </w:r>
            <w:r>
              <w:rPr>
                <w:noProof/>
                <w:webHidden/>
              </w:rPr>
              <w:t>- 27 -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28" w:history="1">
            <w:r>
              <w:rPr>
                <w:rStyle w:val="Lienhypertexte"/>
                <w:noProof/>
              </w:rPr>
              <w:t>5.2 Procédure de rupture conventionnelle</w:t>
            </w:r>
            <w:r>
              <w:rPr>
                <w:noProof/>
                <w:webHidden/>
              </w:rPr>
              <w:tab/>
            </w:r>
            <w:r>
              <w:rPr>
                <w:noProof/>
                <w:webHidden/>
              </w:rPr>
              <w:fldChar w:fldCharType="begin"/>
            </w:r>
            <w:r>
              <w:rPr>
                <w:noProof/>
                <w:webHidden/>
              </w:rPr>
              <w:instrText xml:space="preserve"> PAGEREF _Toc237958328 \h </w:instrText>
            </w:r>
            <w:r>
              <w:rPr>
                <w:noProof/>
                <w:webHidden/>
              </w:rPr>
            </w:r>
            <w:r>
              <w:rPr>
                <w:noProof/>
                <w:webHidden/>
              </w:rPr>
              <w:fldChar w:fldCharType="separate"/>
            </w:r>
            <w:r>
              <w:rPr>
                <w:noProof/>
                <w:webHidden/>
              </w:rPr>
              <w:t>- 27 -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29" w:history="1">
            <w:r>
              <w:rPr>
                <w:rStyle w:val="Lienhypertexte"/>
                <w:bCs/>
                <w:noProof/>
              </w:rPr>
              <w:t>5.2.1. Processus</w:t>
            </w:r>
            <w:r>
              <w:rPr>
                <w:noProof/>
                <w:webHidden/>
              </w:rPr>
              <w:tab/>
            </w:r>
            <w:r>
              <w:rPr>
                <w:noProof/>
                <w:webHidden/>
              </w:rPr>
              <w:fldChar w:fldCharType="begin"/>
            </w:r>
            <w:r>
              <w:rPr>
                <w:noProof/>
                <w:webHidden/>
              </w:rPr>
              <w:instrText xml:space="preserve"> PAGEREF _Toc237958329 \h </w:instrText>
            </w:r>
            <w:r>
              <w:rPr>
                <w:noProof/>
                <w:webHidden/>
              </w:rPr>
            </w:r>
            <w:r>
              <w:rPr>
                <w:noProof/>
                <w:webHidden/>
              </w:rPr>
              <w:fldChar w:fldCharType="separate"/>
            </w:r>
            <w:r>
              <w:rPr>
                <w:noProof/>
                <w:webHidden/>
              </w:rPr>
              <w:t>- 27 -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30" w:history="1">
            <w:r>
              <w:rPr>
                <w:rStyle w:val="Lienhypertexte"/>
                <w:bCs/>
                <w:noProof/>
              </w:rPr>
              <w:t>5.2.2. Formulaires de procédure de rupture conventionnelle</w:t>
            </w:r>
            <w:r>
              <w:rPr>
                <w:noProof/>
                <w:webHidden/>
              </w:rPr>
              <w:tab/>
            </w:r>
            <w:r>
              <w:rPr>
                <w:noProof/>
                <w:webHidden/>
              </w:rPr>
              <w:fldChar w:fldCharType="begin"/>
            </w:r>
            <w:r>
              <w:rPr>
                <w:noProof/>
                <w:webHidden/>
              </w:rPr>
              <w:instrText xml:space="preserve"> PAGEREF _Toc237958330 \h </w:instrText>
            </w:r>
            <w:r>
              <w:rPr>
                <w:noProof/>
                <w:webHidden/>
              </w:rPr>
            </w:r>
            <w:r>
              <w:rPr>
                <w:noProof/>
                <w:webHidden/>
              </w:rPr>
              <w:fldChar w:fldCharType="separate"/>
            </w:r>
            <w:r>
              <w:rPr>
                <w:noProof/>
                <w:webHidden/>
              </w:rPr>
              <w:t>- 30 -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31" w:history="1">
            <w:r>
              <w:rPr>
                <w:rStyle w:val="Lienhypertexte"/>
                <w:noProof/>
              </w:rPr>
              <w:t>5.3 Impacts / Impacts en gestion / Impacts en paye / Impacts sur la carrière ou la rémunération, etc…</w:t>
            </w:r>
            <w:r>
              <w:rPr>
                <w:noProof/>
                <w:webHidden/>
              </w:rPr>
              <w:tab/>
            </w:r>
            <w:r>
              <w:rPr>
                <w:noProof/>
                <w:webHidden/>
              </w:rPr>
              <w:fldChar w:fldCharType="begin"/>
            </w:r>
            <w:r>
              <w:rPr>
                <w:noProof/>
                <w:webHidden/>
              </w:rPr>
              <w:instrText xml:space="preserve"> PAGEREF _Toc237958331 \h </w:instrText>
            </w:r>
            <w:r>
              <w:rPr>
                <w:noProof/>
                <w:webHidden/>
              </w:rPr>
            </w:r>
            <w:r>
              <w:rPr>
                <w:noProof/>
                <w:webHidden/>
              </w:rPr>
              <w:fldChar w:fldCharType="separate"/>
            </w:r>
            <w:r>
              <w:rPr>
                <w:noProof/>
                <w:webHidden/>
              </w:rPr>
              <w:t>- 31 -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32" w:history="1">
            <w:r>
              <w:rPr>
                <w:rStyle w:val="Lienhypertexte"/>
                <w:bCs/>
                <w:noProof/>
              </w:rPr>
              <w:t>5.3.1. Modalités de liquidation</w:t>
            </w:r>
            <w:r>
              <w:rPr>
                <w:noProof/>
                <w:webHidden/>
              </w:rPr>
              <w:tab/>
            </w:r>
            <w:r>
              <w:rPr>
                <w:noProof/>
                <w:webHidden/>
              </w:rPr>
              <w:fldChar w:fldCharType="begin"/>
            </w:r>
            <w:r>
              <w:rPr>
                <w:noProof/>
                <w:webHidden/>
              </w:rPr>
              <w:instrText xml:space="preserve"> PAGEREF _Toc237958332 \h </w:instrText>
            </w:r>
            <w:r>
              <w:rPr>
                <w:noProof/>
                <w:webHidden/>
              </w:rPr>
            </w:r>
            <w:r>
              <w:rPr>
                <w:noProof/>
                <w:webHidden/>
              </w:rPr>
              <w:fldChar w:fldCharType="separate"/>
            </w:r>
            <w:r>
              <w:rPr>
                <w:noProof/>
                <w:webHidden/>
              </w:rPr>
              <w:t>- 32 -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33" w:history="1">
            <w:r>
              <w:rPr>
                <w:rStyle w:val="Lienhypertexte"/>
                <w:bCs/>
                <w:noProof/>
              </w:rPr>
              <w:t>5.3.2. Procédure de rupture conventionnelle</w:t>
            </w:r>
            <w:r>
              <w:rPr>
                <w:noProof/>
                <w:webHidden/>
              </w:rPr>
              <w:tab/>
            </w:r>
            <w:r>
              <w:rPr>
                <w:noProof/>
                <w:webHidden/>
              </w:rPr>
              <w:fldChar w:fldCharType="begin"/>
            </w:r>
            <w:r>
              <w:rPr>
                <w:noProof/>
                <w:webHidden/>
              </w:rPr>
              <w:instrText xml:space="preserve"> PAGEREF _Toc237958333 \h </w:instrText>
            </w:r>
            <w:r>
              <w:rPr>
                <w:noProof/>
                <w:webHidden/>
              </w:rPr>
            </w:r>
            <w:r>
              <w:rPr>
                <w:noProof/>
                <w:webHidden/>
              </w:rPr>
              <w:fldChar w:fldCharType="separate"/>
            </w:r>
            <w:r>
              <w:rPr>
                <w:noProof/>
                <w:webHidden/>
              </w:rPr>
              <w:t>- 35 -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34" w:history="1">
            <w:r>
              <w:rPr>
                <w:noProof/>
                <w:webHidden/>
              </w:rPr>
              <w:tab/>
            </w:r>
            <w:r>
              <w:rPr>
                <w:noProof/>
                <w:webHidden/>
              </w:rPr>
              <w:fldChar w:fldCharType="begin"/>
            </w:r>
            <w:r>
              <w:rPr>
                <w:noProof/>
                <w:webHidden/>
              </w:rPr>
              <w:instrText xml:space="preserve"> PAGEREF _Toc237958334 \h </w:instrText>
            </w:r>
            <w:r>
              <w:rPr>
                <w:noProof/>
                <w:webHidden/>
              </w:rPr>
            </w:r>
            <w:r>
              <w:rPr>
                <w:noProof/>
                <w:webHidden/>
              </w:rPr>
              <w:fldChar w:fldCharType="separate"/>
            </w:r>
            <w:r>
              <w:rPr>
                <w:noProof/>
                <w:webHidden/>
              </w:rPr>
              <w:t>- 37 -</w:t>
            </w:r>
            <w:r>
              <w:rPr>
                <w:noProof/>
                <w:webHidden/>
              </w:rPr>
              <w:fldChar w:fldCharType="end"/>
            </w:r>
          </w:hyperlink>
        </w:p>
        <w:p>
          <w:pPr>
            <w:pStyle w:val="TM1"/>
            <w:tabs>
              <w:tab w:val="right" w:leader="dot" w:pos="9628"/>
            </w:tabs>
            <w:rPr>
              <w:rFonts w:asciiTheme="minorHAnsi" w:eastAsiaTheme="minorEastAsia" w:hAnsiTheme="minorHAnsi"/>
              <w:noProof/>
              <w:sz w:val="22"/>
              <w:lang w:eastAsia="fr-FR"/>
            </w:rPr>
          </w:pPr>
          <w:hyperlink w:anchor="_Toc237958335" w:history="1">
            <w:r>
              <w:rPr>
                <w:rStyle w:val="Lienhypertexte"/>
                <w:noProof/>
              </w:rPr>
              <w:t>6. Mise en œuvre dans les SIRH</w:t>
            </w:r>
            <w:r>
              <w:rPr>
                <w:noProof/>
                <w:webHidden/>
              </w:rPr>
              <w:tab/>
            </w:r>
            <w:r>
              <w:rPr>
                <w:noProof/>
                <w:webHidden/>
              </w:rPr>
              <w:fldChar w:fldCharType="begin"/>
            </w:r>
            <w:r>
              <w:rPr>
                <w:noProof/>
                <w:webHidden/>
              </w:rPr>
              <w:instrText xml:space="preserve"> PAGEREF _Toc237958335 \h </w:instrText>
            </w:r>
            <w:r>
              <w:rPr>
                <w:noProof/>
                <w:webHidden/>
              </w:rPr>
            </w:r>
            <w:r>
              <w:rPr>
                <w:noProof/>
                <w:webHidden/>
              </w:rPr>
              <w:fldChar w:fldCharType="separate"/>
            </w:r>
            <w:r>
              <w:rPr>
                <w:noProof/>
                <w:webHidden/>
              </w:rPr>
              <w:t>- 37 -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36" w:history="1">
            <w:r>
              <w:rPr>
                <w:rStyle w:val="Lienhypertexte"/>
                <w:noProof/>
              </w:rPr>
              <w:t>6.1 Mise en œuvre dans l’application PAYSAGE et dans les SI et services RH</w:t>
            </w:r>
            <w:r>
              <w:rPr>
                <w:noProof/>
                <w:webHidden/>
              </w:rPr>
              <w:tab/>
            </w:r>
            <w:r>
              <w:rPr>
                <w:noProof/>
                <w:webHidden/>
              </w:rPr>
              <w:fldChar w:fldCharType="begin"/>
            </w:r>
            <w:r>
              <w:rPr>
                <w:noProof/>
                <w:webHidden/>
              </w:rPr>
              <w:instrText xml:space="preserve"> PAGEREF _Toc237958336 \h </w:instrText>
            </w:r>
            <w:r>
              <w:rPr>
                <w:noProof/>
                <w:webHidden/>
              </w:rPr>
            </w:r>
            <w:r>
              <w:rPr>
                <w:noProof/>
                <w:webHidden/>
              </w:rPr>
              <w:fldChar w:fldCharType="separate"/>
            </w:r>
            <w:r>
              <w:rPr>
                <w:noProof/>
                <w:webHidden/>
              </w:rPr>
              <w:t>- 38 -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37" w:history="1">
            <w:r>
              <w:rPr>
                <w:rStyle w:val="Lienhypertexte"/>
                <w:bCs/>
                <w:noProof/>
              </w:rPr>
              <w:t>6.1.1. Mise en œuvre dans l’application PAYSAGE</w:t>
            </w:r>
            <w:r>
              <w:rPr>
                <w:noProof/>
                <w:webHidden/>
              </w:rPr>
              <w:tab/>
            </w:r>
            <w:r>
              <w:rPr>
                <w:noProof/>
                <w:webHidden/>
              </w:rPr>
              <w:fldChar w:fldCharType="begin"/>
            </w:r>
            <w:r>
              <w:rPr>
                <w:noProof/>
                <w:webHidden/>
              </w:rPr>
              <w:instrText xml:space="preserve"> PAGEREF _Toc237958337 \h </w:instrText>
            </w:r>
            <w:r>
              <w:rPr>
                <w:noProof/>
                <w:webHidden/>
              </w:rPr>
            </w:r>
            <w:r>
              <w:rPr>
                <w:noProof/>
                <w:webHidden/>
              </w:rPr>
              <w:fldChar w:fldCharType="separate"/>
            </w:r>
            <w:r>
              <w:rPr>
                <w:noProof/>
                <w:webHidden/>
              </w:rPr>
              <w:t>- 38 -</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37958338" w:history="1">
            <w:r>
              <w:rPr>
                <w:rStyle w:val="Lienhypertexte"/>
                <w:bCs/>
                <w:noProof/>
              </w:rPr>
              <w:t>6.1.2. Mise en œuvre dans les systèmes d’information (SI) et services RH</w:t>
            </w:r>
            <w:r>
              <w:rPr>
                <w:noProof/>
                <w:webHidden/>
              </w:rPr>
              <w:tab/>
            </w:r>
            <w:r>
              <w:rPr>
                <w:noProof/>
                <w:webHidden/>
              </w:rPr>
              <w:fldChar w:fldCharType="begin"/>
            </w:r>
            <w:r>
              <w:rPr>
                <w:noProof/>
                <w:webHidden/>
              </w:rPr>
              <w:instrText xml:space="preserve"> PAGEREF _Toc237958338 \h </w:instrText>
            </w:r>
            <w:r>
              <w:rPr>
                <w:noProof/>
                <w:webHidden/>
              </w:rPr>
            </w:r>
            <w:r>
              <w:rPr>
                <w:noProof/>
                <w:webHidden/>
              </w:rPr>
              <w:fldChar w:fldCharType="separate"/>
            </w:r>
            <w:r>
              <w:rPr>
                <w:noProof/>
                <w:webHidden/>
              </w:rPr>
              <w:t>- 39 -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39" w:history="1">
            <w:r>
              <w:rPr>
                <w:rStyle w:val="Lienhypertexte"/>
                <w:noProof/>
              </w:rPr>
              <w:t>6.2 Modélisation des données dans le noyau RH FPE</w:t>
            </w:r>
            <w:r>
              <w:rPr>
                <w:noProof/>
                <w:webHidden/>
              </w:rPr>
              <w:tab/>
            </w:r>
            <w:r>
              <w:rPr>
                <w:noProof/>
                <w:webHidden/>
              </w:rPr>
              <w:fldChar w:fldCharType="begin"/>
            </w:r>
            <w:r>
              <w:rPr>
                <w:noProof/>
                <w:webHidden/>
              </w:rPr>
              <w:instrText xml:space="preserve"> PAGEREF _Toc237958339 \h </w:instrText>
            </w:r>
            <w:r>
              <w:rPr>
                <w:noProof/>
                <w:webHidden/>
              </w:rPr>
            </w:r>
            <w:r>
              <w:rPr>
                <w:noProof/>
                <w:webHidden/>
              </w:rPr>
              <w:fldChar w:fldCharType="separate"/>
            </w:r>
            <w:r>
              <w:rPr>
                <w:noProof/>
                <w:webHidden/>
              </w:rPr>
              <w:t>- 39 -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40" w:history="1">
            <w:r>
              <w:rPr>
                <w:rStyle w:val="Lienhypertexte"/>
                <w:noProof/>
              </w:rPr>
              <w:t>6.3 Sélection des règles de gestion des RH</w:t>
            </w:r>
            <w:r>
              <w:rPr>
                <w:noProof/>
                <w:webHidden/>
              </w:rPr>
              <w:tab/>
            </w:r>
            <w:r>
              <w:rPr>
                <w:noProof/>
                <w:webHidden/>
              </w:rPr>
              <w:fldChar w:fldCharType="begin"/>
            </w:r>
            <w:r>
              <w:rPr>
                <w:noProof/>
                <w:webHidden/>
              </w:rPr>
              <w:instrText xml:space="preserve"> PAGEREF _Toc237958340 \h </w:instrText>
            </w:r>
            <w:r>
              <w:rPr>
                <w:noProof/>
                <w:webHidden/>
              </w:rPr>
            </w:r>
            <w:r>
              <w:rPr>
                <w:noProof/>
                <w:webHidden/>
              </w:rPr>
              <w:fldChar w:fldCharType="separate"/>
            </w:r>
            <w:r>
              <w:rPr>
                <w:noProof/>
                <w:webHidden/>
              </w:rPr>
              <w:t>- 40 -</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37958341" w:history="1">
            <w:r>
              <w:rPr>
                <w:rStyle w:val="Lienhypertexte"/>
                <w:noProof/>
              </w:rPr>
              <w:t>6.4 Choix des modèles d’actes</w:t>
            </w:r>
            <w:r>
              <w:rPr>
                <w:noProof/>
                <w:webHidden/>
              </w:rPr>
              <w:tab/>
            </w:r>
            <w:r>
              <w:rPr>
                <w:noProof/>
                <w:webHidden/>
              </w:rPr>
              <w:fldChar w:fldCharType="begin"/>
            </w:r>
            <w:r>
              <w:rPr>
                <w:noProof/>
                <w:webHidden/>
              </w:rPr>
              <w:instrText xml:space="preserve"> PAGEREF _Toc237958341 \h </w:instrText>
            </w:r>
            <w:r>
              <w:rPr>
                <w:noProof/>
                <w:webHidden/>
              </w:rPr>
            </w:r>
            <w:r>
              <w:rPr>
                <w:noProof/>
                <w:webHidden/>
              </w:rPr>
              <w:fldChar w:fldCharType="separate"/>
            </w:r>
            <w:r>
              <w:rPr>
                <w:noProof/>
                <w:webHidden/>
              </w:rPr>
              <w:t>- 40 -</w:t>
            </w:r>
            <w:r>
              <w:rPr>
                <w:noProof/>
                <w:webHidden/>
              </w:rPr>
              <w:fldChar w:fldCharType="end"/>
            </w:r>
          </w:hyperlink>
        </w:p>
        <w:p>
          <w:r>
            <w:rPr>
              <w:b/>
              <w:bCs/>
              <w:sz w:val="24"/>
              <w:szCs w:val="24"/>
            </w:rPr>
            <w:fldChar w:fldCharType="end"/>
          </w:r>
        </w:p>
      </w:sdtContent>
    </w:sdt>
    <w:p>
      <w:pPr>
        <w:rPr>
          <w:rStyle w:val="lev"/>
          <w:bCs w:val="0"/>
        </w:rPr>
      </w:pPr>
      <w:r>
        <w:rPr>
          <w:rStyle w:val="lev"/>
          <w:bCs w:val="0"/>
        </w:rPr>
        <w:br w:type="page"/>
      </w:r>
    </w:p>
    <w:p>
      <w:pPr>
        <w:pStyle w:val="Style1"/>
        <w:rPr>
          <w:rStyle w:val="lev"/>
          <w:b/>
          <w:bCs w:val="0"/>
          <w:color w:val="5770BE"/>
        </w:rPr>
      </w:pPr>
      <w:bookmarkStart w:id="0" w:name="_Toc237958302"/>
      <w:r>
        <w:rPr>
          <w:noProof/>
          <w:color w:val="5770BE"/>
        </w:rPr>
        <mc:AlternateContent>
          <mc:Choice Requires="wps">
            <w:drawing>
              <wp:anchor distT="0" distB="0" distL="114300" distR="114300" simplePos="0" relativeHeight="251940863" behindDoc="1" locked="0" layoutInCell="1" allowOverlap="1">
                <wp:simplePos x="0" y="0"/>
                <wp:positionH relativeFrom="column">
                  <wp:posOffset>-910590</wp:posOffset>
                </wp:positionH>
                <wp:positionV relativeFrom="paragraph">
                  <wp:posOffset>-947420</wp:posOffset>
                </wp:positionV>
                <wp:extent cx="7581900" cy="10906125"/>
                <wp:effectExtent l="0" t="0" r="19050" b="28575"/>
                <wp:wrapNone/>
                <wp:docPr id="196" name="Rectangle 196"/>
                <wp:cNvGraphicFramePr/>
                <a:graphic xmlns:a="http://schemas.openxmlformats.org/drawingml/2006/main">
                  <a:graphicData uri="http://schemas.microsoft.com/office/word/2010/wordprocessingShape">
                    <wps:wsp>
                      <wps:cNvSpPr/>
                      <wps:spPr>
                        <a:xfrm>
                          <a:off x="0" y="0"/>
                          <a:ext cx="7581900" cy="10906125"/>
                        </a:xfrm>
                        <a:prstGeom prst="rect">
                          <a:avLst/>
                        </a:prstGeom>
                        <a:solidFill>
                          <a:schemeClr val="bg1">
                            <a:alpha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96" o:spid="_x0000_s1026" style="position:absolute;margin-left:-71.7pt;margin-top:-74.6pt;width:597pt;height:858.75pt;z-index:-2513756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" fillcolor="white [3212]" strokecolor="#1f3763 [1604]" strokeweight="1pt">
                <v:fill opacity="39321f"/>
              </v:rect>
            </w:pict>
          </mc:Fallback>
        </mc:AlternateContent>
      </w:r>
      <w:r>
        <w:rPr>
          <w:color w:val="5770BE"/>
        </w:rPr>
        <w:t>Contexte</w:t>
      </w:r>
      <w:bookmarkEnd w:id="0"/>
    </w:p>
    <w:p/>
    <w:p>
      <w:pPr>
        <w:spacing w:after="205"/>
        <w:ind w:left="-3" w:right="52"/>
        <w:jc w:val="both"/>
        <w:rPr>
          <w:color w:val="5770BE"/>
        </w:rPr>
      </w:pPr>
      <w:r>
        <w:rPr>
          <w:color w:val="5770BE"/>
        </w:rPr>
        <w:t xml:space="preserve">Le dispositif de rupture conventionnelle prévu dans la fonction publique s’inspire du dispositif existant dans le secteur privé mais sans validation de la rupture conventionnelle par la DREET ou l’inspection du travail. Le montant de l’ISRC prévu dans la fonction publique s’inspire également des montants de rupture conventionnelle versés dans le secteur privé mais avec des dispositions spécifiques sur les assujettissements sociaux et fiscaux. </w:t>
      </w:r>
    </w:p>
    <w:p>
      <w:pPr>
        <w:spacing w:after="267"/>
        <w:ind w:left="-3" w:right="52"/>
        <w:jc w:val="both"/>
        <w:rPr>
          <w:color w:val="5770BE"/>
        </w:rPr>
      </w:pPr>
      <w:r>
        <w:rPr>
          <w:color w:val="5770BE"/>
        </w:rPr>
        <w:t>À la suite de l’entrée en vigueur de la loi de finances pour 2026, le dispositif de rupture conventionnelle pour les fonctionnaires des trois versants de la fonction publique est pérennisé et codifié pour les fonctionnaires depuis le 21 février 2026 en application de l’art. 173 de la loi de finances n°2026-103 du 19 février 2026. Ce dispositif est inscrit aux </w:t>
      </w:r>
      <w:hyperlink r:id="rId12" w:anchor="LEGISCTA000044425190" w:tgtFrame="_blank" w:tooltip="Lien externe - articles L.552-1 à L.552-4 du code général de la fonction publique - Dans un nouvel onglet" w:history="1">
        <w:r>
          <w:rPr>
            <w:color w:val="5770BE"/>
          </w:rPr>
          <w:t>articles L.552-1 à L.552-4 du code général de la fonction publique</w:t>
        </w:r>
      </w:hyperlink>
      <w:r>
        <w:rPr>
          <w:color w:val="5770BE"/>
        </w:rPr>
        <w:t xml:space="preserve"> (CGFP). Il était d’ores et déjà pérenne depuis le 1</w:t>
      </w:r>
      <w:r>
        <w:rPr>
          <w:color w:val="5770BE"/>
          <w:vertAlign w:val="superscript"/>
        </w:rPr>
        <w:t>er</w:t>
      </w:r>
      <w:r>
        <w:rPr>
          <w:color w:val="5770BE"/>
        </w:rPr>
        <w:t xml:space="preserve"> janvier 2020 pour les agents contractuels recrutés sur un contrat à durée indéterminée (</w:t>
      </w:r>
      <w:hyperlink r:id="rId13" w:tgtFrame="_blank" w:tooltip="Lien externe - article L.552-5 du même code - Dans un nouvel onglet" w:history="1">
        <w:r>
          <w:rPr>
            <w:color w:val="5770BE"/>
          </w:rPr>
          <w:t>article L.552-5 du CGFP</w:t>
        </w:r>
      </w:hyperlink>
      <w:r>
        <w:rPr>
          <w:color w:val="5770BE"/>
        </w:rPr>
        <w:t>).</w:t>
      </w:r>
    </w:p>
    <w:p>
      <w:pPr>
        <w:pStyle w:val="NormalWeb"/>
        <w:jc w:val="both"/>
        <w:rPr>
          <w:rFonts w:ascii="Marianne" w:eastAsiaTheme="minorHAnsi" w:hAnsi="Marianne" w:cstheme="minorBidi"/>
          <w:color w:val="5770BE"/>
          <w:sz w:val="20"/>
          <w:szCs w:val="22"/>
          <w:lang w:eastAsia="en-US"/>
        </w:rPr>
      </w:pPr>
      <w:r>
        <w:rPr>
          <w:rFonts w:ascii="Marianne" w:eastAsiaTheme="minorHAnsi" w:hAnsi="Marianne" w:cstheme="minorBidi"/>
          <w:color w:val="5770BE"/>
          <w:sz w:val="20"/>
          <w:szCs w:val="22"/>
          <w:lang w:eastAsia="en-US"/>
        </w:rPr>
        <w:t>Pour mémoire, ce dispositif s’inscrit dans l’objectif du Gouvernement de favoriser la fluidité des carrières entre les secteurs public et privé, en permettant à un agent public et à son employeur de convenir d’un commun accord de la fin de leur relation de travail. Ainsi, les fonctionnaires comme les agents contractuels, qui ont un projet professionnel, peuvent demander à quitter la fonction publique, entraînant leur radiation des cadres ou la fin de leur contrat, pour le mettre en œuvre de façon amiable et dans de bonnes conditions d’accompagnement. </w:t>
      </w:r>
    </w:p>
    <w:p>
      <w:pPr>
        <w:spacing w:after="238"/>
        <w:ind w:left="-3" w:right="52"/>
        <w:jc w:val="both"/>
        <w:rPr>
          <w:color w:val="5770BE"/>
        </w:rPr>
      </w:pPr>
      <w:r>
        <w:rPr>
          <w:color w:val="5770BE"/>
        </w:rPr>
        <w:t xml:space="preserve">Ce guide présente l’indemnité spécifique pouvant être accordée aux agents publics de l’Etat qui font l’objet d’une rupture conventionnelle et en précise la procédure d’attribution. </w:t>
      </w:r>
    </w:p>
    <w:p>
      <w:pPr>
        <w:jc w:val="both"/>
        <w:rPr>
          <w:color w:val="5770BE"/>
        </w:rPr>
      </w:pPr>
      <w:r>
        <w:rPr>
          <w:color w:val="5770BE"/>
        </w:rPr>
        <w:t>L’indemnité de rupture conventionnelle sera désignée sous l’acronyme ISRC</w:t>
      </w:r>
      <w:r>
        <w:t>.</w:t>
      </w:r>
    </w:p>
    <w:p/>
    <w:p>
      <w:r>
        <w:br w:type="page"/>
      </w:r>
    </w:p>
    <w:p>
      <w:pPr>
        <w:pStyle w:val="Titre1"/>
      </w:pPr>
      <w:bookmarkStart w:id="1" w:name="_Toc203646658"/>
      <w:bookmarkStart w:id="2" w:name="_Toc237958303"/>
      <w:r>
        <w:rPr>
          <w:noProof/>
          <w:sz w:val="84"/>
          <w:szCs w:val="84"/>
        </w:rPr>
        <mc:AlternateContent>
          <mc:Choice Requires="wps">
            <w:drawing>
              <wp:anchor distT="0" distB="0" distL="114300" distR="114300" simplePos="0" relativeHeight="251956224" behindDoc="1" locked="0" layoutInCell="1" allowOverlap="1">
                <wp:simplePos x="0" y="0"/>
                <wp:positionH relativeFrom="column">
                  <wp:posOffset>-733425</wp:posOffset>
                </wp:positionH>
                <wp:positionV relativeFrom="paragraph">
                  <wp:posOffset>-901065</wp:posOffset>
                </wp:positionV>
                <wp:extent cx="7581900" cy="10906125"/>
                <wp:effectExtent l="0" t="0" r="19050" b="28575"/>
                <wp:wrapNone/>
                <wp:docPr id="197" name="Rectangle 197"/>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97" o:spid="_x0000_s1026" style="position:absolute;margin-left:-57.75pt;margin-top:-70.95pt;width:597pt;height:858.75pt;z-index:-25136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" fillcolor="#91ae4f" strokecolor="#1f3763 [1604]" strokeweight="1pt">
                <v:fill opacity="39321f"/>
              </v:rect>
            </w:pict>
          </mc:Fallback>
        </mc:AlternateContent>
      </w:r>
      <w:bookmarkEnd w:id="1"/>
      <w:bookmarkEnd w:id="2"/>
    </w:p>
    <w:p>
      <w:pPr>
        <w:pStyle w:val="Titre1"/>
      </w:pPr>
    </w:p>
    <w:p>
      <w:pPr>
        <w:pStyle w:val="Titre1"/>
        <w:jc w:val="center"/>
        <w:rPr>
          <w:sz w:val="84"/>
          <w:szCs w:val="84"/>
        </w:rPr>
      </w:pPr>
    </w:p>
    <w:p>
      <w:pPr>
        <w:pStyle w:val="Style1"/>
        <w:jc w:val="right"/>
        <w:rPr>
          <w:sz w:val="22"/>
          <w:szCs w:val="24"/>
        </w:rPr>
      </w:pPr>
      <w:bookmarkStart w:id="3" w:name="_Toc203646659"/>
      <w:bookmarkStart w:id="4" w:name="_Toc237958304"/>
      <w:r>
        <w:t>1. Généralités</w:t>
      </w:r>
      <w:bookmarkEnd w:id="3"/>
      <w:bookmarkEnd w:id="4"/>
      <w:r>
        <w:br w:type="page"/>
      </w:r>
    </w:p>
    <w:p>
      <w:pPr>
        <w:pStyle w:val="Style2"/>
        <w:ind w:left="426"/>
      </w:pPr>
      <w:bookmarkStart w:id="5" w:name="_Toc237958305"/>
      <w:r>
        <w:rPr>
          <w:noProof/>
        </w:rPr>
        <mc:AlternateContent>
          <mc:Choice Requires="wps">
            <w:drawing>
              <wp:anchor distT="0" distB="0" distL="114300" distR="114300" simplePos="0" relativeHeight="251669504"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39" name="Larm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39" o:spid="_x0000_s1026" alt="&quot;&quot;" style="position:absolute;margin-left:-24.45pt;margin-top:3.95pt;width:43.35pt;height:45.35pt;rotation:11557929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1.1 Présentation générale</w:t>
      </w:r>
      <w:bookmarkEnd w:id="5"/>
      <w:r>
        <w:t xml:space="preserve"> </w:t>
      </w:r>
    </w:p>
    <w:p/>
    <w:p/>
    <w:p>
      <w:pPr>
        <w:spacing w:after="227"/>
        <w:ind w:left="-3" w:right="52"/>
        <w:jc w:val="both"/>
        <w:rPr>
          <w:rFonts w:cs="Times New Roman"/>
          <w:sz w:val="22"/>
        </w:rPr>
      </w:pPr>
      <w:r>
        <w:rPr>
          <w:rFonts w:cs="Times New Roman"/>
          <w:sz w:val="22"/>
        </w:rPr>
        <w:t xml:space="preserve">L’administration et un agent public peuvent convenir d’un </w:t>
      </w:r>
      <w:r>
        <w:rPr>
          <w:rFonts w:cs="Times New Roman"/>
          <w:b/>
          <w:bCs/>
          <w:sz w:val="22"/>
        </w:rPr>
        <w:t>commun accord de la fin de leur relation de travail</w:t>
      </w:r>
      <w:r>
        <w:rPr>
          <w:rFonts w:cs="Times New Roman"/>
          <w:sz w:val="22"/>
        </w:rPr>
        <w:t xml:space="preserve">. Ouvert dans les 3 versants de la fonction publique (Etat, territoriale et hospitalière), ce dispositif constitue </w:t>
      </w:r>
      <w:r>
        <w:rPr>
          <w:rFonts w:cs="Times New Roman"/>
          <w:b/>
          <w:bCs/>
          <w:sz w:val="22"/>
        </w:rPr>
        <w:t>un procédé de cessation de fonctions pour les fonctionnaires</w:t>
      </w:r>
      <w:r>
        <w:rPr>
          <w:rFonts w:cs="Times New Roman"/>
          <w:sz w:val="22"/>
        </w:rPr>
        <w:t xml:space="preserve"> et un mode de rupture du contrat pour les agents contractuels recrutés sur un contrat à durée indéterminée.</w:t>
      </w:r>
    </w:p>
    <w:p>
      <w:pPr>
        <w:spacing w:after="227"/>
        <w:ind w:left="-3" w:right="52"/>
        <w:jc w:val="both"/>
        <w:rPr>
          <w:rFonts w:cs="Times New Roman"/>
          <w:sz w:val="22"/>
        </w:rPr>
      </w:pPr>
      <w:r>
        <w:rPr>
          <w:rFonts w:cs="Times New Roman"/>
          <w:sz w:val="22"/>
        </w:rPr>
        <w:t>Ce dispositif est également ouvert, en application du IV de l’article 173 de la loi n°2026-103 du 19 février 2026 de finances, aux ouvriers d’Etat affiliés au régime de retraite des pensions des ouvriers des établissements industriels de l’Etat (FSPOEIE).</w:t>
      </w:r>
    </w:p>
    <w:p>
      <w:pPr>
        <w:spacing w:after="227"/>
        <w:ind w:left="-3" w:right="52"/>
        <w:jc w:val="both"/>
        <w:rPr>
          <w:rFonts w:cs="Times New Roman"/>
          <w:sz w:val="22"/>
        </w:rPr>
      </w:pPr>
      <w:r>
        <w:rPr>
          <w:rFonts w:cs="Times New Roman"/>
          <w:sz w:val="22"/>
        </w:rPr>
        <w:t xml:space="preserve">Le versement d’une ISRC est prévu aux articles L.552-1 et suivants du CGFP. </w:t>
      </w:r>
    </w:p>
    <w:p>
      <w:pPr>
        <w:spacing w:after="211" w:line="284" w:lineRule="auto"/>
        <w:ind w:left="-3"/>
        <w:jc w:val="both"/>
        <w:rPr>
          <w:rFonts w:cs="Times New Roman"/>
          <w:sz w:val="22"/>
        </w:rPr>
      </w:pPr>
      <w:r>
        <w:rPr>
          <w:rFonts w:cs="Times New Roman"/>
          <w:sz w:val="22"/>
        </w:rPr>
        <w:t xml:space="preserve">Les modalités d’application de ce dispositif sont fixées par les décrets du 31 décembre 2019 n° 2019-1593 relatif à la procédure de rupture conventionnelle dans la fonction publique et n° 2019-1596 relatif à l’indemnité spécifique de rupture conventionnelle dans la fonction publique et portant diverses dispositions relatives aux dispositifs indemnitaires d’accompagnement des agents dans leurs transitions professionnelles. L’article L.552-1 du CGFP prévoit que la rupture conventionnelle suit les trois modalités suivantes : </w:t>
      </w:r>
    </w:p>
    <w:p>
      <w:pPr>
        <w:numPr>
          <w:ilvl w:val="1"/>
          <w:numId w:val="17"/>
        </w:numPr>
        <w:spacing w:after="60" w:line="271" w:lineRule="auto"/>
        <w:ind w:right="855" w:hanging="360"/>
        <w:jc w:val="both"/>
        <w:rPr>
          <w:rFonts w:cs="Times New Roman"/>
          <w:sz w:val="22"/>
        </w:rPr>
      </w:pPr>
      <w:r>
        <w:rPr>
          <w:rFonts w:cs="Times New Roman"/>
          <w:sz w:val="22"/>
        </w:rPr>
        <w:t>Elle peut avoir pour origine une demande de l’agent ou de l’administration ;</w:t>
      </w:r>
    </w:p>
    <w:p>
      <w:pPr>
        <w:numPr>
          <w:ilvl w:val="1"/>
          <w:numId w:val="17"/>
        </w:numPr>
        <w:spacing w:after="60" w:line="271" w:lineRule="auto"/>
        <w:ind w:right="855" w:hanging="360"/>
        <w:jc w:val="both"/>
        <w:rPr>
          <w:rFonts w:cs="Times New Roman"/>
          <w:sz w:val="22"/>
        </w:rPr>
      </w:pPr>
      <w:r>
        <w:rPr>
          <w:rFonts w:cs="Times New Roman"/>
          <w:sz w:val="22"/>
        </w:rPr>
        <w:t>Elle ne peut être imposée à l’une ou l’autre des parties ;</w:t>
      </w:r>
    </w:p>
    <w:p>
      <w:pPr>
        <w:numPr>
          <w:ilvl w:val="1"/>
          <w:numId w:val="17"/>
        </w:numPr>
        <w:spacing w:after="155" w:line="329" w:lineRule="auto"/>
        <w:ind w:right="855" w:hanging="360"/>
        <w:jc w:val="both"/>
        <w:rPr>
          <w:rFonts w:cs="Times New Roman"/>
          <w:sz w:val="22"/>
        </w:rPr>
      </w:pPr>
      <w:r>
        <w:rPr>
          <w:rFonts w:cs="Times New Roman"/>
          <w:sz w:val="22"/>
        </w:rPr>
        <w:t xml:space="preserve">Elle résulte d’une convention signée des deux parties, convention qui prévoit notamment le montant de l’ISRC. </w:t>
      </w:r>
    </w:p>
    <w:p>
      <w:pPr>
        <w:jc w:val="both"/>
        <w:rPr>
          <w:rFonts w:cs="Times New Roman"/>
          <w:sz w:val="22"/>
        </w:rPr>
      </w:pPr>
      <w:r>
        <w:rPr>
          <w:rFonts w:cs="Times New Roman"/>
          <w:sz w:val="22"/>
        </w:rPr>
        <w:t xml:space="preserve">La rupture conventionnelle entraine la cessation définitive de fonctions de l’agent dans l’administration (radiation des cadres et perte de la qualité de fonctionnaire) et ouvre droit aux allocations chômage sous réserve d’en remplir les conditions d’attribution. </w:t>
      </w:r>
    </w:p>
    <w:p>
      <w:pPr>
        <w:jc w:val="both"/>
        <w:rPr>
          <w:rFonts w:cs="Times New Roman"/>
          <w:sz w:val="22"/>
        </w:rPr>
      </w:pPr>
      <w:r>
        <w:rPr>
          <w:rFonts w:cs="Times New Roman"/>
          <w:sz w:val="22"/>
        </w:rPr>
        <w:t>La loi n° 2026-103 du 19 février 2026 intègre la généralisation de la rupture conventionnelle (article 173). La seconde mesure est la pérennisation de la rupture conventionnelle individuelle, dont l’expérimentation prévue par la loi de transformation de la fonction publique de 2019 est arrivée à terme le 31 décembre.</w:t>
      </w:r>
    </w:p>
    <w:p/>
    <w:p>
      <w:r>
        <w:rPr>
          <w:noProof/>
        </w:rPr>
        <mc:AlternateContent>
          <mc:Choice Requires="wps">
            <w:drawing>
              <wp:anchor distT="0" distB="0" distL="114300" distR="114300" simplePos="0" relativeHeight="252019712" behindDoc="0" locked="0" layoutInCell="1" allowOverlap="1">
                <wp:simplePos x="0" y="0"/>
                <wp:positionH relativeFrom="column">
                  <wp:posOffset>-308759</wp:posOffset>
                </wp:positionH>
                <wp:positionV relativeFrom="paragraph">
                  <wp:posOffset>267714</wp:posOffset>
                </wp:positionV>
                <wp:extent cx="550684" cy="576000"/>
                <wp:effectExtent l="19050" t="0" r="1905" b="33655"/>
                <wp:wrapNone/>
                <wp:docPr id="5" name="Larm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5" o:spid="_x0000_s1026" alt="&quot;&quot;" style="position:absolute;margin-left:-24.3pt;margin-top:21.1pt;width:43.35pt;height:45.35pt;rotation:11557929fd;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p>
    <w:p>
      <w:pPr>
        <w:pStyle w:val="Style2"/>
        <w:ind w:left="567"/>
      </w:pPr>
      <w:bookmarkStart w:id="6" w:name="_Toc237958306"/>
      <w:r>
        <w:t>1.2 Les textes de références</w:t>
      </w:r>
      <w:bookmarkEnd w:id="6"/>
      <w:r>
        <w:t xml:space="preserve"> </w:t>
      </w:r>
    </w:p>
    <w:p>
      <w:pPr>
        <w:jc w:val="both"/>
        <w:rPr>
          <w:sz w:val="22"/>
        </w:rPr>
      </w:pPr>
    </w:p>
    <w:p>
      <w:pPr>
        <w:spacing w:after="34"/>
        <w:ind w:left="-3" w:right="52"/>
        <w:rPr>
          <w:rFonts w:cs="Times New Roman"/>
          <w:sz w:val="22"/>
        </w:rPr>
      </w:pPr>
      <w:r>
        <w:rPr>
          <w:rFonts w:cs="Times New Roman"/>
          <w:sz w:val="22"/>
        </w:rPr>
        <w:t>Se référer au guide de la DGAFP :</w:t>
      </w:r>
    </w:p>
    <w:p>
      <w:pPr>
        <w:spacing w:after="34"/>
        <w:ind w:left="-3" w:right="52"/>
        <w:rPr>
          <w:rStyle w:val="Lienhypertexte"/>
        </w:rPr>
      </w:pPr>
      <w:hyperlink r:id="rId14" w:history="1">
        <w:r>
          <w:rPr>
            <w:rStyle w:val="Lienhypertexte"/>
          </w:rPr>
          <w:t>Guide_Chomage_2021_WEB.pdf (fonction-publique.gouv.fr)</w:t>
        </w:r>
      </w:hyperlink>
    </w:p>
    <w:p>
      <w:pPr>
        <w:spacing w:after="34"/>
        <w:ind w:left="-3" w:right="52"/>
        <w:rPr>
          <w:rStyle w:val="Lienhypertexte"/>
        </w:rPr>
      </w:pPr>
    </w:p>
    <w:p>
      <w:pPr>
        <w:spacing w:after="34"/>
        <w:ind w:left="-3" w:right="52"/>
        <w:rPr>
          <w:rFonts w:cs="Times New Roman"/>
          <w:sz w:val="22"/>
        </w:rPr>
      </w:pPr>
      <w:r>
        <w:rPr>
          <w:rFonts w:cs="Times New Roman"/>
          <w:sz w:val="22"/>
        </w:rPr>
        <w:t xml:space="preserve">Se référer à la circulaire de la DGAFP du 7 août 2026 relative au dispositif de rupture conventionnelle dans la fonction publique (NOR : CPPF2619494C) : </w:t>
      </w:r>
    </w:p>
    <w:p>
      <w:pPr>
        <w:spacing w:after="34"/>
        <w:ind w:right="52"/>
        <w:rPr>
          <w:rStyle w:val="Lienhypertexte"/>
        </w:rPr>
      </w:pPr>
      <w:hyperlink r:id="rId15" w:history="1">
        <w:r>
          <w:rPr>
            <w:rStyle w:val="Lienhypertexte"/>
          </w:rPr>
          <w:t>https://www.fonction-publique.gouv.fr/files/files/droit-de-la-fonction-publique/CPPF2619494C_0_0.pdf</w:t>
        </w:r>
      </w:hyperlink>
    </w:p>
    <w:p>
      <w:pPr>
        <w:spacing w:after="34"/>
        <w:ind w:left="-3" w:right="52"/>
        <w:rPr>
          <w:rFonts w:cs="Times New Roman"/>
          <w:sz w:val="22"/>
        </w:rPr>
      </w:pPr>
    </w:p>
    <w:p>
      <w:pPr>
        <w:spacing w:after="34"/>
        <w:ind w:left="-3" w:right="52"/>
        <w:rPr>
          <w:rFonts w:cs="Times New Roman"/>
          <w:sz w:val="22"/>
        </w:rPr>
      </w:pPr>
    </w:p>
    <w:p>
      <w:pPr>
        <w:spacing w:after="34"/>
        <w:ind w:left="-3" w:right="52"/>
        <w:rPr>
          <w:rFonts w:cs="Times New Roman"/>
          <w:sz w:val="22"/>
        </w:rPr>
      </w:pPr>
      <w:r>
        <w:rPr>
          <w:rFonts w:cs="Times New Roman"/>
          <w:sz w:val="22"/>
        </w:rPr>
        <w:t>Textes de référence :</w:t>
      </w:r>
    </w:p>
    <w:p>
      <w:pPr>
        <w:pStyle w:val="Paragraphedeliste"/>
        <w:numPr>
          <w:ilvl w:val="0"/>
          <w:numId w:val="19"/>
        </w:numPr>
        <w:spacing w:after="34"/>
        <w:ind w:right="52"/>
        <w:jc w:val="both"/>
        <w:rPr>
          <w:rFonts w:cs="Times New Roman"/>
          <w:sz w:val="22"/>
        </w:rPr>
      </w:pPr>
      <w:r>
        <w:rPr>
          <w:rFonts w:cs="Times New Roman"/>
          <w:sz w:val="22"/>
        </w:rPr>
        <w:t>Articles L.552-1 à L.552-5 du code général de la fonction publique</w:t>
      </w:r>
    </w:p>
    <w:p>
      <w:pPr>
        <w:pStyle w:val="Paragraphedeliste"/>
        <w:numPr>
          <w:ilvl w:val="0"/>
          <w:numId w:val="19"/>
        </w:numPr>
        <w:spacing w:after="34"/>
        <w:ind w:right="52"/>
        <w:jc w:val="both"/>
        <w:rPr>
          <w:rFonts w:cs="Times New Roman"/>
          <w:sz w:val="22"/>
        </w:rPr>
      </w:pPr>
      <w:r>
        <w:rPr>
          <w:rFonts w:cs="Times New Roman"/>
          <w:sz w:val="22"/>
        </w:rPr>
        <w:t>Article 173 de la loi n°2026-103 du 19 février 2026 de finances pour 2026</w:t>
      </w:r>
    </w:p>
    <w:p>
      <w:pPr>
        <w:pStyle w:val="Paragraphedeliste"/>
        <w:numPr>
          <w:ilvl w:val="0"/>
          <w:numId w:val="19"/>
        </w:numPr>
        <w:spacing w:after="34"/>
        <w:ind w:right="52"/>
        <w:jc w:val="both"/>
        <w:rPr>
          <w:rFonts w:cs="Times New Roman"/>
          <w:sz w:val="22"/>
        </w:rPr>
      </w:pPr>
      <w:r>
        <w:rPr>
          <w:rFonts w:cs="Times New Roman"/>
          <w:sz w:val="22"/>
        </w:rPr>
        <w:t>Décret n°2026-745 du 6 août 2026 relatif à la procédure de rupture conventionnelle dans la fonction publique</w:t>
      </w:r>
    </w:p>
    <w:p>
      <w:pPr>
        <w:pStyle w:val="Paragraphedeliste"/>
        <w:numPr>
          <w:ilvl w:val="0"/>
          <w:numId w:val="19"/>
        </w:numPr>
        <w:spacing w:after="34"/>
        <w:ind w:right="52"/>
        <w:jc w:val="both"/>
        <w:rPr>
          <w:rFonts w:cs="Times New Roman"/>
          <w:sz w:val="22"/>
        </w:rPr>
      </w:pPr>
      <w:r>
        <w:rPr>
          <w:rFonts w:cs="Times New Roman"/>
          <w:sz w:val="22"/>
        </w:rPr>
        <w:t>Décret n°2026-746 du 6 août 2026 modifiant le décret n°2019-1596 du 31 décembre 2019 relatif à l’indemnité spécifique de rupture conventionnelle dans la fonction publique et portant diverses dispositions relatives aux dispositifs indemnitaires d’accompagnement des agents dans leurs transitions professionnelles</w:t>
      </w:r>
    </w:p>
    <w:p>
      <w:pPr>
        <w:pStyle w:val="Paragraphedeliste"/>
        <w:numPr>
          <w:ilvl w:val="0"/>
          <w:numId w:val="19"/>
        </w:numPr>
        <w:spacing w:after="34"/>
        <w:ind w:right="52"/>
        <w:jc w:val="both"/>
        <w:rPr>
          <w:rFonts w:cs="Times New Roman"/>
          <w:sz w:val="22"/>
        </w:rPr>
      </w:pPr>
      <w:r>
        <w:rPr>
          <w:rFonts w:cs="Times New Roman"/>
          <w:sz w:val="22"/>
        </w:rPr>
        <w:t>Arrêté du 6 août 2026 fixant les modèles de convention de rupture conventionnelle prévus par le décret n°2019-1593 du 31 décembre 2019 relatif à la procédure de rupture conventionnelle dans la fonction publique</w:t>
      </w:r>
    </w:p>
    <w:p>
      <w:pPr>
        <w:pStyle w:val="Paragraphedeliste"/>
        <w:numPr>
          <w:ilvl w:val="0"/>
          <w:numId w:val="19"/>
        </w:numPr>
        <w:spacing w:after="34"/>
        <w:ind w:right="52"/>
        <w:jc w:val="both"/>
        <w:rPr>
          <w:rFonts w:cs="Times New Roman"/>
          <w:sz w:val="22"/>
        </w:rPr>
      </w:pPr>
      <w:r>
        <w:rPr>
          <w:rFonts w:cs="Times New Roman"/>
          <w:sz w:val="22"/>
        </w:rPr>
        <w:t xml:space="preserve">Décret n° 86-83 du 17 janvier 1986 modifié relatif aux dispositions générales applicables aux agents contractuels de l’Etat </w:t>
      </w:r>
    </w:p>
    <w:p>
      <w:pPr>
        <w:jc w:val="both"/>
        <w:rPr>
          <w:rFonts w:cs="Times New Roman"/>
          <w:sz w:val="22"/>
        </w:rPr>
      </w:pPr>
    </w:p>
    <w:p>
      <w:pPr>
        <w:jc w:val="both"/>
        <w:rPr>
          <w:rFonts w:cs="Times New Roman"/>
          <w:sz w:val="22"/>
        </w:rPr>
      </w:pPr>
    </w:p>
    <w:p>
      <w:pPr>
        <w:spacing w:after="34"/>
        <w:ind w:left="-3" w:right="52"/>
        <w:rPr>
          <w:rFonts w:cs="Times New Roman"/>
          <w:sz w:val="22"/>
        </w:rPr>
      </w:pPr>
      <w:r>
        <w:rPr>
          <w:rFonts w:cs="Times New Roman"/>
          <w:sz w:val="22"/>
        </w:rPr>
        <w:t>Textes modifiés :</w:t>
      </w:r>
    </w:p>
    <w:p>
      <w:pPr>
        <w:pStyle w:val="Paragraphedeliste"/>
        <w:numPr>
          <w:ilvl w:val="0"/>
          <w:numId w:val="19"/>
        </w:numPr>
        <w:spacing w:after="34"/>
        <w:ind w:right="52"/>
        <w:jc w:val="both"/>
        <w:rPr>
          <w:rFonts w:cs="Times New Roman"/>
          <w:sz w:val="22"/>
        </w:rPr>
      </w:pPr>
      <w:r>
        <w:rPr>
          <w:rFonts w:cs="Times New Roman"/>
          <w:sz w:val="22"/>
        </w:rPr>
        <w:t>Décret n°2019-1593 du 31 décembre 2019 relatif à la procédure de rupture conventionnelle dans la fonction publique</w:t>
      </w:r>
    </w:p>
    <w:p>
      <w:pPr>
        <w:pStyle w:val="Paragraphedeliste"/>
        <w:numPr>
          <w:ilvl w:val="0"/>
          <w:numId w:val="19"/>
        </w:numPr>
        <w:spacing w:after="34"/>
        <w:ind w:right="52"/>
        <w:jc w:val="both"/>
        <w:rPr>
          <w:rFonts w:cs="Times New Roman"/>
          <w:sz w:val="22"/>
        </w:rPr>
      </w:pPr>
      <w:r>
        <w:rPr>
          <w:rFonts w:cs="Times New Roman"/>
          <w:sz w:val="22"/>
        </w:rPr>
        <w:t>Décret n°2019-1596 du 31 décembre 2019 relatif à l’indemnité spécifique de rupture conventionnelle dans la fonction publique et portant diverses dispositions relatives aux dispositifs indemnitaires d’accompagnement des agents dans leurs transitions professionnelles</w:t>
      </w:r>
    </w:p>
    <w:p>
      <w:pPr>
        <w:pStyle w:val="Paragraphedeliste"/>
        <w:numPr>
          <w:ilvl w:val="0"/>
          <w:numId w:val="19"/>
        </w:numPr>
        <w:spacing w:after="34"/>
        <w:ind w:right="52"/>
        <w:jc w:val="both"/>
        <w:rPr>
          <w:rFonts w:cs="Times New Roman"/>
          <w:sz w:val="22"/>
        </w:rPr>
      </w:pPr>
      <w:r>
        <w:rPr>
          <w:rFonts w:cs="Times New Roman"/>
          <w:sz w:val="22"/>
        </w:rPr>
        <w:t>Arrêté du 6 février 2020 fixant les modèles de convention de rupture conventionnelle prévus par le décret n°2019-1593 du 31 décembre 2019 relatif à la procédure de rupture conventionnelle dans la fonction publique</w:t>
      </w:r>
    </w:p>
    <w:p>
      <w:pPr>
        <w:spacing w:after="34"/>
        <w:ind w:left="357" w:right="52"/>
        <w:jc w:val="both"/>
        <w:rPr>
          <w:rFonts w:cs="Times New Roman"/>
          <w:sz w:val="22"/>
          <w:highlight w:val="yellow"/>
        </w:rPr>
      </w:pPr>
    </w:p>
    <w:p>
      <w:pPr>
        <w:jc w:val="both"/>
        <w:rPr>
          <w:rFonts w:cs="Times New Roman"/>
          <w:sz w:val="22"/>
        </w:rPr>
      </w:pPr>
    </w:p>
    <w:p>
      <w:pPr>
        <w:jc w:val="both"/>
        <w:rPr>
          <w:rFonts w:cs="Times New Roman"/>
          <w:sz w:val="22"/>
        </w:rPr>
      </w:pPr>
    </w:p>
    <w:p>
      <w:bookmarkStart w:id="7" w:name="_Toc152165605"/>
      <w:r>
        <w:t>L</w:t>
      </w:r>
      <w:r>
        <w:br w:type="page"/>
      </w:r>
    </w:p>
    <w:bookmarkEnd w:id="7"/>
    <w:p>
      <w:pPr>
        <w:rPr>
          <w:i/>
          <w:iCs/>
          <w:sz w:val="22"/>
          <w:szCs w:val="24"/>
        </w:rPr>
      </w:pPr>
    </w:p>
    <w:p>
      <w:pPr>
        <w:jc w:val="both"/>
        <w:rPr>
          <w:i/>
          <w:iCs/>
          <w:sz w:val="22"/>
          <w:szCs w:val="24"/>
        </w:rPr>
      </w:pPr>
      <w:r>
        <w:rPr>
          <w:noProof/>
          <w:sz w:val="84"/>
          <w:szCs w:val="84"/>
        </w:rPr>
        <mc:AlternateContent>
          <mc:Choice Requires="wps">
            <w:drawing>
              <wp:anchor distT="0" distB="0" distL="114300" distR="114300" simplePos="0" relativeHeight="251972608" behindDoc="1" locked="0" layoutInCell="1" allowOverlap="1">
                <wp:simplePos x="0" y="0"/>
                <wp:positionH relativeFrom="column">
                  <wp:posOffset>-742950</wp:posOffset>
                </wp:positionH>
                <wp:positionV relativeFrom="paragraph">
                  <wp:posOffset>-899160</wp:posOffset>
                </wp:positionV>
                <wp:extent cx="7581900" cy="10906125"/>
                <wp:effectExtent l="0" t="0" r="19050" b="28575"/>
                <wp:wrapNone/>
                <wp:docPr id="206" name="Rectangle 206"/>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06" o:spid="_x0000_s1026" style="position:absolute;margin-left:-58.5pt;margin-top:-70.8pt;width:597pt;height:858.75pt;z-index:-25134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" fillcolor="#91ae4f" strokecolor="#1f3763 [1604]" strokeweight="1pt">
                <v:fill opacity="39321f"/>
              </v:rect>
            </w:pict>
          </mc:Fallback>
        </mc:AlternateContent>
      </w:r>
    </w:p>
    <w:p>
      <w:pPr>
        <w:pStyle w:val="Titre1"/>
      </w:pPr>
    </w:p>
    <w:p>
      <w:pPr>
        <w:pStyle w:val="Style1"/>
        <w:jc w:val="right"/>
      </w:pPr>
      <w:bookmarkStart w:id="8" w:name="_Toc237958307"/>
      <w:r>
        <w:t>2. Périmètre /</w:t>
      </w:r>
      <w:r>
        <w:br/>
        <w:t>Populations concernées</w:t>
      </w:r>
      <w:bookmarkEnd w:id="8"/>
    </w:p>
    <w:p>
      <w:pPr>
        <w:rPr>
          <w:sz w:val="22"/>
          <w:szCs w:val="24"/>
        </w:rPr>
      </w:pPr>
      <w:r>
        <w:rPr>
          <w:sz w:val="22"/>
          <w:szCs w:val="24"/>
        </w:rPr>
        <w:br w:type="page"/>
      </w:r>
    </w:p>
    <w:p>
      <w:pPr>
        <w:pStyle w:val="Style2"/>
        <w:ind w:left="567"/>
      </w:pPr>
      <w:bookmarkStart w:id="9" w:name="_Toc237958308"/>
      <w:r>
        <w:rPr>
          <w:noProof/>
        </w:rPr>
        <mc:AlternateContent>
          <mc:Choice Requires="wps">
            <w:drawing>
              <wp:anchor distT="0" distB="0" distL="114300" distR="114300" simplePos="0" relativeHeight="251974656" behindDoc="0" locked="0" layoutInCell="1" allowOverlap="1">
                <wp:simplePos x="0" y="0"/>
                <wp:positionH relativeFrom="column">
                  <wp:posOffset>-352426</wp:posOffset>
                </wp:positionH>
                <wp:positionV relativeFrom="paragraph">
                  <wp:posOffset>1</wp:posOffset>
                </wp:positionV>
                <wp:extent cx="550684" cy="576000"/>
                <wp:effectExtent l="19050" t="0" r="1905" b="14605"/>
                <wp:wrapNone/>
                <wp:docPr id="207" name="Larm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07" o:spid="_x0000_s1026" alt="&quot;&quot;" style="position:absolute;margin-left:-27.75pt;margin-top:0;width:43.35pt;height:45.35pt;rotation:180;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2.1 Populations éligibles à la rupture conventionnelle</w:t>
      </w:r>
      <w:bookmarkEnd w:id="9"/>
      <w:r>
        <w:t xml:space="preserve"> </w:t>
      </w:r>
    </w:p>
    <w:p>
      <w:pPr>
        <w:jc w:val="both"/>
      </w:pPr>
    </w:p>
    <w:p>
      <w:pPr>
        <w:overflowPunct w:val="0"/>
        <w:spacing w:before="28" w:after="100" w:line="100" w:lineRule="atLeast"/>
        <w:jc w:val="both"/>
        <w:rPr>
          <w:rFonts w:cs="Times New Roman"/>
          <w:sz w:val="22"/>
        </w:rPr>
      </w:pPr>
      <w:r>
        <w:rPr>
          <w:rFonts w:cs="Times New Roman"/>
          <w:sz w:val="22"/>
        </w:rPr>
        <w:t>La rupture conventionnelle était ouverte, à titre expérimental, du 1</w:t>
      </w:r>
      <w:r>
        <w:rPr>
          <w:rFonts w:cs="Times New Roman"/>
          <w:sz w:val="22"/>
          <w:vertAlign w:val="superscript"/>
        </w:rPr>
        <w:t>er</w:t>
      </w:r>
      <w:r>
        <w:rPr>
          <w:rFonts w:cs="Times New Roman"/>
          <w:sz w:val="22"/>
        </w:rPr>
        <w:t xml:space="preserve"> janvier au 31 décembre 2025, conformément au dernier alinéa du I de l’article 72 de la loi de transformation de la fonction publique aux fonctionnaires des trois versants de la fonction publique.</w:t>
      </w:r>
    </w:p>
    <w:p>
      <w:pPr>
        <w:overflowPunct w:val="0"/>
        <w:spacing w:before="28" w:after="100" w:line="100" w:lineRule="atLeast"/>
        <w:jc w:val="both"/>
        <w:rPr>
          <w:rFonts w:cs="Times New Roman"/>
          <w:sz w:val="22"/>
        </w:rPr>
      </w:pPr>
      <w:r>
        <w:rPr>
          <w:rFonts w:cs="Times New Roman"/>
          <w:sz w:val="22"/>
        </w:rPr>
        <w:t>Elle est désormais pérennisée dans la fonction publique et codifiée pour les fonctionnaires depuis le 21 février 2026 en application de l’article 173 de la loi n° 2026-103 du 19 février 2026 de finances pour 2026.</w:t>
      </w:r>
    </w:p>
    <w:p>
      <w:pPr>
        <w:overflowPunct w:val="0"/>
        <w:spacing w:before="28" w:after="100" w:line="100" w:lineRule="atLeast"/>
        <w:jc w:val="both"/>
        <w:rPr>
          <w:rFonts w:cs="Times New Roman"/>
          <w:sz w:val="22"/>
        </w:rPr>
      </w:pPr>
      <w:r>
        <w:rPr>
          <w:rFonts w:cs="Times New Roman"/>
          <w:sz w:val="22"/>
        </w:rPr>
        <w:t>Pris en application de l’article 72 précité, le décret (en Conseil d’État) n° 2019-1593 du 31 décembre 2019 relatif à la procédure de rupture conventionnelle et le décret (simple) n° 2019-1596 du même jour relatif à l’indemnité spécifique de rupture conventionnelle étaient venus fixer les modalités d’application de la procédure de rupture conventionnelle dans la fonction publique ainsi que les modalités de calcul de l’indemnité spécifique de rupture conventionnelle (ISRC).</w:t>
      </w:r>
    </w:p>
    <w:p>
      <w:pPr>
        <w:overflowPunct w:val="0"/>
        <w:spacing w:before="28" w:after="100" w:line="100" w:lineRule="atLeast"/>
        <w:jc w:val="both"/>
        <w:rPr>
          <w:rFonts w:cs="Times New Roman"/>
          <w:sz w:val="22"/>
        </w:rPr>
      </w:pPr>
      <w:r>
        <w:rPr>
          <w:rFonts w:cs="Times New Roman"/>
          <w:sz w:val="22"/>
        </w:rPr>
        <w:t>Tirant les conséquences de la pérennisation de la rupture conventionnelle pour les fonctionnaires, ces décrets ont été modifiés par les décrets n° 2026-745 et n° 2026-746 en date du 6 août 2026 et sont entrés en vigueur le 8 août 2026.</w:t>
      </w:r>
    </w:p>
    <w:p>
      <w:pPr>
        <w:overflowPunct w:val="0"/>
        <w:spacing w:before="28" w:after="100" w:line="100" w:lineRule="atLeast"/>
        <w:jc w:val="both"/>
        <w:rPr>
          <w:rFonts w:cs="Times New Roman"/>
          <w:sz w:val="22"/>
        </w:rPr>
      </w:pPr>
      <w:r>
        <w:rPr>
          <w:rFonts w:cs="Times New Roman"/>
          <w:sz w:val="22"/>
        </w:rPr>
        <w:t>La rupture conventionnelle est ouverte, à titre pérenne :</w:t>
      </w:r>
    </w:p>
    <w:p>
      <w:pPr>
        <w:widowControl w:val="0"/>
        <w:numPr>
          <w:ilvl w:val="0"/>
          <w:numId w:val="6"/>
        </w:numPr>
        <w:overflowPunct w:val="0"/>
        <w:spacing w:before="28" w:after="100" w:line="100" w:lineRule="atLeast"/>
        <w:jc w:val="both"/>
        <w:rPr>
          <w:rFonts w:cs="Times New Roman"/>
          <w:sz w:val="22"/>
          <w:u w:val="single"/>
        </w:rPr>
      </w:pPr>
      <w:proofErr w:type="gramStart"/>
      <w:r>
        <w:rPr>
          <w:rFonts w:cs="Times New Roman"/>
          <w:sz w:val="22"/>
          <w:u w:val="single"/>
        </w:rPr>
        <w:t>aux</w:t>
      </w:r>
      <w:proofErr w:type="gramEnd"/>
      <w:r>
        <w:rPr>
          <w:rFonts w:cs="Times New Roman"/>
          <w:sz w:val="22"/>
          <w:u w:val="single"/>
        </w:rPr>
        <w:t xml:space="preserve"> fonctionnaires</w:t>
      </w:r>
      <w:r>
        <w:rPr>
          <w:rFonts w:cs="Times New Roman"/>
          <w:sz w:val="22"/>
        </w:rPr>
        <w:t> titulaires : L. 552-1 du CGFP</w:t>
      </w:r>
    </w:p>
    <w:p>
      <w:pPr>
        <w:widowControl w:val="0"/>
        <w:overflowPunct w:val="0"/>
        <w:spacing w:before="28" w:after="100" w:line="100" w:lineRule="atLeast"/>
        <w:ind w:left="720"/>
        <w:jc w:val="both"/>
        <w:rPr>
          <w:rFonts w:cs="Times New Roman"/>
          <w:sz w:val="10"/>
          <w:szCs w:val="10"/>
          <w:u w:val="single"/>
        </w:rPr>
      </w:pPr>
    </w:p>
    <w:p>
      <w:pPr>
        <w:widowControl w:val="0"/>
        <w:numPr>
          <w:ilvl w:val="0"/>
          <w:numId w:val="6"/>
        </w:numPr>
        <w:overflowPunct w:val="0"/>
        <w:spacing w:before="28" w:after="100" w:line="100" w:lineRule="atLeast"/>
        <w:jc w:val="both"/>
        <w:rPr>
          <w:rFonts w:cs="Times New Roman"/>
          <w:sz w:val="22"/>
          <w:u w:val="single"/>
        </w:rPr>
      </w:pPr>
      <w:proofErr w:type="gramStart"/>
      <w:r>
        <w:rPr>
          <w:rFonts w:cs="Times New Roman"/>
          <w:sz w:val="22"/>
          <w:u w:val="single"/>
        </w:rPr>
        <w:t>aux</w:t>
      </w:r>
      <w:proofErr w:type="gramEnd"/>
      <w:r>
        <w:rPr>
          <w:rFonts w:cs="Times New Roman"/>
          <w:sz w:val="22"/>
          <w:u w:val="single"/>
        </w:rPr>
        <w:t xml:space="preserve"> agents contractuels de droit public en contrat à durée indéterminée</w:t>
      </w:r>
      <w:r>
        <w:rPr>
          <w:rFonts w:cs="Times New Roman"/>
          <w:sz w:val="22"/>
        </w:rPr>
        <w:t> : L. 552-5 du CGFP</w:t>
      </w:r>
    </w:p>
    <w:p>
      <w:pPr>
        <w:widowControl w:val="0"/>
        <w:overflowPunct w:val="0"/>
        <w:spacing w:before="28" w:after="100" w:line="240" w:lineRule="auto"/>
        <w:ind w:left="720"/>
        <w:jc w:val="both"/>
        <w:rPr>
          <w:rFonts w:cs="Times New Roman"/>
          <w:sz w:val="10"/>
          <w:szCs w:val="10"/>
          <w:u w:val="single"/>
        </w:rPr>
      </w:pPr>
    </w:p>
    <w:p>
      <w:pPr>
        <w:widowControl w:val="0"/>
        <w:numPr>
          <w:ilvl w:val="0"/>
          <w:numId w:val="6"/>
        </w:numPr>
        <w:overflowPunct w:val="0"/>
        <w:spacing w:before="28" w:after="100" w:line="100" w:lineRule="atLeast"/>
        <w:jc w:val="both"/>
        <w:rPr>
          <w:rFonts w:cs="Times New Roman"/>
          <w:sz w:val="22"/>
          <w:u w:val="single"/>
        </w:rPr>
      </w:pPr>
      <w:proofErr w:type="gramStart"/>
      <w:r>
        <w:rPr>
          <w:rFonts w:cs="Times New Roman"/>
          <w:sz w:val="22"/>
          <w:u w:val="single"/>
        </w:rPr>
        <w:t>aux</w:t>
      </w:r>
      <w:proofErr w:type="gramEnd"/>
      <w:r>
        <w:rPr>
          <w:rFonts w:cs="Times New Roman"/>
          <w:sz w:val="22"/>
          <w:u w:val="single"/>
        </w:rPr>
        <w:t xml:space="preserve"> ouvriers de l’Etat</w:t>
      </w:r>
      <w:r>
        <w:rPr>
          <w:rFonts w:cs="Times New Roman"/>
          <w:sz w:val="22"/>
        </w:rPr>
        <w:t xml:space="preserve"> affiliés au régime de retraite en application du décret n°2004-1056 du 5 octobre 2004 relatif au régime des pensions des ouvriers des établissements industriels de l’Etat (FSPOEIE) : IV de l’art.173 de la loi 2026-103 du 19 février 2026 de finances pour 2026</w:t>
      </w:r>
    </w:p>
    <w:p>
      <w:pPr>
        <w:pStyle w:val="Paragraphedeliste"/>
        <w:spacing w:line="240" w:lineRule="auto"/>
        <w:rPr>
          <w:rFonts w:cs="Times New Roman"/>
          <w:sz w:val="10"/>
          <w:szCs w:val="10"/>
          <w:u w:val="single"/>
        </w:rPr>
      </w:pPr>
    </w:p>
    <w:p>
      <w:pPr>
        <w:numPr>
          <w:ilvl w:val="0"/>
          <w:numId w:val="6"/>
        </w:numPr>
        <w:spacing w:after="4" w:line="271" w:lineRule="auto"/>
        <w:ind w:right="52"/>
        <w:jc w:val="both"/>
        <w:rPr>
          <w:rFonts w:cs="Times New Roman"/>
          <w:sz w:val="22"/>
        </w:rPr>
      </w:pPr>
      <w:r>
        <w:rPr>
          <w:rFonts w:cs="Times New Roman"/>
          <w:sz w:val="22"/>
        </w:rPr>
        <w:t xml:space="preserve">Conformément à l’article 29 de la loi n°90-568 du 2 juillet 1990 relative à l’organisation du service public de La Poste et à France Télécom : </w:t>
      </w:r>
    </w:p>
    <w:p>
      <w:pPr>
        <w:numPr>
          <w:ilvl w:val="1"/>
          <w:numId w:val="6"/>
        </w:numPr>
        <w:spacing w:after="4" w:line="271" w:lineRule="auto"/>
        <w:ind w:right="52"/>
        <w:jc w:val="both"/>
        <w:rPr>
          <w:rFonts w:cs="Times New Roman"/>
          <w:sz w:val="22"/>
        </w:rPr>
      </w:pPr>
      <w:proofErr w:type="gramStart"/>
      <w:r>
        <w:rPr>
          <w:rFonts w:cs="Times New Roman"/>
          <w:sz w:val="22"/>
          <w:u w:val="single"/>
        </w:rPr>
        <w:t>aux</w:t>
      </w:r>
      <w:proofErr w:type="gramEnd"/>
      <w:r>
        <w:rPr>
          <w:rFonts w:cs="Times New Roman"/>
          <w:sz w:val="22"/>
          <w:u w:val="single"/>
        </w:rPr>
        <w:t xml:space="preserve"> fonctionnaires  de La poste et de France Télécom</w:t>
      </w:r>
      <w:r>
        <w:rPr>
          <w:rFonts w:cs="Times New Roman"/>
          <w:sz w:val="22"/>
        </w:rPr>
        <w:t>,</w:t>
      </w:r>
    </w:p>
    <w:p>
      <w:pPr>
        <w:numPr>
          <w:ilvl w:val="1"/>
          <w:numId w:val="6"/>
        </w:numPr>
        <w:spacing w:after="4" w:line="271" w:lineRule="auto"/>
        <w:ind w:right="52"/>
        <w:jc w:val="both"/>
        <w:rPr>
          <w:rFonts w:cs="Times New Roman"/>
          <w:sz w:val="22"/>
        </w:rPr>
      </w:pPr>
      <w:proofErr w:type="gramStart"/>
      <w:r>
        <w:rPr>
          <w:rFonts w:cs="Times New Roman"/>
          <w:sz w:val="22"/>
        </w:rPr>
        <w:t>ainsi</w:t>
      </w:r>
      <w:proofErr w:type="gramEnd"/>
      <w:r>
        <w:rPr>
          <w:rFonts w:cs="Times New Roman"/>
          <w:sz w:val="22"/>
        </w:rPr>
        <w:t xml:space="preserve"> qu’aux </w:t>
      </w:r>
      <w:r>
        <w:rPr>
          <w:rFonts w:cs="Times New Roman"/>
          <w:sz w:val="22"/>
          <w:u w:val="single"/>
        </w:rPr>
        <w:t>administrateurs des postes et télécommunications</w:t>
      </w:r>
    </w:p>
    <w:p>
      <w:pPr>
        <w:widowControl w:val="0"/>
        <w:overflowPunct w:val="0"/>
        <w:spacing w:before="28" w:after="100" w:line="100" w:lineRule="atLeast"/>
        <w:ind w:left="720"/>
        <w:jc w:val="both"/>
        <w:rPr>
          <w:rFonts w:cs="Times New Roman"/>
          <w:szCs w:val="20"/>
        </w:rPr>
      </w:pPr>
    </w:p>
    <w:p>
      <w:pPr>
        <w:widowControl w:val="0"/>
        <w:overflowPunct w:val="0"/>
        <w:spacing w:before="28" w:after="100" w:line="100" w:lineRule="atLeast"/>
        <w:ind w:left="720"/>
        <w:jc w:val="both"/>
        <w:rPr>
          <w:rFonts w:cs="Times New Roman"/>
          <w:szCs w:val="20"/>
        </w:rPr>
      </w:pPr>
    </w:p>
    <w:p/>
    <w:p>
      <w:pPr>
        <w:pStyle w:val="Style2"/>
        <w:ind w:left="567"/>
      </w:pPr>
      <w:bookmarkStart w:id="10" w:name="_Toc237958309"/>
      <w:r>
        <w:rPr>
          <w:noProof/>
        </w:rPr>
        <mc:AlternateContent>
          <mc:Choice Requires="wps">
            <w:drawing>
              <wp:anchor distT="0" distB="0" distL="114300" distR="114300" simplePos="0" relativeHeight="251976704" behindDoc="0" locked="0" layoutInCell="1" allowOverlap="1">
                <wp:simplePos x="0" y="0"/>
                <wp:positionH relativeFrom="column">
                  <wp:posOffset>-314325</wp:posOffset>
                </wp:positionH>
                <wp:positionV relativeFrom="paragraph">
                  <wp:posOffset>1</wp:posOffset>
                </wp:positionV>
                <wp:extent cx="550684" cy="576000"/>
                <wp:effectExtent l="19050" t="0" r="1905" b="14605"/>
                <wp:wrapNone/>
                <wp:docPr id="208" name="Larm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08" o:spid="_x0000_s1026" alt="&quot;&quot;" style="position:absolute;margin-left:-24.75pt;margin-top:0;width:43.35pt;height:45.35pt;rotation:180;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2.2 Populations non éligibles à la rupture conventionnelle</w:t>
      </w:r>
      <w:bookmarkEnd w:id="10"/>
    </w:p>
    <w:p>
      <w:pPr>
        <w:jc w:val="both"/>
      </w:pPr>
    </w:p>
    <w:p>
      <w:pPr>
        <w:jc w:val="both"/>
        <w:rPr>
          <w:sz w:val="22"/>
          <w:lang w:eastAsia="fr-FR"/>
        </w:rPr>
      </w:pPr>
      <w:r>
        <w:rPr>
          <w:sz w:val="22"/>
          <w:lang w:eastAsia="fr-FR"/>
        </w:rPr>
        <w:t>Les exclusions restent inchangées par rapport à l’expérimentation initiale.</w:t>
      </w:r>
    </w:p>
    <w:p>
      <w:pPr>
        <w:jc w:val="both"/>
        <w:rPr>
          <w:sz w:val="22"/>
          <w:lang w:eastAsia="fr-FR"/>
        </w:rPr>
      </w:pPr>
      <w:r>
        <w:rPr>
          <w:sz w:val="22"/>
          <w:lang w:eastAsia="fr-FR"/>
        </w:rPr>
        <w:t xml:space="preserve">L’art. L552-2 et L.552-5 du CGFP prévoit que la rupture conventionnelle ne s’applique pas : </w:t>
      </w:r>
    </w:p>
    <w:p>
      <w:pPr>
        <w:widowControl w:val="0"/>
        <w:numPr>
          <w:ilvl w:val="0"/>
          <w:numId w:val="6"/>
        </w:numPr>
        <w:overflowPunct w:val="0"/>
        <w:spacing w:before="28" w:after="100" w:line="100" w:lineRule="atLeast"/>
        <w:jc w:val="both"/>
        <w:rPr>
          <w:rFonts w:cs="Times New Roman"/>
          <w:sz w:val="22"/>
          <w:u w:val="single"/>
        </w:rPr>
      </w:pPr>
      <w:proofErr w:type="gramStart"/>
      <w:r>
        <w:rPr>
          <w:rFonts w:cs="Times New Roman"/>
          <w:sz w:val="22"/>
          <w:u w:val="single"/>
        </w:rPr>
        <w:t>aux</w:t>
      </w:r>
      <w:proofErr w:type="gramEnd"/>
      <w:r>
        <w:rPr>
          <w:rFonts w:cs="Times New Roman"/>
          <w:sz w:val="22"/>
          <w:u w:val="single"/>
        </w:rPr>
        <w:t xml:space="preserve"> fonctionnaires stagiaires ; </w:t>
      </w:r>
    </w:p>
    <w:p>
      <w:pPr>
        <w:widowControl w:val="0"/>
        <w:numPr>
          <w:ilvl w:val="0"/>
          <w:numId w:val="6"/>
        </w:numPr>
        <w:overflowPunct w:val="0"/>
        <w:spacing w:before="28" w:after="100" w:line="100" w:lineRule="atLeast"/>
        <w:jc w:val="both"/>
        <w:rPr>
          <w:rFonts w:cs="Times New Roman"/>
          <w:sz w:val="22"/>
        </w:rPr>
      </w:pPr>
      <w:proofErr w:type="gramStart"/>
      <w:r>
        <w:rPr>
          <w:rFonts w:cs="Times New Roman"/>
          <w:sz w:val="22"/>
          <w:u w:val="single"/>
        </w:rPr>
        <w:t>aux</w:t>
      </w:r>
      <w:proofErr w:type="gramEnd"/>
      <w:r>
        <w:rPr>
          <w:rFonts w:cs="Times New Roman"/>
          <w:sz w:val="22"/>
          <w:u w:val="single"/>
        </w:rPr>
        <w:t xml:space="preserve"> fonctionnaires ayant atteint l’âge d’ouverture du droit à pension de retraite </w:t>
      </w:r>
      <w:r>
        <w:rPr>
          <w:rFonts w:cs="Times New Roman"/>
          <w:sz w:val="22"/>
        </w:rPr>
        <w:t xml:space="preserve">fixé par l’article L. 161-17-2 du code de la sécurité sociale et justifiant d’une durée d’assurance, tous régimes de retraite de base confondus, égale à la durée de services et bonifications exigées pour obtenir la liquidation d’une pension de retraite au pourcentage maximal, c’est-à-dire remplissant les conditions requises pour bénéficier de la liquidation de leurs droits à taux plein ; </w:t>
      </w:r>
    </w:p>
    <w:p>
      <w:pPr>
        <w:widowControl w:val="0"/>
        <w:numPr>
          <w:ilvl w:val="0"/>
          <w:numId w:val="6"/>
        </w:numPr>
        <w:overflowPunct w:val="0"/>
        <w:spacing w:before="28" w:after="100" w:line="100" w:lineRule="atLeast"/>
        <w:jc w:val="both"/>
        <w:rPr>
          <w:rFonts w:cs="Times New Roman"/>
          <w:sz w:val="22"/>
        </w:rPr>
      </w:pPr>
      <w:proofErr w:type="gramStart"/>
      <w:r>
        <w:rPr>
          <w:rFonts w:cs="Times New Roman"/>
          <w:sz w:val="22"/>
          <w:u w:val="single"/>
        </w:rPr>
        <w:t>aux</w:t>
      </w:r>
      <w:proofErr w:type="gramEnd"/>
      <w:r>
        <w:rPr>
          <w:rFonts w:cs="Times New Roman"/>
          <w:sz w:val="22"/>
          <w:u w:val="single"/>
        </w:rPr>
        <w:t xml:space="preserve"> fonctionnaires détachés en qualité d’agent contractuel</w:t>
      </w:r>
      <w:r>
        <w:rPr>
          <w:rFonts w:cs="Times New Roman"/>
          <w:sz w:val="22"/>
        </w:rPr>
        <w:t xml:space="preserve"> pendant la durée de leur détachement ;</w:t>
      </w:r>
    </w:p>
    <w:p>
      <w:pPr>
        <w:widowControl w:val="0"/>
        <w:numPr>
          <w:ilvl w:val="0"/>
          <w:numId w:val="6"/>
        </w:numPr>
        <w:overflowPunct w:val="0"/>
        <w:spacing w:before="28" w:after="100" w:line="100" w:lineRule="atLeast"/>
        <w:jc w:val="both"/>
        <w:rPr>
          <w:rFonts w:cs="Times New Roman"/>
          <w:sz w:val="22"/>
        </w:rPr>
      </w:pPr>
      <w:proofErr w:type="gramStart"/>
      <w:r>
        <w:rPr>
          <w:rFonts w:cs="Times New Roman"/>
          <w:sz w:val="22"/>
          <w:u w:val="single"/>
        </w:rPr>
        <w:t>aux</w:t>
      </w:r>
      <w:proofErr w:type="gramEnd"/>
      <w:r>
        <w:rPr>
          <w:rFonts w:cs="Times New Roman"/>
          <w:sz w:val="22"/>
          <w:u w:val="single"/>
        </w:rPr>
        <w:t xml:space="preserve"> agents contractuels en contrat à durée déterminée (CDD).</w:t>
      </w:r>
      <w:r>
        <w:rPr>
          <w:rFonts w:cs="Times New Roman"/>
          <w:sz w:val="22"/>
        </w:rPr>
        <w:t xml:space="preserve"> </w:t>
      </w:r>
    </w:p>
    <w:p>
      <w:pPr>
        <w:spacing w:after="0"/>
        <w:ind w:left="-3" w:right="52"/>
        <w:jc w:val="both"/>
        <w:rPr>
          <w:sz w:val="22"/>
          <w:lang w:eastAsia="fr-FR"/>
        </w:rPr>
      </w:pPr>
    </w:p>
    <w:p>
      <w:pPr>
        <w:spacing w:after="286"/>
        <w:ind w:left="-3" w:right="52"/>
        <w:jc w:val="both"/>
        <w:rPr>
          <w:sz w:val="22"/>
          <w:lang w:eastAsia="fr-FR"/>
        </w:rPr>
      </w:pPr>
      <w:r>
        <w:rPr>
          <w:sz w:val="22"/>
          <w:lang w:eastAsia="fr-FR"/>
        </w:rPr>
        <w:t xml:space="preserve">En outre, les fonctionnaires ayant signé un engagement à servir l’Etat à l’issue d’une période de formation, doivent avoir accompli la totalité de la durée de service prévue par cet engagement pour bénéficier de la rupture conventionnelle. </w:t>
      </w:r>
    </w:p>
    <w:p>
      <w:pPr>
        <w:spacing w:after="273" w:line="284" w:lineRule="auto"/>
        <w:ind w:left="-3"/>
        <w:jc w:val="both"/>
        <w:rPr>
          <w:sz w:val="22"/>
          <w:lang w:eastAsia="fr-FR"/>
        </w:rPr>
      </w:pPr>
      <w:r>
        <w:rPr>
          <w:sz w:val="22"/>
          <w:lang w:eastAsia="fr-FR"/>
        </w:rPr>
        <w:t xml:space="preserve">Pour les contractuels recrutés par contrat à durée indéterminée de droit public (CDI) ainsi que pour les ouvriers affiliés </w:t>
      </w:r>
      <w:r>
        <w:rPr>
          <w:sz w:val="22"/>
          <w:lang w:eastAsia="fr-FR"/>
        </w:rPr>
        <w:tab/>
        <w:t xml:space="preserve">au régime de retraite institué en application du décret n° 2004-1056 du 5 octobre 2004, la rupture conventionnelle ne s'applique pas : </w:t>
      </w:r>
    </w:p>
    <w:p>
      <w:pPr>
        <w:numPr>
          <w:ilvl w:val="0"/>
          <w:numId w:val="21"/>
        </w:numPr>
        <w:spacing w:after="4" w:line="271" w:lineRule="auto"/>
        <w:ind w:right="52" w:hanging="360"/>
        <w:jc w:val="both"/>
        <w:rPr>
          <w:sz w:val="22"/>
          <w:lang w:eastAsia="fr-FR"/>
        </w:rPr>
      </w:pPr>
      <w:proofErr w:type="gramStart"/>
      <w:r>
        <w:rPr>
          <w:sz w:val="22"/>
          <w:lang w:eastAsia="fr-FR"/>
        </w:rPr>
        <w:t>pendant</w:t>
      </w:r>
      <w:proofErr w:type="gramEnd"/>
      <w:r>
        <w:rPr>
          <w:sz w:val="22"/>
          <w:lang w:eastAsia="fr-FR"/>
        </w:rPr>
        <w:t xml:space="preserve"> la période d'essai ou période probatoire ; </w:t>
      </w:r>
    </w:p>
    <w:p>
      <w:pPr>
        <w:numPr>
          <w:ilvl w:val="0"/>
          <w:numId w:val="21"/>
        </w:numPr>
        <w:spacing w:after="4" w:line="271" w:lineRule="auto"/>
        <w:ind w:right="52" w:hanging="360"/>
        <w:jc w:val="both"/>
        <w:rPr>
          <w:sz w:val="22"/>
          <w:lang w:eastAsia="fr-FR"/>
        </w:rPr>
      </w:pPr>
      <w:proofErr w:type="gramStart"/>
      <w:r>
        <w:rPr>
          <w:sz w:val="22"/>
          <w:lang w:eastAsia="fr-FR"/>
        </w:rPr>
        <w:t>en</w:t>
      </w:r>
      <w:proofErr w:type="gramEnd"/>
      <w:r>
        <w:rPr>
          <w:sz w:val="22"/>
          <w:lang w:eastAsia="fr-FR"/>
        </w:rPr>
        <w:t xml:space="preserve"> cas de licenciement ou de démission ;  </w:t>
      </w:r>
    </w:p>
    <w:p>
      <w:pPr>
        <w:numPr>
          <w:ilvl w:val="0"/>
          <w:numId w:val="21"/>
        </w:numPr>
        <w:spacing w:after="4" w:line="271" w:lineRule="auto"/>
        <w:ind w:right="52" w:hanging="360"/>
        <w:jc w:val="both"/>
        <w:rPr>
          <w:sz w:val="22"/>
          <w:lang w:eastAsia="fr-FR"/>
        </w:rPr>
      </w:pPr>
      <w:r>
        <w:rPr>
          <w:sz w:val="22"/>
          <w:lang w:eastAsia="fr-FR"/>
        </w:rPr>
        <w:t>aux agents ayant atteint l'âge d’ouverture du droit à une pension de retraite fixé par l'article L. 161-17-2 du code de la sécurité sociale et justifiant d'une durée d'assurance, tous régimes de retraite de base confondus, égale à la durée d'assurance exigée pour obtenir la liquidation d’une pension de retraite au taux plein du régime général de sécurité sociale pour les agents contractuels ou égale à la durée de services et bonifications exigée pour le bénéfice d’une retraite au pourcentage maximal pour les personnels ouvriers</w:t>
      </w:r>
    </w:p>
    <w:p>
      <w:pPr>
        <w:spacing w:after="4" w:line="271" w:lineRule="auto"/>
        <w:ind w:right="52"/>
        <w:jc w:val="both"/>
        <w:rPr>
          <w:sz w:val="22"/>
          <w:lang w:eastAsia="fr-FR"/>
        </w:rPr>
      </w:pPr>
    </w:p>
    <w:p>
      <w:pPr>
        <w:spacing w:after="4" w:line="271" w:lineRule="auto"/>
        <w:ind w:right="52"/>
        <w:jc w:val="both"/>
        <w:rPr>
          <w:sz w:val="22"/>
          <w:lang w:eastAsia="fr-FR"/>
        </w:rPr>
      </w:pPr>
    </w:p>
    <w:p>
      <w:pPr>
        <w:shd w:val="clear" w:color="auto" w:fill="C6D5A3"/>
        <w:spacing w:line="100" w:lineRule="atLeast"/>
        <w:jc w:val="both"/>
        <w:rPr>
          <w:b/>
          <w:bCs/>
          <w:sz w:val="22"/>
        </w:rPr>
      </w:pPr>
      <w:r>
        <w:rPr>
          <w:b/>
          <w:bCs/>
          <w:sz w:val="22"/>
        </w:rPr>
        <w:t>RECAPITULATIF :</w:t>
      </w:r>
    </w:p>
    <w:p>
      <w:pPr>
        <w:jc w:val="both"/>
        <w:rPr>
          <w:sz w:val="22"/>
          <w:lang w:eastAsia="fr-FR"/>
        </w:rPr>
      </w:pPr>
      <w:r>
        <w:rPr>
          <w:noProof/>
        </w:rPr>
        <w:drawing>
          <wp:inline distT="0" distB="0" distL="0" distR="0">
            <wp:extent cx="5761990" cy="3218180"/>
            <wp:effectExtent l="0" t="0" r="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990" cy="3218180"/>
                    </a:xfrm>
                    <a:prstGeom prst="rect">
                      <a:avLst/>
                    </a:prstGeom>
                  </pic:spPr>
                </pic:pic>
              </a:graphicData>
            </a:graphic>
          </wp:inline>
        </w:drawing>
      </w:r>
    </w:p>
    <w:p>
      <w:pPr>
        <w:jc w:val="both"/>
        <w:rPr>
          <w:sz w:val="22"/>
          <w:lang w:eastAsia="fr-FR"/>
        </w:rPr>
      </w:pPr>
    </w:p>
    <w:p>
      <w:pPr>
        <w:jc w:val="both"/>
        <w:rPr>
          <w:sz w:val="22"/>
          <w:lang w:eastAsia="fr-FR"/>
        </w:rPr>
      </w:pPr>
    </w:p>
    <w:p>
      <w:pPr>
        <w:rPr>
          <w:lang w:eastAsia="fr-FR"/>
        </w:rPr>
        <w:sectPr>
          <w:pgSz w:w="11906" w:h="16838"/>
          <w:pgMar w:top="1134" w:right="1134" w:bottom="1134" w:left="1134" w:header="720" w:footer="720" w:gutter="0"/>
          <w:cols w:space="720"/>
          <w:docGrid w:linePitch="600" w:charSpace="32768"/>
        </w:sectPr>
      </w:pPr>
    </w:p>
    <w:p>
      <w:pPr>
        <w:pStyle w:val="Style1"/>
      </w:pPr>
      <w:bookmarkStart w:id="11" w:name="_Toc203646673"/>
      <w:bookmarkStart w:id="12" w:name="_Toc237958310"/>
      <w:r>
        <w:rPr>
          <w:noProof/>
          <w:szCs w:val="84"/>
        </w:rPr>
        <mc:AlternateContent>
          <mc:Choice Requires="wps">
            <w:drawing>
              <wp:anchor distT="0" distB="0" distL="114300" distR="114300" simplePos="0" relativeHeight="251982848" behindDoc="1" locked="0" layoutInCell="1" allowOverlap="1">
                <wp:simplePos x="0" y="0"/>
                <wp:positionH relativeFrom="column">
                  <wp:posOffset>-723900</wp:posOffset>
                </wp:positionH>
                <wp:positionV relativeFrom="paragraph">
                  <wp:posOffset>-904240</wp:posOffset>
                </wp:positionV>
                <wp:extent cx="7581900" cy="10906125"/>
                <wp:effectExtent l="0" t="0" r="19050" b="28575"/>
                <wp:wrapNone/>
                <wp:docPr id="211" name="Rectangle 211"/>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1" o:spid="_x0000_s1026" style="position:absolute;margin-left:-57pt;margin-top:-71.2pt;width:597pt;height:858.75pt;z-index:-25133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" fillcolor="#91ae4f" strokecolor="#1f3763 [1604]" strokeweight="1pt">
                <v:fill opacity="39321f"/>
              </v:rect>
            </w:pict>
          </mc:Fallback>
        </mc:AlternateContent>
      </w:r>
      <w:bookmarkEnd w:id="11"/>
      <w:bookmarkEnd w:id="12"/>
    </w:p>
    <w:p>
      <w:pPr>
        <w:pStyle w:val="Style1"/>
      </w:pPr>
    </w:p>
    <w:p>
      <w:pPr>
        <w:pStyle w:val="Style1"/>
      </w:pPr>
    </w:p>
    <w:p>
      <w:pPr>
        <w:pStyle w:val="Style1"/>
      </w:pPr>
    </w:p>
    <w:p>
      <w:pPr>
        <w:pStyle w:val="Style1"/>
        <w:jc w:val="right"/>
      </w:pPr>
      <w:bookmarkStart w:id="13" w:name="_Toc237958311"/>
      <w:r>
        <w:t>3. Conditions</w:t>
      </w:r>
      <w:r>
        <w:br/>
        <w:t>d’attribution</w:t>
      </w:r>
      <w:bookmarkEnd w:id="13"/>
      <w:r>
        <w:br/>
      </w:r>
    </w:p>
    <w:p/>
    <w:p/>
    <w:p/>
    <w:p/>
    <w:p/>
    <w:p/>
    <w:p/>
    <w:p/>
    <w:p/>
    <w:p/>
    <w:p>
      <w:pPr>
        <w:jc w:val="both"/>
      </w:pPr>
      <w:r>
        <w:t>Le versement de l’indemnité spécifique de rupture conventionnelle (ISRC) doit être précédé de la signature d’une convention de rupture conventionnelle entre l’administration et l’agent. La procédure applicable aux fonctionnaires, aux agents contractuels en CDI et aux ouvriers de l’Etat est détaillée ci-après.</w:t>
      </w:r>
    </w:p>
    <w:p/>
    <w:p>
      <w:pPr>
        <w:pStyle w:val="Paragraphedeliste"/>
        <w:ind w:left="1080"/>
        <w:jc w:val="both"/>
      </w:pPr>
    </w:p>
    <w:p>
      <w:pPr>
        <w:pStyle w:val="Style2"/>
        <w:ind w:left="567"/>
      </w:pPr>
      <w:bookmarkStart w:id="14" w:name="_Toc237958312"/>
      <w:r>
        <w:rPr>
          <w:noProof/>
        </w:rPr>
        <mc:AlternateContent>
          <mc:Choice Requires="wps">
            <w:drawing>
              <wp:anchor distT="0" distB="0" distL="114300" distR="114300" simplePos="0" relativeHeight="251984896" behindDoc="0" locked="0" layoutInCell="1" allowOverlap="1">
                <wp:simplePos x="0" y="0"/>
                <wp:positionH relativeFrom="column">
                  <wp:posOffset>-314325</wp:posOffset>
                </wp:positionH>
                <wp:positionV relativeFrom="paragraph">
                  <wp:posOffset>8255</wp:posOffset>
                </wp:positionV>
                <wp:extent cx="550684" cy="576000"/>
                <wp:effectExtent l="19050" t="0" r="1905" b="14605"/>
                <wp:wrapNone/>
                <wp:docPr id="212" name="Larm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12" o:spid="_x0000_s1026" alt="&quot;&quot;" style="position:absolute;margin-left:-24.75pt;margin-top:.65pt;width:43.35pt;height:45.35pt;rotation:180;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3.1 Procédure de rupture conventionnelle pour les fonctionnaires</w:t>
      </w:r>
      <w:bookmarkEnd w:id="14"/>
    </w:p>
    <w:p>
      <w:pPr>
        <w:jc w:val="both"/>
      </w:pPr>
    </w:p>
    <w:p>
      <w:pPr>
        <w:jc w:val="both"/>
      </w:pPr>
    </w:p>
    <w:p>
      <w:pPr>
        <w:spacing w:after="201"/>
        <w:ind w:left="-3" w:right="52"/>
        <w:rPr>
          <w:rFonts w:cs="Arial"/>
          <w:color w:val="000000"/>
          <w:sz w:val="22"/>
        </w:rPr>
      </w:pPr>
      <w:r>
        <w:rPr>
          <w:rFonts w:cs="Arial"/>
          <w:color w:val="000000"/>
          <w:sz w:val="22"/>
        </w:rPr>
        <w:t>La procédure de rupture conventionnelle résulte de l’accord du fonctionnaire et de l’administration et est décrite dans le décret n° 2019-1593 du 31 décembre 2019 modifié précité.</w:t>
      </w:r>
    </w:p>
    <w:p>
      <w:pPr>
        <w:overflowPunct w:val="0"/>
        <w:spacing w:after="240" w:line="100" w:lineRule="atLeast"/>
        <w:jc w:val="both"/>
        <w:rPr>
          <w:rFonts w:cs="Arial"/>
          <w:color w:val="000000"/>
          <w:sz w:val="22"/>
        </w:rPr>
      </w:pPr>
      <w:r>
        <w:rPr>
          <w:rFonts w:cs="Arial"/>
          <w:color w:val="000000"/>
          <w:sz w:val="22"/>
        </w:rPr>
        <w:t>Elle peut être engagée à l'initiative du fonctionnaire ou de l'administration ou de l'établissement dont il relève. Le demandeur informe l'autre partie soit par lettre recommandée avec demande d'avis de réception, soit remise en main propre contre signature. Lorsque la demande émane du fonctionnaire, celle-ci peut être adressée au service des ressources humaines ou à l'autorité investie du pouvoir de nomination.</w:t>
      </w:r>
    </w:p>
    <w:p>
      <w:pPr>
        <w:overflowPunct w:val="0"/>
        <w:spacing w:after="240" w:line="100" w:lineRule="atLeast"/>
        <w:jc w:val="both"/>
        <w:rPr>
          <w:rFonts w:cs="Arial"/>
          <w:color w:val="000000"/>
          <w:sz w:val="22"/>
        </w:rPr>
      </w:pPr>
      <w:r>
        <w:rPr>
          <w:rFonts w:cs="Arial"/>
          <w:color w:val="000000"/>
          <w:sz w:val="22"/>
        </w:rPr>
        <w:t xml:space="preserve">Ainsi, dans le cas d’un détachement, d’une mise à disposition ou d’une position normale d’activité (PNA), l’agent doit formuler la demande de rupture conventionnelle auprès de </w:t>
      </w:r>
      <w:r>
        <w:rPr>
          <w:rFonts w:cs="Arial"/>
          <w:color w:val="000000"/>
          <w:sz w:val="22"/>
          <w:u w:val="single"/>
        </w:rPr>
        <w:t>l’administration dont il relève</w:t>
      </w:r>
      <w:r>
        <w:rPr>
          <w:rFonts w:cs="Arial"/>
          <w:color w:val="000000"/>
          <w:sz w:val="22"/>
        </w:rPr>
        <w:t>, c’est-à-dire à l’autorité qui détient le pouvoir de nomination dans son corps d’origine et ayant prononcé l’affectation/le détachement dans l’administration d’accueil.</w:t>
      </w:r>
    </w:p>
    <w:p>
      <w:pPr>
        <w:spacing w:after="208"/>
        <w:ind w:left="-3" w:right="52"/>
        <w:jc w:val="both"/>
        <w:rPr>
          <w:rFonts w:cs="Arial"/>
          <w:color w:val="000000"/>
          <w:sz w:val="22"/>
        </w:rPr>
      </w:pPr>
      <w:r>
        <w:rPr>
          <w:rFonts w:cs="Arial"/>
          <w:color w:val="000000"/>
          <w:sz w:val="22"/>
        </w:rPr>
        <w:t>En effet, l’administration d’origine demeure compétente pour accepter/refuser la demande de rupture, négocier le montant de l’indemnité de rupture, signer la convention et radier des cadres le fonctionnaire. Il lui incombe également de prendre en charge financièrement le versement de l’indemnité spécifique de rupture conventionnelle (ISRC).</w:t>
      </w:r>
    </w:p>
    <w:p>
      <w:pPr>
        <w:spacing w:after="202"/>
        <w:ind w:left="-3" w:right="52"/>
        <w:jc w:val="both"/>
        <w:rPr>
          <w:rFonts w:cs="Arial"/>
          <w:color w:val="000000"/>
          <w:sz w:val="22"/>
        </w:rPr>
      </w:pPr>
      <w:r>
        <w:rPr>
          <w:rFonts w:cs="Arial"/>
          <w:color w:val="000000"/>
          <w:sz w:val="22"/>
        </w:rPr>
        <w:t xml:space="preserve">Un entretien relatif à cette demande est fixé par l’autorité au moins dix jours francs et un mois au plus après la réception de la lettre de demande de rupture conventionnelle. </w:t>
      </w:r>
    </w:p>
    <w:p>
      <w:pPr>
        <w:spacing w:after="233"/>
        <w:ind w:left="-3" w:right="52"/>
        <w:jc w:val="both"/>
        <w:rPr>
          <w:rFonts w:cs="Arial"/>
          <w:color w:val="000000"/>
          <w:sz w:val="22"/>
        </w:rPr>
      </w:pPr>
      <w:r>
        <w:rPr>
          <w:rFonts w:cs="Arial"/>
          <w:color w:val="000000"/>
          <w:sz w:val="22"/>
        </w:rPr>
        <w:t xml:space="preserve">Lorsque l'agent placé en PNA, MAD ou détaché formule une demande de rupture conventionnelle, la DGAFP préconise que l'administration d'accueil et l'autorité de nomination, à qui reviendra la conduite de la procédure et le paiement de l'ISRC, s'entendent entre elles en amont de la procédure de rupture. </w:t>
      </w:r>
    </w:p>
    <w:p>
      <w:pPr>
        <w:spacing w:after="202"/>
        <w:ind w:left="-3" w:right="52"/>
        <w:jc w:val="both"/>
        <w:rPr>
          <w:rFonts w:cs="Arial"/>
          <w:color w:val="000000"/>
          <w:sz w:val="22"/>
        </w:rPr>
      </w:pPr>
      <w:r>
        <w:rPr>
          <w:rFonts w:cs="Arial"/>
          <w:color w:val="000000"/>
          <w:sz w:val="22"/>
        </w:rPr>
        <w:t xml:space="preserve">Cet entretien (suivi d’autres le cas échéant) est conduit par l'autorité hiérarchique ou l'autorité investie du pouvoir de nomination dont relève le fonctionnaire ou son représentant. Ce ou ces entretiens portent principalement sur les motifs de la demande et le principe de la rupture conventionnelle, la fixation de la date de cessation définitive des fonctions, le montant envisagé de l’ISRC, les conséquences de la cessation définitive des fonctions, notamment le bénéfice de l’assurance chômage et le respect des obligations déontologiques des fonctionnaires. </w:t>
      </w:r>
    </w:p>
    <w:p>
      <w:pPr>
        <w:spacing w:after="37"/>
        <w:ind w:left="-3" w:right="52"/>
        <w:jc w:val="both"/>
        <w:rPr>
          <w:rFonts w:cs="Arial"/>
          <w:color w:val="000000"/>
          <w:sz w:val="22"/>
        </w:rPr>
      </w:pPr>
      <w:r>
        <w:rPr>
          <w:rFonts w:cs="Arial"/>
          <w:color w:val="000000"/>
          <w:sz w:val="22"/>
        </w:rPr>
        <w:t xml:space="preserve">Les termes et conditions de la rupture conventionnelle sont énoncés dans une convention signée par les deux parties qui fixe notamment le montant de l’ISRC. </w:t>
      </w:r>
    </w:p>
    <w:p>
      <w:pPr>
        <w:overflowPunct w:val="0"/>
        <w:spacing w:after="240" w:line="100" w:lineRule="atLeast"/>
        <w:jc w:val="both"/>
        <w:rPr>
          <w:rFonts w:cs="Arial"/>
          <w:color w:val="000000"/>
          <w:sz w:val="22"/>
        </w:rPr>
      </w:pPr>
      <w:r>
        <w:rPr>
          <w:rFonts w:cs="Arial"/>
          <w:color w:val="000000"/>
          <w:sz w:val="22"/>
        </w:rPr>
        <w:t>La convention de rupture conventionnelle peut être élaborée conformément au modèle défini dans l’arrêté du 6 février 2020 fixant les modèles de convention (annexe 1). Ce modèle n’est toutefois pas obligatoire.</w:t>
      </w:r>
    </w:p>
    <w:p>
      <w:pPr>
        <w:spacing w:after="204"/>
        <w:ind w:left="-3" w:right="52"/>
        <w:rPr>
          <w:rFonts w:cs="Arial"/>
          <w:color w:val="000000"/>
          <w:sz w:val="22"/>
        </w:rPr>
      </w:pPr>
      <w:r>
        <w:rPr>
          <w:rFonts w:cs="Arial"/>
          <w:color w:val="000000"/>
          <w:sz w:val="22"/>
        </w:rPr>
        <w:t>La signature de la convention intervient au moins quinze jours francs après le dernier entretien.</w:t>
      </w:r>
    </w:p>
    <w:p>
      <w:pPr>
        <w:spacing w:after="205"/>
        <w:ind w:left="-3" w:right="52"/>
        <w:jc w:val="both"/>
        <w:rPr>
          <w:rFonts w:cs="Arial"/>
          <w:color w:val="000000"/>
          <w:sz w:val="22"/>
        </w:rPr>
      </w:pPr>
      <w:r>
        <w:rPr>
          <w:rFonts w:cs="Arial"/>
          <w:color w:val="000000"/>
          <w:sz w:val="22"/>
        </w:rPr>
        <w:t xml:space="preserve">Chacune des deux parties dispose d'un droit de rétractation. Ce droit s'exerce dans un délai de quinze jours francs, qui commence à courir un jour franc après la date de la signature de la convention de rupture conventionnelle adressée par lettre recommandée avec demande d'avis de réception ou remise en main propre contre signature </w:t>
      </w:r>
    </w:p>
    <w:p>
      <w:pPr>
        <w:overflowPunct w:val="0"/>
        <w:spacing w:after="240" w:line="100" w:lineRule="atLeast"/>
        <w:jc w:val="both"/>
        <w:rPr>
          <w:rFonts w:cs="Arial"/>
          <w:color w:val="000000"/>
          <w:sz w:val="22"/>
        </w:rPr>
      </w:pPr>
      <w:r>
        <w:rPr>
          <w:rFonts w:cs="Arial"/>
          <w:color w:val="000000"/>
          <w:sz w:val="22"/>
        </w:rPr>
        <w:t>La radiation des cadres intervient à la date de cessation de fonctions convenue dans la convention de rupture conventionnelle. Elle ne peut pas intervenir avant la fin du délai de rétractation</w:t>
      </w:r>
    </w:p>
    <w:p>
      <w:pPr>
        <w:jc w:val="both"/>
        <w:rPr>
          <w:sz w:val="22"/>
        </w:rPr>
      </w:pPr>
    </w:p>
    <w:p>
      <w:pPr>
        <w:jc w:val="both"/>
      </w:pPr>
    </w:p>
    <w:p>
      <w:pPr>
        <w:pStyle w:val="Paragraphedeliste"/>
        <w:ind w:left="1080"/>
        <w:jc w:val="both"/>
      </w:pPr>
    </w:p>
    <w:p>
      <w:pPr>
        <w:pStyle w:val="Style2"/>
        <w:ind w:left="567"/>
      </w:pPr>
      <w:bookmarkStart w:id="15" w:name="_Toc237958313"/>
      <w:r>
        <w:rPr>
          <w:noProof/>
        </w:rPr>
        <mc:AlternateContent>
          <mc:Choice Requires="wps">
            <w:drawing>
              <wp:anchor distT="0" distB="0" distL="114300" distR="114300" simplePos="0" relativeHeight="252037120" behindDoc="0" locked="0" layoutInCell="1" allowOverlap="1">
                <wp:simplePos x="0" y="0"/>
                <wp:positionH relativeFrom="column">
                  <wp:posOffset>-314325</wp:posOffset>
                </wp:positionH>
                <wp:positionV relativeFrom="paragraph">
                  <wp:posOffset>8255</wp:posOffset>
                </wp:positionV>
                <wp:extent cx="550684" cy="576000"/>
                <wp:effectExtent l="19050" t="0" r="1905" b="14605"/>
                <wp:wrapNone/>
                <wp:docPr id="25" name="Larm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5" o:spid="_x0000_s1026" alt="&quot;&quot;" style="position:absolute;margin-left:-24.75pt;margin-top:.65pt;width:43.35pt;height:45.35pt;rotation:180;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3.2 Procédure de rupture conventionnelle pour les contractuels en CDI</w:t>
      </w:r>
      <w:bookmarkEnd w:id="15"/>
    </w:p>
    <w:p>
      <w:pPr>
        <w:jc w:val="both"/>
      </w:pPr>
    </w:p>
    <w:p>
      <w:pPr>
        <w:jc w:val="both"/>
      </w:pPr>
    </w:p>
    <w:p>
      <w:pPr>
        <w:spacing w:line="100" w:lineRule="atLeast"/>
        <w:jc w:val="both"/>
        <w:rPr>
          <w:rStyle w:val="lev"/>
          <w:rFonts w:cs="Times New Roman"/>
          <w:b w:val="0"/>
          <w:bCs w:val="0"/>
          <w:color w:val="000000"/>
          <w:sz w:val="22"/>
        </w:rPr>
      </w:pPr>
      <w:r>
        <w:rPr>
          <w:rStyle w:val="lev"/>
          <w:rFonts w:cs="Times New Roman"/>
          <w:b w:val="0"/>
          <w:bCs w:val="0"/>
          <w:color w:val="000000"/>
          <w:sz w:val="22"/>
        </w:rPr>
        <w:t>La procédure est identique à celle des fonctionnaires. Cependant, c’est une date de fin du contrat qui est définie entre le contractuel et l’administration, au lieu d’une cessation définitive de fonctions entrainant la radiation des cadres.</w:t>
      </w:r>
    </w:p>
    <w:p>
      <w:pPr>
        <w:spacing w:line="100" w:lineRule="atLeast"/>
        <w:jc w:val="both"/>
        <w:rPr>
          <w:rStyle w:val="lev"/>
          <w:rFonts w:cs="Times New Roman"/>
          <w:b w:val="0"/>
          <w:bCs w:val="0"/>
          <w:color w:val="000000"/>
          <w:sz w:val="22"/>
        </w:rPr>
      </w:pPr>
      <w:r>
        <w:rPr>
          <w:rStyle w:val="lev"/>
          <w:rFonts w:cs="Times New Roman"/>
          <w:b w:val="0"/>
          <w:bCs w:val="0"/>
          <w:color w:val="000000"/>
          <w:sz w:val="22"/>
        </w:rPr>
        <w:t>La convention de rupture conventionnelle peut être élaborée conformément au modèle défini dans l’arrêté du 6 février 2020 fixant les modèles de convention (annexe 2). Ce modèle n’est toutefois pas obligatoire.</w:t>
      </w:r>
    </w:p>
    <w:p>
      <w:pPr>
        <w:jc w:val="both"/>
      </w:pPr>
    </w:p>
    <w:p>
      <w:pPr>
        <w:jc w:val="both"/>
      </w:pPr>
    </w:p>
    <w:p>
      <w:pPr>
        <w:pStyle w:val="Paragraphedeliste"/>
        <w:ind w:left="1080"/>
        <w:jc w:val="both"/>
      </w:pPr>
    </w:p>
    <w:p>
      <w:pPr>
        <w:pStyle w:val="Style2"/>
        <w:ind w:left="567"/>
      </w:pPr>
      <w:bookmarkStart w:id="16" w:name="_Toc237958314"/>
      <w:r>
        <w:rPr>
          <w:noProof/>
        </w:rPr>
        <mc:AlternateContent>
          <mc:Choice Requires="wps">
            <w:drawing>
              <wp:anchor distT="0" distB="0" distL="114300" distR="114300" simplePos="0" relativeHeight="252065792" behindDoc="0" locked="0" layoutInCell="1" allowOverlap="1">
                <wp:simplePos x="0" y="0"/>
                <wp:positionH relativeFrom="column">
                  <wp:posOffset>-314325</wp:posOffset>
                </wp:positionH>
                <wp:positionV relativeFrom="paragraph">
                  <wp:posOffset>8255</wp:posOffset>
                </wp:positionV>
                <wp:extent cx="550684" cy="576000"/>
                <wp:effectExtent l="19050" t="0" r="1905" b="14605"/>
                <wp:wrapNone/>
                <wp:docPr id="6" name="Larm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6" o:spid="_x0000_s1026" alt="&quot;&quot;" style="position:absolute;margin-left:-24.75pt;margin-top:.65pt;width:43.35pt;height:45.35pt;rotation:180;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3.3 Procédure de rupture conventionnelle pour les ouvriers assujettis au FSPOEIE</w:t>
      </w:r>
      <w:bookmarkEnd w:id="16"/>
    </w:p>
    <w:p>
      <w:pPr>
        <w:jc w:val="both"/>
      </w:pPr>
    </w:p>
    <w:p>
      <w:pPr>
        <w:jc w:val="both"/>
      </w:pPr>
    </w:p>
    <w:p>
      <w:pPr>
        <w:ind w:left="-3" w:right="52"/>
        <w:jc w:val="both"/>
        <w:rPr>
          <w:rStyle w:val="lev"/>
          <w:rFonts w:cs="Times New Roman"/>
          <w:b w:val="0"/>
          <w:bCs w:val="0"/>
          <w:color w:val="000000"/>
          <w:sz w:val="22"/>
        </w:rPr>
      </w:pPr>
      <w:r>
        <w:rPr>
          <w:rStyle w:val="lev"/>
          <w:rFonts w:cs="Times New Roman"/>
          <w:b w:val="0"/>
          <w:bCs w:val="0"/>
          <w:color w:val="000000"/>
          <w:sz w:val="22"/>
        </w:rPr>
        <w:t xml:space="preserve">La procédure est identique à celle des fonctionnaires. Cependant, c’est une date de fin d’engagement qui est définie entre l’ouvrier et l’administration au lieu d’une cessation définitive de fonctions. </w:t>
      </w:r>
    </w:p>
    <w:p>
      <w:pPr>
        <w:jc w:val="both"/>
        <w:rPr>
          <w:rStyle w:val="lev"/>
          <w:rFonts w:cs="Times New Roman"/>
          <w:b w:val="0"/>
          <w:bCs w:val="0"/>
          <w:color w:val="000000"/>
          <w:sz w:val="22"/>
        </w:rPr>
      </w:pPr>
      <w:r>
        <w:rPr>
          <w:rStyle w:val="lev"/>
          <w:rFonts w:cs="Times New Roman"/>
          <w:b w:val="0"/>
          <w:bCs w:val="0"/>
          <w:color w:val="000000"/>
          <w:sz w:val="22"/>
        </w:rPr>
        <w:t>La convention de rupture conventionnelle peut être élaborée conformément au modèle défini dans l’arrêté du 6 février 2020 fixant les modèles de convention (annexe 3) modifié par l’arrêté du 6 août 2026. Ce modèle n’est toutefois pas obligatoire</w:t>
      </w:r>
    </w:p>
    <w:p>
      <w:pPr>
        <w:pStyle w:val="Paragraphedeliste"/>
        <w:ind w:left="1080"/>
        <w:jc w:val="both"/>
      </w:pPr>
    </w:p>
    <w:p>
      <w:pPr>
        <w:pStyle w:val="Style2"/>
        <w:ind w:left="567"/>
      </w:pPr>
      <w:bookmarkStart w:id="17" w:name="_Toc237958315"/>
      <w:r>
        <w:rPr>
          <w:noProof/>
        </w:rPr>
        <mc:AlternateContent>
          <mc:Choice Requires="wps">
            <w:drawing>
              <wp:anchor distT="0" distB="0" distL="114300" distR="114300" simplePos="0" relativeHeight="252063744" behindDoc="0" locked="0" layoutInCell="1" allowOverlap="1">
                <wp:simplePos x="0" y="0"/>
                <wp:positionH relativeFrom="column">
                  <wp:posOffset>-314325</wp:posOffset>
                </wp:positionH>
                <wp:positionV relativeFrom="paragraph">
                  <wp:posOffset>8255</wp:posOffset>
                </wp:positionV>
                <wp:extent cx="550684" cy="576000"/>
                <wp:effectExtent l="19050" t="0" r="1905" b="14605"/>
                <wp:wrapNone/>
                <wp:docPr id="1" name="Larm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 o:spid="_x0000_s1026" alt="&quot;&quot;" style="position:absolute;margin-left:-24.75pt;margin-top:.65pt;width:43.35pt;height:45.35pt;rotation:180;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3.4 Versement et remboursement de l’ISRC</w:t>
      </w:r>
      <w:bookmarkEnd w:id="17"/>
    </w:p>
    <w:p>
      <w:pPr>
        <w:jc w:val="both"/>
      </w:pPr>
    </w:p>
    <w:p>
      <w:pPr>
        <w:jc w:val="both"/>
      </w:pPr>
    </w:p>
    <w:p>
      <w:pPr>
        <w:spacing w:after="204"/>
        <w:ind w:left="-3" w:right="52"/>
        <w:jc w:val="both"/>
        <w:rPr>
          <w:rStyle w:val="lev"/>
          <w:rFonts w:cs="Times New Roman"/>
          <w:b w:val="0"/>
          <w:bCs w:val="0"/>
          <w:color w:val="000000"/>
          <w:sz w:val="22"/>
        </w:rPr>
      </w:pPr>
      <w:r>
        <w:rPr>
          <w:rStyle w:val="lev"/>
          <w:rFonts w:cs="Times New Roman"/>
          <w:b w:val="0"/>
          <w:bCs w:val="0"/>
          <w:color w:val="000000"/>
          <w:sz w:val="22"/>
        </w:rPr>
        <w:t xml:space="preserve">Le versement de l’ISRC est définitif et intervient en une seule fois. Toutefois, un remboursement de l’ISRC est demandé par l’Etat, si dans les six années qui suivent le versement de l’ISRC, l’agent retrouve un emploi dans l’administration en qualité d’agent public. Ce remboursement doit intervenir dans un délai de 2 ans. </w:t>
      </w:r>
    </w:p>
    <w:p>
      <w:pPr>
        <w:ind w:left="-3" w:right="52"/>
        <w:jc w:val="both"/>
        <w:rPr>
          <w:rStyle w:val="lev"/>
          <w:rFonts w:cs="Times New Roman"/>
          <w:b w:val="0"/>
          <w:bCs w:val="0"/>
          <w:color w:val="000000"/>
          <w:sz w:val="22"/>
        </w:rPr>
      </w:pPr>
      <w:r>
        <w:rPr>
          <w:rStyle w:val="lev"/>
          <w:rFonts w:cs="Times New Roman"/>
          <w:b w:val="0"/>
          <w:bCs w:val="0"/>
          <w:color w:val="000000"/>
          <w:sz w:val="22"/>
        </w:rPr>
        <w:t xml:space="preserve">Pour les fonctionnaires des trois versants de la fonction publique, ce remboursement est prévu à l’article L. 552-4 du CGFP. </w:t>
      </w:r>
    </w:p>
    <w:p>
      <w:pPr>
        <w:spacing w:after="225"/>
        <w:ind w:left="-3" w:right="52"/>
        <w:jc w:val="both"/>
        <w:rPr>
          <w:rStyle w:val="lev"/>
          <w:rFonts w:cs="Times New Roman"/>
          <w:b w:val="0"/>
          <w:bCs w:val="0"/>
          <w:color w:val="000000"/>
          <w:sz w:val="22"/>
        </w:rPr>
      </w:pPr>
      <w:r>
        <w:rPr>
          <w:rStyle w:val="lev"/>
          <w:rFonts w:cs="Times New Roman"/>
          <w:b w:val="0"/>
          <w:bCs w:val="0"/>
          <w:color w:val="000000"/>
          <w:sz w:val="22"/>
        </w:rPr>
        <w:t xml:space="preserve">Pour les contractuels en CDI, ce remboursement est prévu à l’article 49-9 du décret n° 86-83 du 17 janvier 1986 relatif aux dispositions générales applicables aux agents contractuels de l’État. </w:t>
      </w:r>
    </w:p>
    <w:p>
      <w:pPr>
        <w:jc w:val="both"/>
        <w:rPr>
          <w:rStyle w:val="lev"/>
          <w:rFonts w:cs="Times New Roman"/>
          <w:b w:val="0"/>
          <w:bCs w:val="0"/>
          <w:color w:val="000000"/>
          <w:sz w:val="22"/>
        </w:rPr>
      </w:pPr>
      <w:r>
        <w:rPr>
          <w:rStyle w:val="lev"/>
          <w:rFonts w:cs="Times New Roman"/>
          <w:b w:val="0"/>
          <w:bCs w:val="0"/>
          <w:color w:val="000000"/>
          <w:sz w:val="22"/>
        </w:rPr>
        <w:t>Pour les ouvriers assujettis au FSPOEIE, ce remboursement est prévu à l’article 20 du décret n° 2019-1593 du 31 décembre 2019 précité.</w:t>
      </w:r>
    </w:p>
    <w:p>
      <w:pPr>
        <w:jc w:val="both"/>
        <w:rPr>
          <w:rStyle w:val="lev"/>
          <w:rFonts w:cs="Times New Roman"/>
          <w:b w:val="0"/>
          <w:bCs w:val="0"/>
          <w:color w:val="000000"/>
          <w:sz w:val="22"/>
        </w:rPr>
      </w:pPr>
    </w:p>
    <w:p>
      <w:pPr>
        <w:pStyle w:val="Paragraphedeliste"/>
        <w:ind w:left="1080"/>
        <w:jc w:val="both"/>
      </w:pPr>
    </w:p>
    <w:p>
      <w:pPr>
        <w:pStyle w:val="Style2"/>
        <w:ind w:left="567"/>
      </w:pPr>
      <w:bookmarkStart w:id="18" w:name="_Toc237958316"/>
      <w:r>
        <w:rPr>
          <w:noProof/>
        </w:rPr>
        <mc:AlternateContent>
          <mc:Choice Requires="wps">
            <w:drawing>
              <wp:anchor distT="0" distB="0" distL="114300" distR="114300" simplePos="0" relativeHeight="252067840" behindDoc="0" locked="0" layoutInCell="1" allowOverlap="1">
                <wp:simplePos x="0" y="0"/>
                <wp:positionH relativeFrom="column">
                  <wp:posOffset>-314325</wp:posOffset>
                </wp:positionH>
                <wp:positionV relativeFrom="paragraph">
                  <wp:posOffset>8255</wp:posOffset>
                </wp:positionV>
                <wp:extent cx="550684" cy="576000"/>
                <wp:effectExtent l="19050" t="0" r="1905" b="14605"/>
                <wp:wrapNone/>
                <wp:docPr id="7" name="Larm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7" o:spid="_x0000_s1026" alt="&quot;&quot;" style="position:absolute;margin-left:-24.75pt;margin-top:.65pt;width:43.35pt;height:45.35pt;rotation:180;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3.5 Principe de non cumul</w:t>
      </w:r>
      <w:bookmarkEnd w:id="18"/>
    </w:p>
    <w:p>
      <w:pPr>
        <w:jc w:val="both"/>
      </w:pPr>
    </w:p>
    <w:p>
      <w:pPr>
        <w:jc w:val="both"/>
      </w:pPr>
    </w:p>
    <w:p>
      <w:pPr>
        <w:jc w:val="both"/>
        <w:rPr>
          <w:rStyle w:val="lev"/>
          <w:rFonts w:cs="Times New Roman"/>
          <w:b w:val="0"/>
          <w:bCs w:val="0"/>
          <w:color w:val="000000"/>
          <w:sz w:val="22"/>
        </w:rPr>
      </w:pPr>
      <w:r>
        <w:rPr>
          <w:rStyle w:val="lev"/>
          <w:rFonts w:cs="Times New Roman"/>
          <w:b w:val="0"/>
          <w:bCs w:val="0"/>
          <w:color w:val="000000"/>
          <w:sz w:val="22"/>
        </w:rPr>
        <w:t xml:space="preserve">L’ISRC n’est pas cumulable avec l’indemnité de départ volontaire et avec l’indemnité de licenciement.  </w:t>
      </w:r>
    </w:p>
    <w:p>
      <w:r>
        <w:br w:type="page"/>
      </w:r>
    </w:p>
    <w:p>
      <w:pPr>
        <w:pStyle w:val="Style1"/>
      </w:pPr>
      <w:bookmarkStart w:id="19" w:name="_Toc203646683"/>
      <w:bookmarkStart w:id="20" w:name="_Toc237958317"/>
      <w:r>
        <w:rPr>
          <w:noProof/>
          <w:szCs w:val="84"/>
        </w:rPr>
        <mc:AlternateContent>
          <mc:Choice Requires="wps">
            <w:drawing>
              <wp:anchor distT="0" distB="0" distL="114300" distR="114300" simplePos="0" relativeHeight="251991040" behindDoc="1" locked="0" layoutInCell="1" allowOverlap="1">
                <wp:simplePos x="0" y="0"/>
                <wp:positionH relativeFrom="column">
                  <wp:posOffset>-723900</wp:posOffset>
                </wp:positionH>
                <wp:positionV relativeFrom="paragraph">
                  <wp:posOffset>-899160</wp:posOffset>
                </wp:positionV>
                <wp:extent cx="7581900" cy="10906125"/>
                <wp:effectExtent l="0" t="0" r="19050" b="28575"/>
                <wp:wrapNone/>
                <wp:docPr id="215" name="Rectangle 215"/>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5" o:spid="_x0000_s1026" style="position:absolute;margin-left:-57pt;margin-top:-70.8pt;width:597pt;height:858.75pt;z-index:-25132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" fillcolor="#91ae4f" strokecolor="#1f3763 [1604]" strokeweight="1pt">
                <v:fill opacity="39321f"/>
              </v:rect>
            </w:pict>
          </mc:Fallback>
        </mc:AlternateContent>
      </w:r>
      <w:bookmarkEnd w:id="19"/>
      <w:bookmarkEnd w:id="20"/>
    </w:p>
    <w:p>
      <w:pPr>
        <w:pStyle w:val="Style1"/>
      </w:pPr>
    </w:p>
    <w:p>
      <w:pPr>
        <w:pStyle w:val="Style1"/>
      </w:pPr>
    </w:p>
    <w:p>
      <w:pPr>
        <w:pStyle w:val="Style1"/>
        <w:jc w:val="right"/>
      </w:pPr>
      <w:bookmarkStart w:id="21" w:name="_Toc237958318"/>
      <w:r>
        <w:t>4. Calcul de</w:t>
      </w:r>
      <w:r>
        <w:br/>
        <w:t>l’ISRC</w:t>
      </w:r>
      <w:bookmarkEnd w:id="21"/>
      <w:r>
        <w:br/>
      </w:r>
    </w:p>
    <w:p>
      <w:pPr>
        <w:pStyle w:val="Style1"/>
        <w:jc w:val="right"/>
        <w:rPr>
          <w:rFonts w:ascii="Marianne ExtraBold" w:hAnsi="Marianne ExtraBold"/>
          <w:sz w:val="96"/>
          <w:szCs w:val="32"/>
        </w:rPr>
      </w:pPr>
      <w:r>
        <w:br w:type="page"/>
      </w:r>
    </w:p>
    <w:p>
      <w:pPr>
        <w:spacing w:after="120" w:line="100" w:lineRule="atLeast"/>
        <w:jc w:val="both"/>
        <w:rPr>
          <w:sz w:val="22"/>
        </w:rPr>
      </w:pPr>
    </w:p>
    <w:p>
      <w:pPr>
        <w:spacing w:after="120" w:line="100" w:lineRule="atLeast"/>
        <w:jc w:val="both"/>
      </w:pPr>
    </w:p>
    <w:p>
      <w:pPr>
        <w:pStyle w:val="Style2"/>
        <w:ind w:left="567"/>
      </w:pPr>
      <w:bookmarkStart w:id="22" w:name="_Toc237958319"/>
      <w:r>
        <w:rPr>
          <w:noProof/>
        </w:rPr>
        <mc:AlternateContent>
          <mc:Choice Requires="wps">
            <w:drawing>
              <wp:anchor distT="0" distB="0" distL="114300" distR="114300" simplePos="0" relativeHeight="251993088" behindDoc="0" locked="0" layoutInCell="1" allowOverlap="1">
                <wp:simplePos x="0" y="0"/>
                <wp:positionH relativeFrom="column">
                  <wp:posOffset>-295275</wp:posOffset>
                </wp:positionH>
                <wp:positionV relativeFrom="paragraph">
                  <wp:posOffset>3810</wp:posOffset>
                </wp:positionV>
                <wp:extent cx="550684" cy="576000"/>
                <wp:effectExtent l="19050" t="0" r="1905" b="14605"/>
                <wp:wrapNone/>
                <wp:docPr id="216" name="Larm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16" o:spid="_x0000_s1026" alt="&quot;&quot;" style="position:absolute;margin-left:-23.25pt;margin-top:.3pt;width:43.35pt;height:45.35pt;rotation:180;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4.1 Calcul de l’ISRC</w:t>
      </w:r>
      <w:bookmarkEnd w:id="22"/>
    </w:p>
    <w:p>
      <w:pPr>
        <w:jc w:val="both"/>
      </w:pPr>
    </w:p>
    <w:p>
      <w:pPr>
        <w:jc w:val="both"/>
      </w:pPr>
      <w:r>
        <w:rPr>
          <w:noProof/>
        </w:rPr>
        <mc:AlternateContent>
          <mc:Choice Requires="wps">
            <w:drawing>
              <wp:anchor distT="0" distB="0" distL="114300" distR="114300" simplePos="0" relativeHeight="251872256"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155" name="Rectangle 1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5" o:spid="_x0000_s1026" alt="&quot;&quot;" style="position:absolute;margin-left:-1.95pt;margin-top:21.2pt;width:477.75pt;height:30pt;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" fillcolor="#5770be" stroked="f" strokeweight="1pt"/>
            </w:pict>
          </mc:Fallback>
        </mc:AlternateContent>
      </w:r>
    </w:p>
    <w:p>
      <w:pPr>
        <w:pStyle w:val="Style3"/>
      </w:pPr>
      <w:bookmarkStart w:id="23" w:name="_Toc237958320"/>
      <w:r>
        <w:rPr>
          <w:b w:val="0"/>
          <w:bCs/>
        </w:rPr>
        <w:t>4.1.1. Régime juridique applicable</w:t>
      </w:r>
      <w:bookmarkEnd w:id="23"/>
    </w:p>
    <w:p>
      <w:pPr>
        <w:jc w:val="both"/>
      </w:pPr>
    </w:p>
    <w:p>
      <w:pPr>
        <w:spacing w:after="258"/>
        <w:ind w:left="-3" w:right="52"/>
        <w:jc w:val="both"/>
        <w:rPr>
          <w:sz w:val="22"/>
        </w:rPr>
      </w:pPr>
      <w:r>
        <w:rPr>
          <w:sz w:val="22"/>
        </w:rPr>
        <w:t>Le montant de l’ISRC est fixé dans la convention conclue entre l’agent et l’administration, selon les critères définis par les décrets n° 2019-593 et n°2019-1596 du 31 décembre 2019 dans leur version modifiée. La nouvelle réglementation modifie le mode de calcul de l’ISRC en réduisant les montants plancher et plafond (Cf. articles 3 et 4 du décret n°2026-746 précité).</w:t>
      </w:r>
    </w:p>
    <w:p>
      <w:pPr>
        <w:spacing w:after="120" w:line="100" w:lineRule="atLeast"/>
        <w:jc w:val="both"/>
        <w:rPr>
          <w:sz w:val="22"/>
        </w:rPr>
      </w:pPr>
      <w:r>
        <w:rPr>
          <w:sz w:val="22"/>
        </w:rPr>
        <w:t>Celui-ci fixe les montants plancher / plafond de l’ISRC ainsi que les éléments qui définissent l’assiette de calcul des montants plancher / plafond de l’ISRC. Le montant susceptible d’être alloué à l’agent est nécessairement compris entre les montants plancher et plafond fixés respectivement aux articles 2 et 3 du décret 2019-1596 modifié en fonction de l’ancienneté et de la rémunération de l’agent.</w:t>
      </w:r>
    </w:p>
    <w:p>
      <w:pPr>
        <w:jc w:val="both"/>
        <w:rPr>
          <w:sz w:val="22"/>
          <w:szCs w:val="24"/>
        </w:rPr>
      </w:pPr>
      <w:r>
        <w:rPr>
          <w:b/>
          <w:bCs/>
          <w:noProof/>
        </w:rPr>
        <mc:AlternateContent>
          <mc:Choice Requires="wps">
            <w:drawing>
              <wp:anchor distT="0" distB="0" distL="114300" distR="114300" simplePos="0" relativeHeight="251995136" behindDoc="1" locked="0" layoutInCell="1" allowOverlap="1">
                <wp:simplePos x="0" y="0"/>
                <wp:positionH relativeFrom="column">
                  <wp:posOffset>3810</wp:posOffset>
                </wp:positionH>
                <wp:positionV relativeFrom="paragraph">
                  <wp:posOffset>314324</wp:posOffset>
                </wp:positionV>
                <wp:extent cx="6067425" cy="695325"/>
                <wp:effectExtent l="0" t="0" r="9525" b="9525"/>
                <wp:wrapNone/>
                <wp:docPr id="218" name="Rectangle 2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695325"/>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8" o:spid="_x0000_s1026" alt="&quot;&quot;" style="position:absolute;margin-left:.3pt;margin-top:24.75pt;width:477.75pt;height:54.75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" fillcolor="#5770be" stroked="f" strokeweight="1pt"/>
            </w:pict>
          </mc:Fallback>
        </mc:AlternateContent>
      </w:r>
    </w:p>
    <w:p>
      <w:pPr>
        <w:pStyle w:val="Style3"/>
        <w:rPr>
          <w:b w:val="0"/>
          <w:bCs/>
        </w:rPr>
      </w:pPr>
      <w:bookmarkStart w:id="24" w:name="_Toc237958321"/>
      <w:r>
        <w:rPr>
          <w:b w:val="0"/>
          <w:bCs/>
        </w:rPr>
        <w:t>4.1.2 Modalités de détermination de la rémunération brute</w:t>
      </w:r>
      <w:r>
        <w:rPr>
          <w:b w:val="0"/>
          <w:bCs/>
        </w:rPr>
        <w:br/>
        <w:t>de référence</w:t>
      </w:r>
      <w:bookmarkEnd w:id="24"/>
    </w:p>
    <w:p>
      <w:pPr>
        <w:jc w:val="both"/>
        <w:rPr>
          <w:sz w:val="22"/>
          <w:szCs w:val="24"/>
        </w:rPr>
      </w:pPr>
    </w:p>
    <w:p>
      <w:pPr>
        <w:jc w:val="both"/>
        <w:rPr>
          <w:sz w:val="22"/>
          <w:szCs w:val="24"/>
        </w:rPr>
      </w:pPr>
    </w:p>
    <w:p>
      <w:pPr>
        <w:rPr>
          <w:sz w:val="22"/>
        </w:rPr>
      </w:pPr>
      <w:r>
        <w:rPr>
          <w:sz w:val="22"/>
        </w:rPr>
        <w:t xml:space="preserve">Le montant de la rémunération brute de référence pris en compte pour la détermination des montants plancher / plafond est défini par l’article 4 du décret n° 2019-1596 du 31 décembre 2019 : </w:t>
      </w:r>
    </w:p>
    <w:p>
      <w:pPr>
        <w:jc w:val="both"/>
        <w:rPr>
          <w:rFonts w:cs="Times New Roman"/>
          <w:i/>
          <w:iCs/>
          <w:color w:val="5770BE"/>
          <w:sz w:val="22"/>
        </w:rPr>
      </w:pPr>
      <w:r>
        <w:rPr>
          <w:rFonts w:cs="Times New Roman"/>
          <w:i/>
          <w:iCs/>
          <w:color w:val="5770BE"/>
          <w:sz w:val="22"/>
        </w:rPr>
        <w:t xml:space="preserve"> « La rémunération brute de référence pour la détermination de la rémunération plancher et plafond […] est la rémunération brute annuelle perçue par l'agent au cours de l'année civile précédant celle de la date d'effet de la rupture conventionnelle. »</w:t>
      </w:r>
    </w:p>
    <w:p>
      <w:pPr>
        <w:spacing w:after="120" w:line="100" w:lineRule="atLeast"/>
        <w:jc w:val="both"/>
        <w:rPr>
          <w:sz w:val="22"/>
        </w:rPr>
      </w:pPr>
      <w:r>
        <w:rPr>
          <w:sz w:val="22"/>
        </w:rPr>
        <w:t>Sont exclues de cette rémunération brute de référence :</w:t>
      </w:r>
    </w:p>
    <w:p>
      <w:pPr>
        <w:widowControl w:val="0"/>
        <w:numPr>
          <w:ilvl w:val="0"/>
          <w:numId w:val="22"/>
        </w:numPr>
        <w:spacing w:after="4" w:line="271" w:lineRule="auto"/>
        <w:ind w:left="720" w:right="51" w:hanging="357"/>
        <w:jc w:val="both"/>
        <w:rPr>
          <w:sz w:val="22"/>
        </w:rPr>
      </w:pPr>
      <w:r>
        <w:rPr>
          <w:sz w:val="22"/>
        </w:rPr>
        <w:t xml:space="preserve">Les indemnités qui ont le caractère de remboursement de frais ; </w:t>
      </w:r>
    </w:p>
    <w:p>
      <w:pPr>
        <w:widowControl w:val="0"/>
        <w:numPr>
          <w:ilvl w:val="0"/>
          <w:numId w:val="22"/>
        </w:numPr>
        <w:spacing w:after="4" w:line="271" w:lineRule="auto"/>
        <w:ind w:left="720" w:right="51" w:hanging="357"/>
        <w:jc w:val="both"/>
        <w:rPr>
          <w:sz w:val="22"/>
        </w:rPr>
      </w:pPr>
      <w:r>
        <w:rPr>
          <w:sz w:val="22"/>
        </w:rPr>
        <w:t>Les majorations et indexations relatives à une affection outre-mer ;</w:t>
      </w:r>
    </w:p>
    <w:p>
      <w:pPr>
        <w:widowControl w:val="0"/>
        <w:numPr>
          <w:ilvl w:val="0"/>
          <w:numId w:val="22"/>
        </w:numPr>
        <w:spacing w:after="4" w:line="271" w:lineRule="auto"/>
        <w:ind w:left="720" w:right="51" w:hanging="357"/>
        <w:jc w:val="both"/>
        <w:rPr>
          <w:sz w:val="22"/>
        </w:rPr>
      </w:pPr>
      <w:r>
        <w:rPr>
          <w:sz w:val="22"/>
        </w:rPr>
        <w:t xml:space="preserve">L'indemnité de résidence à l'étranger ; </w:t>
      </w:r>
    </w:p>
    <w:p>
      <w:pPr>
        <w:widowControl w:val="0"/>
        <w:numPr>
          <w:ilvl w:val="0"/>
          <w:numId w:val="22"/>
        </w:numPr>
        <w:spacing w:after="4" w:line="271" w:lineRule="auto"/>
        <w:ind w:left="720" w:right="51" w:hanging="357"/>
        <w:jc w:val="both"/>
        <w:rPr>
          <w:sz w:val="22"/>
        </w:rPr>
      </w:pPr>
      <w:r>
        <w:rPr>
          <w:sz w:val="22"/>
        </w:rPr>
        <w:t xml:space="preserve">Les primes et indemnités liées au changement de résidence, à la primo-affectation, à la mobilité géographique et aux restructurations ; </w:t>
      </w:r>
    </w:p>
    <w:p>
      <w:pPr>
        <w:widowControl w:val="0"/>
        <w:numPr>
          <w:ilvl w:val="0"/>
          <w:numId w:val="22"/>
        </w:numPr>
        <w:spacing w:after="234" w:line="271" w:lineRule="auto"/>
        <w:ind w:left="720" w:right="51" w:hanging="357"/>
        <w:jc w:val="both"/>
        <w:rPr>
          <w:sz w:val="22"/>
        </w:rPr>
      </w:pPr>
      <w:r>
        <w:rPr>
          <w:sz w:val="22"/>
        </w:rPr>
        <w:t>Les indemnités d'enseignement ou de jury ainsi que les autres indemnités non directement liées à l'emploi.</w:t>
      </w:r>
    </w:p>
    <w:p>
      <w:pPr>
        <w:widowControl w:val="0"/>
        <w:spacing w:after="237"/>
        <w:ind w:left="-3" w:right="52"/>
        <w:jc w:val="both"/>
        <w:rPr>
          <w:sz w:val="22"/>
        </w:rPr>
      </w:pPr>
      <w:r>
        <w:rPr>
          <w:sz w:val="22"/>
        </w:rPr>
        <w:t>Pour les agents bénéficiant d’un logement pour nécessité absolue de service, le montant des primes et indemnités pris en compte pour la rémunération brute de référence est celui que les agents auraient perçu s’ils n’avaient pas bénéficié d’un logement pour nécessité absolue de service.</w:t>
      </w:r>
    </w:p>
    <w:p>
      <w:pPr>
        <w:widowControl w:val="0"/>
        <w:spacing w:after="240"/>
        <w:ind w:left="-3" w:right="52"/>
        <w:jc w:val="both"/>
        <w:rPr>
          <w:sz w:val="22"/>
        </w:rPr>
      </w:pPr>
      <w:r>
        <w:rPr>
          <w:sz w:val="22"/>
        </w:rPr>
        <w:t>La rémunération brute de référence tient compte de la rémunération de l’agent perçue auprès d’employeurs publics. Celle-ci peut comprendre les rémunérations perçues auprès de plusieurs employeurs publics, lorsque l’agent a effectué une mobilité en cours d’année civile.</w:t>
      </w:r>
    </w:p>
    <w:p>
      <w:pPr>
        <w:spacing w:after="197"/>
        <w:ind w:left="-3" w:right="52"/>
        <w:jc w:val="both"/>
        <w:rPr>
          <w:sz w:val="22"/>
        </w:rPr>
      </w:pPr>
      <w:r>
        <w:rPr>
          <w:sz w:val="22"/>
        </w:rPr>
        <w:t xml:space="preserve">Si l’agent n’a perçu aucune rémunération par un employeur public l’année précédant celle de la rupture, le montant de l’ISRC versée est donc nul.  </w:t>
      </w:r>
    </w:p>
    <w:p>
      <w:pPr>
        <w:jc w:val="both"/>
        <w:rPr>
          <w:sz w:val="24"/>
          <w:szCs w:val="28"/>
        </w:rPr>
      </w:pPr>
      <w:r>
        <w:rPr>
          <w:sz w:val="22"/>
          <w:szCs w:val="24"/>
        </w:rPr>
        <w:t>Par ailleurs, pour les agents accomplissant un service à temps partiel ou à temps incomplet, il</w:t>
      </w:r>
      <w:r>
        <w:rPr>
          <w:i/>
          <w:sz w:val="22"/>
          <w:szCs w:val="24"/>
        </w:rPr>
        <w:t xml:space="preserve"> </w:t>
      </w:r>
      <w:r>
        <w:rPr>
          <w:sz w:val="22"/>
          <w:szCs w:val="24"/>
        </w:rPr>
        <w:t>convient</w:t>
      </w:r>
      <w:r>
        <w:rPr>
          <w:i/>
          <w:sz w:val="22"/>
          <w:szCs w:val="24"/>
        </w:rPr>
        <w:t xml:space="preserve"> </w:t>
      </w:r>
      <w:r>
        <w:rPr>
          <w:sz w:val="22"/>
          <w:szCs w:val="24"/>
        </w:rPr>
        <w:t>d’effectuer le calcul du montant de l’ISRC sur la base de la rémunération à temps partiel/temps incomplet perçue par l’agent au cours de l’année de référence précédant la rupture conventionnelle</w:t>
      </w:r>
    </w:p>
    <w:p>
      <w:pPr>
        <w:jc w:val="both"/>
      </w:pPr>
      <w:r>
        <w:rPr>
          <w:noProof/>
        </w:rPr>
        <mc:AlternateContent>
          <mc:Choice Requires="wps">
            <w:drawing>
              <wp:anchor distT="0" distB="0" distL="114300" distR="114300" simplePos="0" relativeHeight="252071936"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6" alt="&quot;&quot;" style="position:absolute;margin-left:-1.95pt;margin-top:21.2pt;width:477.75pt;height:30pt;z-index:-2512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" fillcolor="#5770be" stroked="f" strokeweight="1pt"/>
            </w:pict>
          </mc:Fallback>
        </mc:AlternateContent>
      </w:r>
    </w:p>
    <w:p>
      <w:pPr>
        <w:pStyle w:val="Style3"/>
      </w:pPr>
      <w:bookmarkStart w:id="25" w:name="_Toc237958322"/>
      <w:r>
        <w:rPr>
          <w:b w:val="0"/>
          <w:bCs/>
        </w:rPr>
        <w:t>4.1.3. Les montants plancher et plafond de l’ISRC</w:t>
      </w:r>
      <w:bookmarkEnd w:id="25"/>
    </w:p>
    <w:p>
      <w:pPr>
        <w:jc w:val="both"/>
      </w:pPr>
    </w:p>
    <w:p>
      <w:pPr>
        <w:spacing w:after="298"/>
        <w:ind w:left="-3"/>
        <w:rPr>
          <w:sz w:val="22"/>
        </w:rPr>
      </w:pPr>
      <w:r>
        <w:rPr>
          <w:sz w:val="22"/>
          <w:u w:val="single" w:color="000000"/>
        </w:rPr>
        <w:t>Montant plancher (minimum) de l’ISRC :</w:t>
      </w:r>
      <w:r>
        <w:rPr>
          <w:sz w:val="22"/>
        </w:rPr>
        <w:t xml:space="preserve"> </w:t>
      </w:r>
    </w:p>
    <w:p>
      <w:pPr>
        <w:spacing w:after="268"/>
        <w:ind w:left="-3" w:right="52"/>
        <w:rPr>
          <w:sz w:val="22"/>
        </w:rPr>
      </w:pPr>
      <w:r>
        <w:rPr>
          <w:sz w:val="22"/>
        </w:rPr>
        <w:t xml:space="preserve">Le montant plancher (minimum) est progressif selon l’ancienneté de l’agent, dans la limite de 24 années. Le montant de l’ISRC ne peut être inférieur aux montants suivants prévus par l’article 2 du décret n° 2019-1596 du 31 décembre 2019 (Cf. article 3 du décret n°2026-746 précité) : </w:t>
      </w:r>
    </w:p>
    <w:p>
      <w:pPr>
        <w:numPr>
          <w:ilvl w:val="0"/>
          <w:numId w:val="23"/>
        </w:numPr>
        <w:spacing w:after="4" w:line="271" w:lineRule="auto"/>
        <w:ind w:right="52" w:hanging="360"/>
        <w:jc w:val="both"/>
        <w:rPr>
          <w:sz w:val="22"/>
        </w:rPr>
      </w:pPr>
      <w:r>
        <w:rPr>
          <w:sz w:val="22"/>
        </w:rPr>
        <w:t>Un sixième de mois de rémunération brute par année d’ancienneté pour les années jusqu’à dix ans ;</w:t>
      </w:r>
    </w:p>
    <w:p>
      <w:pPr>
        <w:numPr>
          <w:ilvl w:val="0"/>
          <w:numId w:val="23"/>
        </w:numPr>
        <w:spacing w:after="4" w:line="271" w:lineRule="auto"/>
        <w:ind w:right="52" w:hanging="360"/>
        <w:jc w:val="both"/>
        <w:rPr>
          <w:sz w:val="22"/>
        </w:rPr>
      </w:pPr>
      <w:r>
        <w:rPr>
          <w:sz w:val="22"/>
        </w:rPr>
        <w:t>Un cinquième de mois de rémunération brute par année d’ancienneté pour les années à partir de dix ans et jusqu’à quinze ans ;</w:t>
      </w:r>
    </w:p>
    <w:p>
      <w:pPr>
        <w:numPr>
          <w:ilvl w:val="0"/>
          <w:numId w:val="23"/>
        </w:numPr>
        <w:spacing w:after="4" w:line="271" w:lineRule="auto"/>
        <w:ind w:right="52" w:hanging="360"/>
        <w:jc w:val="both"/>
        <w:rPr>
          <w:sz w:val="22"/>
        </w:rPr>
      </w:pPr>
      <w:r>
        <w:rPr>
          <w:sz w:val="22"/>
        </w:rPr>
        <w:t>Un quart de mois de rémunération brute par année d’ancienneté à partir de quinze ans et jusqu’à vingt ans ;</w:t>
      </w:r>
    </w:p>
    <w:p>
      <w:pPr>
        <w:numPr>
          <w:ilvl w:val="0"/>
          <w:numId w:val="23"/>
        </w:numPr>
        <w:spacing w:after="4" w:line="271" w:lineRule="auto"/>
        <w:ind w:right="52" w:hanging="360"/>
        <w:jc w:val="both"/>
        <w:rPr>
          <w:sz w:val="22"/>
        </w:rPr>
      </w:pPr>
      <w:r>
        <w:rPr>
          <w:sz w:val="22"/>
        </w:rPr>
        <w:t>Un tiers de mois de rémunération brute par année d’ancienneté à partir de vingt ans et jusqu’à vingt-quatre ans.</w:t>
      </w:r>
    </w:p>
    <w:p>
      <w:pPr>
        <w:spacing w:after="263" w:line="271" w:lineRule="auto"/>
        <w:ind w:right="52"/>
        <w:jc w:val="both"/>
        <w:rPr>
          <w:strike/>
          <w:sz w:val="22"/>
        </w:rPr>
      </w:pPr>
    </w:p>
    <w:p>
      <w:pPr>
        <w:spacing w:after="288"/>
        <w:ind w:left="-3"/>
        <w:rPr>
          <w:sz w:val="22"/>
        </w:rPr>
      </w:pPr>
      <w:r>
        <w:rPr>
          <w:sz w:val="22"/>
        </w:rPr>
        <w:t>Les modalités de calcul du plancher sont les suivantes :</w:t>
      </w:r>
    </w:p>
    <w:tbl>
      <w:tblPr>
        <w:tblStyle w:val="TableauGrille1Clair-Accentuation5"/>
        <w:tblW w:w="0" w:type="auto"/>
        <w:tblLook w:val="04A0" w:firstRow="1" w:lastRow="0" w:firstColumn="1" w:lastColumn="0" w:noHBand="0" w:noVBand="1"/>
      </w:tblPr>
      <w:tblGrid>
        <w:gridCol w:w="4672"/>
        <w:gridCol w:w="4673"/>
      </w:tblGrid>
      <w:tr>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4672" w:type="dxa"/>
          </w:tcPr>
          <w:p>
            <w:pPr>
              <w:spacing w:after="288"/>
              <w:rPr>
                <w:sz w:val="22"/>
              </w:rPr>
            </w:pPr>
            <w:r>
              <w:rPr>
                <w:sz w:val="22"/>
              </w:rPr>
              <w:t>Par année d’ancienneté</w:t>
            </w:r>
          </w:p>
        </w:tc>
        <w:tc>
          <w:tcPr>
            <w:tcW w:w="4673" w:type="dxa"/>
          </w:tcPr>
          <w:p>
            <w:pPr>
              <w:spacing w:after="288"/>
              <w:cnfStyle w:val="100000000000" w:firstRow="1" w:lastRow="0" w:firstColumn="0" w:lastColumn="0" w:oddVBand="0" w:evenVBand="0" w:oddHBand="0" w:evenHBand="0" w:firstRowFirstColumn="0" w:firstRowLastColumn="0" w:lastRowFirstColumn="0" w:lastRowLastColumn="0"/>
              <w:rPr>
                <w:sz w:val="22"/>
              </w:rPr>
            </w:pPr>
            <w:r>
              <w:rPr>
                <w:sz w:val="22"/>
              </w:rPr>
              <w:t>Montant minimum</w:t>
            </w:r>
          </w:p>
        </w:tc>
      </w:tr>
      <w:tr>
        <w:trPr>
          <w:trHeight w:val="208"/>
        </w:trPr>
        <w:tc>
          <w:tcPr>
            <w:cnfStyle w:val="001000000000" w:firstRow="0" w:lastRow="0" w:firstColumn="1" w:lastColumn="0" w:oddVBand="0" w:evenVBand="0" w:oddHBand="0" w:evenHBand="0" w:firstRowFirstColumn="0" w:firstRowLastColumn="0" w:lastRowFirstColumn="0" w:lastRowLastColumn="0"/>
            <w:tcW w:w="4672" w:type="dxa"/>
          </w:tcPr>
          <w:p>
            <w:pPr>
              <w:spacing w:after="288"/>
              <w:rPr>
                <w:b w:val="0"/>
                <w:bCs w:val="0"/>
                <w:sz w:val="22"/>
              </w:rPr>
            </w:pPr>
            <w:r>
              <w:rPr>
                <w:b w:val="0"/>
                <w:bCs w:val="0"/>
                <w:sz w:val="22"/>
              </w:rPr>
              <w:t xml:space="preserve">De la 1ère à la 10ème année révolue </w:t>
            </w:r>
          </w:p>
        </w:tc>
        <w:tc>
          <w:tcPr>
            <w:tcW w:w="4673" w:type="dxa"/>
          </w:tcPr>
          <w:p>
            <w:pPr>
              <w:spacing w:after="288"/>
              <w:cnfStyle w:val="000000000000" w:firstRow="0" w:lastRow="0" w:firstColumn="0" w:lastColumn="0" w:oddVBand="0" w:evenVBand="0" w:oddHBand="0" w:evenHBand="0" w:firstRowFirstColumn="0" w:firstRowLastColumn="0" w:lastRowFirstColumn="0" w:lastRowLastColumn="0"/>
              <w:rPr>
                <w:sz w:val="22"/>
              </w:rPr>
            </w:pPr>
            <w:r>
              <w:rPr>
                <w:sz w:val="22"/>
              </w:rPr>
              <w:t>1/6ème x 1/12ème de la RBA n-1</w:t>
            </w:r>
          </w:p>
        </w:tc>
      </w:tr>
      <w:tr>
        <w:tc>
          <w:tcPr>
            <w:cnfStyle w:val="001000000000" w:firstRow="0" w:lastRow="0" w:firstColumn="1" w:lastColumn="0" w:oddVBand="0" w:evenVBand="0" w:oddHBand="0" w:evenHBand="0" w:firstRowFirstColumn="0" w:firstRowLastColumn="0" w:lastRowFirstColumn="0" w:lastRowLastColumn="0"/>
            <w:tcW w:w="4672" w:type="dxa"/>
          </w:tcPr>
          <w:p>
            <w:pPr>
              <w:spacing w:after="288"/>
              <w:rPr>
                <w:b w:val="0"/>
                <w:bCs w:val="0"/>
                <w:sz w:val="22"/>
              </w:rPr>
            </w:pPr>
            <w:r>
              <w:rPr>
                <w:b w:val="0"/>
                <w:bCs w:val="0"/>
                <w:sz w:val="22"/>
              </w:rPr>
              <w:t xml:space="preserve">De la 11ème année à la 15ème année révolue </w:t>
            </w:r>
          </w:p>
        </w:tc>
        <w:tc>
          <w:tcPr>
            <w:tcW w:w="4673" w:type="dxa"/>
          </w:tcPr>
          <w:p>
            <w:pPr>
              <w:spacing w:after="288"/>
              <w:cnfStyle w:val="000000000000" w:firstRow="0" w:lastRow="0" w:firstColumn="0" w:lastColumn="0" w:oddVBand="0" w:evenVBand="0" w:oddHBand="0" w:evenHBand="0" w:firstRowFirstColumn="0" w:firstRowLastColumn="0" w:lastRowFirstColumn="0" w:lastRowLastColumn="0"/>
              <w:rPr>
                <w:sz w:val="22"/>
              </w:rPr>
            </w:pPr>
            <w:r>
              <w:rPr>
                <w:sz w:val="22"/>
              </w:rPr>
              <w:t>1/5ème x 1/12ème de la RBA n-1</w:t>
            </w:r>
          </w:p>
        </w:tc>
      </w:tr>
      <w:tr>
        <w:tc>
          <w:tcPr>
            <w:cnfStyle w:val="001000000000" w:firstRow="0" w:lastRow="0" w:firstColumn="1" w:lastColumn="0" w:oddVBand="0" w:evenVBand="0" w:oddHBand="0" w:evenHBand="0" w:firstRowFirstColumn="0" w:firstRowLastColumn="0" w:lastRowFirstColumn="0" w:lastRowLastColumn="0"/>
            <w:tcW w:w="4672" w:type="dxa"/>
          </w:tcPr>
          <w:p>
            <w:pPr>
              <w:spacing w:after="288"/>
              <w:rPr>
                <w:b w:val="0"/>
                <w:bCs w:val="0"/>
                <w:sz w:val="22"/>
              </w:rPr>
            </w:pPr>
            <w:r>
              <w:rPr>
                <w:b w:val="0"/>
                <w:bCs w:val="0"/>
                <w:sz w:val="22"/>
              </w:rPr>
              <w:t xml:space="preserve">De la 16ème à la 20ème année révolue </w:t>
            </w:r>
          </w:p>
        </w:tc>
        <w:tc>
          <w:tcPr>
            <w:tcW w:w="4673" w:type="dxa"/>
          </w:tcPr>
          <w:p>
            <w:pPr>
              <w:spacing w:after="288"/>
              <w:cnfStyle w:val="000000000000" w:firstRow="0" w:lastRow="0" w:firstColumn="0" w:lastColumn="0" w:oddVBand="0" w:evenVBand="0" w:oddHBand="0" w:evenHBand="0" w:firstRowFirstColumn="0" w:firstRowLastColumn="0" w:lastRowFirstColumn="0" w:lastRowLastColumn="0"/>
              <w:rPr>
                <w:sz w:val="22"/>
              </w:rPr>
            </w:pPr>
            <w:r>
              <w:rPr>
                <w:sz w:val="22"/>
              </w:rPr>
              <w:t>1/4 x 1/12ème de la RBA n-1</w:t>
            </w:r>
          </w:p>
        </w:tc>
      </w:tr>
      <w:tr>
        <w:tc>
          <w:tcPr>
            <w:cnfStyle w:val="001000000000" w:firstRow="0" w:lastRow="0" w:firstColumn="1" w:lastColumn="0" w:oddVBand="0" w:evenVBand="0" w:oddHBand="0" w:evenHBand="0" w:firstRowFirstColumn="0" w:firstRowLastColumn="0" w:lastRowFirstColumn="0" w:lastRowLastColumn="0"/>
            <w:tcW w:w="4672" w:type="dxa"/>
          </w:tcPr>
          <w:p>
            <w:pPr>
              <w:spacing w:after="288"/>
              <w:rPr>
                <w:b w:val="0"/>
                <w:bCs w:val="0"/>
                <w:sz w:val="22"/>
              </w:rPr>
            </w:pPr>
            <w:r>
              <w:rPr>
                <w:b w:val="0"/>
                <w:bCs w:val="0"/>
                <w:sz w:val="22"/>
              </w:rPr>
              <w:t xml:space="preserve">De la 21ème à la 24ème année révolue </w:t>
            </w:r>
          </w:p>
        </w:tc>
        <w:tc>
          <w:tcPr>
            <w:tcW w:w="4673" w:type="dxa"/>
          </w:tcPr>
          <w:p>
            <w:pPr>
              <w:spacing w:after="288"/>
              <w:cnfStyle w:val="000000000000" w:firstRow="0" w:lastRow="0" w:firstColumn="0" w:lastColumn="0" w:oddVBand="0" w:evenVBand="0" w:oddHBand="0" w:evenHBand="0" w:firstRowFirstColumn="0" w:firstRowLastColumn="0" w:lastRowFirstColumn="0" w:lastRowLastColumn="0"/>
              <w:rPr>
                <w:sz w:val="22"/>
              </w:rPr>
            </w:pPr>
            <w:r>
              <w:rPr>
                <w:sz w:val="22"/>
              </w:rPr>
              <w:t>1/3 x 1/12ème de la RBA n-1</w:t>
            </w:r>
          </w:p>
        </w:tc>
      </w:tr>
    </w:tbl>
    <w:p>
      <w:pPr>
        <w:spacing w:after="288"/>
        <w:ind w:left="-3"/>
        <w:rPr>
          <w:sz w:val="22"/>
          <w:u w:val="single" w:color="000000"/>
        </w:rPr>
      </w:pPr>
    </w:p>
    <w:p>
      <w:pPr>
        <w:spacing w:after="288"/>
        <w:ind w:left="-3"/>
        <w:rPr>
          <w:sz w:val="22"/>
        </w:rPr>
      </w:pPr>
      <w:r>
        <w:rPr>
          <w:sz w:val="22"/>
          <w:u w:val="single" w:color="000000"/>
        </w:rPr>
        <w:t>Montant plafond de l’ISRC :</w:t>
      </w:r>
      <w:r>
        <w:rPr>
          <w:sz w:val="22"/>
        </w:rPr>
        <w:t xml:space="preserve"> </w:t>
      </w:r>
    </w:p>
    <w:p>
      <w:pPr>
        <w:spacing w:after="250"/>
        <w:ind w:left="-3" w:right="52"/>
        <w:jc w:val="both"/>
        <w:rPr>
          <w:sz w:val="22"/>
        </w:rPr>
      </w:pPr>
      <w:r>
        <w:rPr>
          <w:sz w:val="22"/>
        </w:rPr>
        <w:t>Le montant plafond (maximum) de l’ISRC ne peut excéder une somme prévue par l’article 3 du même décret (Cf. article 4 du décret n°2026-746 précité) : il ne peut pas dépasser 1/24ème de la RBA multiplié par le nombre d’années révolues d’ancienneté, dans la limite de 24 années.</w:t>
      </w:r>
    </w:p>
    <w:p>
      <w:pPr>
        <w:spacing w:after="288"/>
        <w:ind w:left="-3"/>
        <w:jc w:val="both"/>
        <w:rPr>
          <w:sz w:val="22"/>
          <w:u w:val="single" w:color="000000"/>
        </w:rPr>
      </w:pPr>
    </w:p>
    <w:p>
      <w:pPr>
        <w:spacing w:after="288"/>
        <w:ind w:left="-3"/>
        <w:jc w:val="both"/>
        <w:rPr>
          <w:sz w:val="22"/>
          <w:u w:val="single" w:color="000000"/>
        </w:rPr>
      </w:pPr>
    </w:p>
    <w:p>
      <w:pPr>
        <w:spacing w:after="288"/>
        <w:ind w:left="-3"/>
        <w:jc w:val="both"/>
        <w:rPr>
          <w:sz w:val="22"/>
        </w:rPr>
      </w:pPr>
      <w:r>
        <w:rPr>
          <w:sz w:val="22"/>
          <w:u w:val="single" w:color="000000"/>
        </w:rPr>
        <w:t>Appréciation de l’ancienneté :</w:t>
      </w:r>
      <w:r>
        <w:rPr>
          <w:sz w:val="22"/>
        </w:rPr>
        <w:t xml:space="preserve"> </w:t>
      </w:r>
    </w:p>
    <w:p>
      <w:pPr>
        <w:spacing w:after="237"/>
        <w:ind w:left="-3" w:right="52"/>
        <w:jc w:val="both"/>
        <w:rPr>
          <w:sz w:val="22"/>
        </w:rPr>
      </w:pPr>
      <w:r>
        <w:rPr>
          <w:sz w:val="22"/>
        </w:rPr>
        <w:t xml:space="preserve">Pour l’appréciation de l’ancienneté, sont prises en compte les durées de services effectifs accomplis dans les trois versants de la fonction publique.  </w:t>
      </w:r>
    </w:p>
    <w:p>
      <w:pPr>
        <w:spacing w:after="218"/>
        <w:ind w:left="-3" w:right="52"/>
        <w:jc w:val="both"/>
        <w:rPr>
          <w:sz w:val="22"/>
        </w:rPr>
      </w:pPr>
      <w:r>
        <w:rPr>
          <w:sz w:val="22"/>
        </w:rPr>
        <w:t xml:space="preserve">Ce calcul de l’ancienneté est effectué sur l’ensemble de la carrière de l’agent, y compris si des interruptions ont eu lieu au cours de celle-ci en cumulant les années, mois et jours de toutes les périodes d’activité. Cependant, l’ancienneté pour le calcul de l’ISRC étant exprimée en années, les reliquats de mois et les jours ne sont pas retenus dans le calcul de l’ancienneté globale de l’agent. </w:t>
      </w:r>
    </w:p>
    <w:p>
      <w:pPr>
        <w:spacing w:after="319"/>
        <w:ind w:left="-3" w:right="52"/>
        <w:jc w:val="both"/>
        <w:rPr>
          <w:sz w:val="22"/>
        </w:rPr>
      </w:pPr>
      <w:r>
        <w:rPr>
          <w:sz w:val="22"/>
        </w:rPr>
        <w:t xml:space="preserve">La durée d’ancienneté prise en compte est donc exprimée en années révolues. </w:t>
      </w:r>
    </w:p>
    <w:p>
      <w:pPr>
        <w:shd w:val="clear" w:color="auto" w:fill="C6D5A3"/>
        <w:spacing w:after="120" w:line="100" w:lineRule="atLeast"/>
        <w:jc w:val="both"/>
        <w:rPr>
          <w:sz w:val="22"/>
        </w:rPr>
      </w:pPr>
      <w:r>
        <w:rPr>
          <w:b/>
          <w:bCs/>
          <w:sz w:val="22"/>
          <w:u w:val="single"/>
        </w:rPr>
        <w:t>Exemple :</w:t>
      </w:r>
      <w:r>
        <w:rPr>
          <w:b/>
          <w:bCs/>
          <w:sz w:val="22"/>
        </w:rPr>
        <w:t xml:space="preserve"> </w:t>
      </w:r>
      <w:r>
        <w:rPr>
          <w:sz w:val="22"/>
        </w:rPr>
        <w:t>Un titulaire âgé de 45 ans dont la rupture conventionnelle prend effet le 1</w:t>
      </w:r>
      <w:r>
        <w:rPr>
          <w:sz w:val="22"/>
          <w:vertAlign w:val="superscript"/>
        </w:rPr>
        <w:t>er</w:t>
      </w:r>
      <w:r>
        <w:rPr>
          <w:sz w:val="22"/>
        </w:rPr>
        <w:t xml:space="preserve"> juillet 2026 aura 15 ans et 6 mois d’ancienneté à la date de cessation définitive de ses fonctions. Ses 6 mois d’ancienneté supplémentaires ne correspondant pas à une année révolue d’ancienneté, ils ne sont pas pris en compte pour le calcul de l’indemnité. Au regard de sa rémunération brute de référence (n-1) de 50 000 €, </w:t>
      </w:r>
      <w:r>
        <w:rPr>
          <w:sz w:val="22"/>
          <w:u w:val="single"/>
        </w:rPr>
        <w:t>l’indemnité plancher</w:t>
      </w:r>
      <w:r>
        <w:rPr>
          <w:sz w:val="22"/>
        </w:rPr>
        <w:t xml:space="preserve"> qu’il sera susceptible de percevoir s’élève à :</w:t>
      </w:r>
    </w:p>
    <w:p>
      <w:pPr>
        <w:shd w:val="clear" w:color="auto" w:fill="C6D5A3"/>
        <w:spacing w:after="120" w:line="100" w:lineRule="atLeast"/>
        <w:jc w:val="both"/>
        <w:rPr>
          <w:sz w:val="22"/>
        </w:rPr>
      </w:pPr>
      <w:r>
        <w:rPr>
          <w:sz w:val="22"/>
        </w:rPr>
        <w:t xml:space="preserve">10 * (1/6 x 1/12ème x 50 000 €) + 5* (1/5ème x 1/12ème x 50 000 €) = 11 111 € </w:t>
      </w:r>
    </w:p>
    <w:p>
      <w:pPr>
        <w:shd w:val="clear" w:color="auto" w:fill="C6D5A3"/>
        <w:spacing w:after="120" w:line="100" w:lineRule="atLeast"/>
        <w:jc w:val="both"/>
        <w:rPr>
          <w:sz w:val="22"/>
        </w:rPr>
      </w:pPr>
      <w:r>
        <w:rPr>
          <w:sz w:val="22"/>
        </w:rPr>
        <w:t xml:space="preserve">Et </w:t>
      </w:r>
      <w:r>
        <w:rPr>
          <w:sz w:val="22"/>
          <w:u w:val="single"/>
        </w:rPr>
        <w:t>l’indemnité plafond</w:t>
      </w:r>
      <w:r>
        <w:rPr>
          <w:sz w:val="22"/>
        </w:rPr>
        <w:t xml:space="preserve"> Montant plafond qu’il sera susceptible de percevoir s’élève à :</w:t>
      </w:r>
    </w:p>
    <w:p>
      <w:pPr>
        <w:shd w:val="clear" w:color="auto" w:fill="C6D5A3"/>
        <w:spacing w:after="120" w:line="100" w:lineRule="atLeast"/>
        <w:jc w:val="both"/>
        <w:rPr>
          <w:sz w:val="22"/>
        </w:rPr>
      </w:pPr>
      <w:r>
        <w:rPr>
          <w:sz w:val="22"/>
        </w:rPr>
        <w:t>15 x 1/24ème x 50 000 € = 31 250 €</w:t>
      </w:r>
    </w:p>
    <w:p>
      <w:pPr>
        <w:shd w:val="clear" w:color="auto" w:fill="C6D5A3"/>
        <w:spacing w:after="120" w:line="100" w:lineRule="atLeast"/>
        <w:jc w:val="both"/>
        <w:rPr>
          <w:sz w:val="22"/>
        </w:rPr>
      </w:pPr>
      <w:r>
        <w:rPr>
          <w:sz w:val="22"/>
        </w:rPr>
        <w:t>Soit une fourchette d’ISRC envisageable comprise entre 11 111 € et 31 250 €</w:t>
      </w:r>
    </w:p>
    <w:p>
      <w:pPr>
        <w:spacing w:after="319"/>
        <w:ind w:left="-3" w:right="52"/>
        <w:jc w:val="both"/>
        <w:rPr>
          <w:sz w:val="22"/>
        </w:rPr>
      </w:pPr>
      <w:r>
        <w:rPr>
          <w:sz w:val="22"/>
        </w:rPr>
        <w:t xml:space="preserve"> </w:t>
      </w:r>
    </w:p>
    <w:p>
      <w:pPr>
        <w:shd w:val="clear" w:color="auto" w:fill="C6D5A3"/>
        <w:spacing w:after="120" w:line="100" w:lineRule="atLeast"/>
        <w:jc w:val="both"/>
        <w:rPr>
          <w:sz w:val="22"/>
        </w:rPr>
      </w:pPr>
      <w:r>
        <w:rPr>
          <w:b/>
          <w:bCs/>
          <w:sz w:val="22"/>
          <w:u w:val="single"/>
        </w:rPr>
        <w:t>Exemple :</w:t>
      </w:r>
      <w:r>
        <w:rPr>
          <w:sz w:val="22"/>
        </w:rPr>
        <w:t xml:space="preserve"> un agent ayant 8 ans et 7 mois d’ancienneté se verra retenir 8 années d’ancienneté pour le calcul de l’ISRC.</w:t>
      </w:r>
    </w:p>
    <w:p>
      <w:pPr>
        <w:spacing w:after="218"/>
        <w:ind w:left="-3" w:right="52"/>
        <w:jc w:val="both"/>
        <w:rPr>
          <w:sz w:val="22"/>
        </w:rPr>
      </w:pPr>
      <w:r>
        <w:rPr>
          <w:sz w:val="22"/>
        </w:rPr>
        <w:t xml:space="preserve">La notion de services effectifs comprend les périodes au cours desquelles l’agent est en position d’activité (congés annuels, RTT, congé maternité, etc.). Les périodes de contrat de droit privé (ex : contrat aidé), de service militaire, d’absence de service fait ou d’exclusions, ainsi que de position hors cadre sont décomptées de l’ancienneté. Les périodes de disponibilité et de congé parental ne sont prises en compte que pour les périodes pour lesquelles les droits à avancement sont maintenus. </w:t>
      </w:r>
    </w:p>
    <w:p>
      <w:pPr>
        <w:spacing w:after="301"/>
        <w:ind w:left="-3" w:right="52"/>
        <w:jc w:val="both"/>
        <w:rPr>
          <w:sz w:val="22"/>
        </w:rPr>
      </w:pPr>
      <w:r>
        <w:rPr>
          <w:sz w:val="22"/>
        </w:rPr>
        <w:t xml:space="preserve">Par ailleurs, les services effectués à temps partiel ou à temps incomplet doivent être comptabilisés comme suit :  </w:t>
      </w:r>
    </w:p>
    <w:p>
      <w:pPr>
        <w:numPr>
          <w:ilvl w:val="0"/>
          <w:numId w:val="24"/>
        </w:numPr>
        <w:spacing w:after="4" w:line="271" w:lineRule="auto"/>
        <w:ind w:right="52" w:hanging="360"/>
        <w:jc w:val="both"/>
        <w:rPr>
          <w:sz w:val="22"/>
        </w:rPr>
      </w:pPr>
      <w:proofErr w:type="gramStart"/>
      <w:r>
        <w:rPr>
          <w:sz w:val="22"/>
        </w:rPr>
        <w:t>les</w:t>
      </w:r>
      <w:proofErr w:type="gramEnd"/>
      <w:r>
        <w:rPr>
          <w:sz w:val="22"/>
        </w:rPr>
        <w:t xml:space="preserve"> périodes de travail à temps partiel sont assimilées à des périodes à temps plein ; </w:t>
      </w:r>
    </w:p>
    <w:p>
      <w:pPr>
        <w:numPr>
          <w:ilvl w:val="0"/>
          <w:numId w:val="24"/>
        </w:numPr>
        <w:spacing w:after="4" w:line="271" w:lineRule="auto"/>
        <w:ind w:right="52" w:hanging="360"/>
        <w:jc w:val="both"/>
        <w:rPr>
          <w:sz w:val="22"/>
        </w:rPr>
      </w:pPr>
      <w:proofErr w:type="gramStart"/>
      <w:r>
        <w:rPr>
          <w:sz w:val="22"/>
        </w:rPr>
        <w:t>les</w:t>
      </w:r>
      <w:proofErr w:type="gramEnd"/>
      <w:r>
        <w:rPr>
          <w:sz w:val="22"/>
        </w:rPr>
        <w:t xml:space="preserve"> périodes de travail à temps incomplet dont le temps de travail est au moins égal à 50 % sont assimilées à des périodes à temps complet ; </w:t>
      </w:r>
    </w:p>
    <w:p>
      <w:pPr>
        <w:numPr>
          <w:ilvl w:val="0"/>
          <w:numId w:val="24"/>
        </w:numPr>
        <w:spacing w:after="204" w:line="271" w:lineRule="auto"/>
        <w:ind w:right="52" w:hanging="360"/>
        <w:jc w:val="both"/>
        <w:rPr>
          <w:sz w:val="22"/>
        </w:rPr>
      </w:pPr>
      <w:proofErr w:type="gramStart"/>
      <w:r>
        <w:rPr>
          <w:sz w:val="22"/>
        </w:rPr>
        <w:t>les</w:t>
      </w:r>
      <w:proofErr w:type="gramEnd"/>
      <w:r>
        <w:rPr>
          <w:sz w:val="22"/>
        </w:rPr>
        <w:t xml:space="preserve"> périodes de travail à temps incomplet dont le temps de travail est inférieur à 50 % sont comptabilisées proportionnellement au temps de travail effectivement accompli.  </w:t>
      </w:r>
    </w:p>
    <w:p>
      <w:pPr>
        <w:spacing w:after="231"/>
        <w:ind w:left="-3" w:right="52"/>
        <w:jc w:val="both"/>
        <w:rPr>
          <w:sz w:val="22"/>
        </w:rPr>
      </w:pPr>
      <w:r>
        <w:rPr>
          <w:sz w:val="22"/>
        </w:rPr>
        <w:t xml:space="preserve">Les 24 années se décomposent en 4 périodes de D1 à D4, correspondant respectivement à une durée de 10, 5, 5 et 4 années. </w:t>
      </w:r>
    </w:p>
    <w:p>
      <w:pPr>
        <w:spacing w:after="220"/>
        <w:ind w:left="-3" w:right="52"/>
        <w:jc w:val="both"/>
        <w:rPr>
          <w:sz w:val="22"/>
        </w:rPr>
      </w:pPr>
      <w:r>
        <w:rPr>
          <w:sz w:val="22"/>
        </w:rPr>
        <w:t xml:space="preserve">Autrement dit, le nombre d’années d’ancienneté : </w:t>
      </w:r>
    </w:p>
    <w:p>
      <w:pPr>
        <w:numPr>
          <w:ilvl w:val="0"/>
          <w:numId w:val="24"/>
        </w:numPr>
        <w:spacing w:after="4" w:line="271" w:lineRule="auto"/>
        <w:ind w:right="52" w:hanging="360"/>
        <w:jc w:val="both"/>
        <w:rPr>
          <w:sz w:val="22"/>
        </w:rPr>
      </w:pPr>
      <w:r>
        <w:rPr>
          <w:sz w:val="22"/>
        </w:rPr>
        <w:t xml:space="preserve">D1 : sur la première période allant de de 0 à 10 ans inclus </w:t>
      </w:r>
    </w:p>
    <w:p>
      <w:pPr>
        <w:numPr>
          <w:ilvl w:val="0"/>
          <w:numId w:val="24"/>
        </w:numPr>
        <w:spacing w:after="4" w:line="271" w:lineRule="auto"/>
        <w:ind w:right="52" w:hanging="360"/>
        <w:jc w:val="both"/>
        <w:rPr>
          <w:sz w:val="22"/>
        </w:rPr>
      </w:pPr>
      <w:r>
        <w:rPr>
          <w:sz w:val="22"/>
        </w:rPr>
        <w:t>D2 : sur la deuxième période allant de 10 ans révolus à 15 ans inclus</w:t>
      </w:r>
    </w:p>
    <w:p>
      <w:pPr>
        <w:numPr>
          <w:ilvl w:val="0"/>
          <w:numId w:val="24"/>
        </w:numPr>
        <w:spacing w:after="4" w:line="271" w:lineRule="auto"/>
        <w:ind w:right="52" w:hanging="360"/>
        <w:jc w:val="both"/>
        <w:rPr>
          <w:sz w:val="22"/>
        </w:rPr>
      </w:pPr>
      <w:r>
        <w:rPr>
          <w:sz w:val="22"/>
        </w:rPr>
        <w:t xml:space="preserve">D3 : sur la troisième période allant de 15 ans révolus à 20 ans inclus </w:t>
      </w:r>
    </w:p>
    <w:p>
      <w:pPr>
        <w:numPr>
          <w:ilvl w:val="0"/>
          <w:numId w:val="24"/>
        </w:numPr>
        <w:spacing w:after="171" w:line="271" w:lineRule="auto"/>
        <w:ind w:right="52" w:hanging="360"/>
        <w:jc w:val="both"/>
        <w:rPr>
          <w:sz w:val="22"/>
        </w:rPr>
      </w:pPr>
      <w:r>
        <w:rPr>
          <w:sz w:val="22"/>
        </w:rPr>
        <w:t xml:space="preserve">D4 : sur la quatrième période allant de 20 ans révolus à 24 ans inclus. </w:t>
      </w:r>
    </w:p>
    <w:p>
      <w:pPr>
        <w:tabs>
          <w:tab w:val="left" w:pos="5370"/>
        </w:tabs>
        <w:spacing w:after="120" w:line="100" w:lineRule="atLeast"/>
        <w:jc w:val="both"/>
        <w:rPr>
          <w:sz w:val="24"/>
          <w:szCs w:val="24"/>
        </w:rPr>
      </w:pPr>
    </w:p>
    <w:p>
      <w:pPr>
        <w:spacing w:after="239"/>
        <w:ind w:left="-3" w:right="52"/>
        <w:rPr>
          <w:sz w:val="22"/>
          <w:szCs w:val="24"/>
        </w:rPr>
      </w:pPr>
      <w:r>
        <w:rPr>
          <w:sz w:val="22"/>
          <w:szCs w:val="24"/>
        </w:rPr>
        <w:t xml:space="preserve">Simulateur du montant plancher et plafond d’ISRC : </w:t>
      </w:r>
    </w:p>
    <w:p>
      <w:pPr>
        <w:ind w:left="-3" w:right="52"/>
        <w:rPr>
          <w:sz w:val="22"/>
          <w:szCs w:val="24"/>
        </w:rPr>
      </w:pPr>
      <w:r>
        <w:rPr>
          <w:sz w:val="22"/>
          <w:szCs w:val="24"/>
        </w:rPr>
        <w:t xml:space="preserve">Le simulateur ci-dessous permet d’obtenir le montant plancher et le montant plafond d’ISRC suivant le montant brut de référence et l’ancienneté de l’agent : </w:t>
      </w:r>
    </w:p>
    <w:tbl>
      <w:tblPr>
        <w:tblStyle w:val="TableGrid"/>
        <w:tblW w:w="9426" w:type="dxa"/>
        <w:tblInd w:w="7" w:type="dxa"/>
        <w:tblCellMar>
          <w:top w:w="41" w:type="dxa"/>
        </w:tblCellMar>
        <w:tblLook w:val="04A0" w:firstRow="1" w:lastRow="0" w:firstColumn="1" w:lastColumn="0" w:noHBand="0" w:noVBand="1"/>
      </w:tblPr>
      <w:tblGrid>
        <w:gridCol w:w="468"/>
        <w:gridCol w:w="5190"/>
        <w:gridCol w:w="350"/>
        <w:gridCol w:w="3194"/>
        <w:gridCol w:w="224"/>
      </w:tblGrid>
      <w:tr>
        <w:trPr>
          <w:trHeight w:val="256"/>
        </w:trPr>
        <w:tc>
          <w:tcPr>
            <w:tcW w:w="468" w:type="dxa"/>
            <w:vMerge w:val="restart"/>
            <w:tcBorders>
              <w:top w:val="single" w:sz="4" w:space="0" w:color="000000"/>
              <w:left w:val="single" w:sz="4" w:space="0" w:color="000000"/>
              <w:bottom w:val="single" w:sz="4" w:space="0" w:color="000000"/>
              <w:right w:val="nil"/>
            </w:tcBorders>
            <w:vAlign w:val="center"/>
          </w:tcPr>
          <w:p>
            <w:pPr>
              <w:spacing w:line="259" w:lineRule="auto"/>
              <w:ind w:left="108"/>
            </w:pPr>
            <w:proofErr w:type="gramStart"/>
            <w:r>
              <w:rPr>
                <w:rFonts w:ascii="Courier New" w:eastAsia="Courier New" w:hAnsi="Courier New" w:cs="Courier New"/>
              </w:rPr>
              <w:t>o</w:t>
            </w:r>
            <w:proofErr w:type="gramEnd"/>
            <w:r>
              <w:t xml:space="preserve"> </w:t>
            </w:r>
          </w:p>
        </w:tc>
        <w:tc>
          <w:tcPr>
            <w:tcW w:w="5190" w:type="dxa"/>
            <w:vMerge w:val="restart"/>
            <w:tcBorders>
              <w:top w:val="single" w:sz="4" w:space="0" w:color="000000"/>
              <w:left w:val="nil"/>
              <w:bottom w:val="single" w:sz="4" w:space="0" w:color="000000"/>
              <w:right w:val="single" w:sz="4" w:space="0" w:color="000000"/>
            </w:tcBorders>
            <w:vAlign w:val="center"/>
          </w:tcPr>
          <w:p>
            <w:pPr>
              <w:spacing w:line="259" w:lineRule="auto"/>
            </w:pPr>
            <w:r>
              <w:t>Simulateur du montant plancher et plafond d’ISRC</w:t>
            </w:r>
            <w:r>
              <w:rPr>
                <w:b/>
              </w:rPr>
              <w:t xml:space="preserve"> </w:t>
            </w:r>
          </w:p>
        </w:tc>
        <w:tc>
          <w:tcPr>
            <w:tcW w:w="350" w:type="dxa"/>
            <w:vMerge w:val="restart"/>
            <w:tcBorders>
              <w:top w:val="single" w:sz="4" w:space="0" w:color="000000"/>
              <w:left w:val="single" w:sz="4" w:space="0" w:color="000000"/>
              <w:bottom w:val="single" w:sz="4" w:space="0" w:color="000000"/>
              <w:right w:val="nil"/>
            </w:tcBorders>
          </w:tcPr>
          <w:p>
            <w:pPr>
              <w:spacing w:after="160" w:line="259" w:lineRule="auto"/>
            </w:pPr>
          </w:p>
        </w:tc>
        <w:tc>
          <w:tcPr>
            <w:tcW w:w="3194" w:type="dxa"/>
            <w:tcBorders>
              <w:top w:val="single" w:sz="4" w:space="0" w:color="000000"/>
              <w:left w:val="nil"/>
              <w:bottom w:val="nil"/>
              <w:right w:val="nil"/>
            </w:tcBorders>
            <w:shd w:val="clear" w:color="auto" w:fill="FFFFFF" w:themeFill="background1"/>
          </w:tcPr>
          <w:p>
            <w:pPr>
              <w:rPr>
                <w:rFonts w:ascii="Marianne" w:hAnsi="Marianne"/>
              </w:rPr>
            </w:pPr>
            <w:hyperlink w:anchor="simulateur" w:history="1">
              <w:r>
                <w:rPr>
                  <w:rStyle w:val="Lienhypertexte"/>
                </w:rPr>
                <w:t>Outil de calcul de l’ISRC</w:t>
              </w:r>
            </w:hyperlink>
            <w:r>
              <w:rPr>
                <w:rStyle w:val="Lienhypertexte"/>
              </w:rPr>
              <w:t> :</w:t>
            </w:r>
            <w:r>
              <w:rPr>
                <w:rStyle w:val="Lienhypertexte"/>
                <w:u w:val="none"/>
              </w:rPr>
              <w:t xml:space="preserve"> </w:t>
            </w:r>
            <w:hyperlink r:id="rId17" w:history="1">
              <w:r>
                <w:rPr>
                  <w:rStyle w:val="Lienhypertexte"/>
                  <w:rFonts w:ascii="Marianne" w:hAnsi="Marianne"/>
                  <w:color w:val="0000FF"/>
                  <w:u w:val="none"/>
                </w:rPr>
                <w:t>ISRC</w:t>
              </w:r>
            </w:hyperlink>
            <w:r>
              <w:rPr>
                <w:rFonts w:ascii="Marianne" w:hAnsi="Marianne"/>
              </w:rPr>
              <w:t xml:space="preserve"> </w:t>
            </w:r>
          </w:p>
        </w:tc>
        <w:tc>
          <w:tcPr>
            <w:tcW w:w="224" w:type="dxa"/>
            <w:vMerge w:val="restart"/>
            <w:tcBorders>
              <w:top w:val="single" w:sz="4" w:space="0" w:color="000000"/>
              <w:left w:val="nil"/>
              <w:bottom w:val="single" w:sz="4" w:space="0" w:color="000000"/>
              <w:right w:val="single" w:sz="4" w:space="0" w:color="000000"/>
            </w:tcBorders>
          </w:tcPr>
          <w:p>
            <w:pPr>
              <w:spacing w:line="259" w:lineRule="auto"/>
              <w:rPr>
                <w:b/>
              </w:rPr>
            </w:pPr>
          </w:p>
        </w:tc>
      </w:tr>
      <w:tr>
        <w:trPr>
          <w:trHeight w:val="274"/>
        </w:trPr>
        <w:tc>
          <w:tcPr>
            <w:tcW w:w="0" w:type="auto"/>
            <w:vMerge/>
            <w:tcBorders>
              <w:top w:val="nil"/>
              <w:left w:val="single" w:sz="4" w:space="0" w:color="000000"/>
              <w:bottom w:val="single" w:sz="4" w:space="0" w:color="000000"/>
              <w:right w:val="nil"/>
            </w:tcBorders>
          </w:tcPr>
          <w:p>
            <w:pPr>
              <w:spacing w:after="160" w:line="259" w:lineRule="auto"/>
            </w:pPr>
          </w:p>
        </w:tc>
        <w:tc>
          <w:tcPr>
            <w:tcW w:w="5190" w:type="dxa"/>
            <w:vMerge/>
            <w:tcBorders>
              <w:top w:val="nil"/>
              <w:left w:val="nil"/>
              <w:bottom w:val="single" w:sz="4" w:space="0" w:color="000000"/>
              <w:right w:val="single" w:sz="4" w:space="0" w:color="000000"/>
            </w:tcBorders>
          </w:tcPr>
          <w:p>
            <w:pPr>
              <w:spacing w:after="160" w:line="259" w:lineRule="auto"/>
            </w:pPr>
          </w:p>
        </w:tc>
        <w:tc>
          <w:tcPr>
            <w:tcW w:w="350" w:type="dxa"/>
            <w:vMerge/>
            <w:tcBorders>
              <w:top w:val="nil"/>
              <w:left w:val="single" w:sz="4" w:space="0" w:color="000000"/>
              <w:bottom w:val="single" w:sz="4" w:space="0" w:color="000000"/>
              <w:right w:val="nil"/>
            </w:tcBorders>
          </w:tcPr>
          <w:p>
            <w:pPr>
              <w:spacing w:after="160" w:line="259" w:lineRule="auto"/>
            </w:pPr>
          </w:p>
        </w:tc>
        <w:tc>
          <w:tcPr>
            <w:tcW w:w="3194" w:type="dxa"/>
            <w:tcBorders>
              <w:top w:val="nil"/>
              <w:left w:val="nil"/>
              <w:bottom w:val="single" w:sz="4" w:space="0" w:color="000000"/>
              <w:right w:val="nil"/>
            </w:tcBorders>
          </w:tcPr>
          <w:p>
            <w:r>
              <w:rPr>
                <w:rFonts w:ascii="Calibri" w:eastAsia="Calibri" w:hAnsi="Calibri" w:cs="Calibri"/>
                <w:color w:val="0000FF"/>
              </w:rPr>
              <w:t>(</w:t>
            </w:r>
            <w:proofErr w:type="gramStart"/>
            <w:r>
              <w:rPr>
                <w:rFonts w:ascii="Calibri" w:eastAsia="Calibri" w:hAnsi="Calibri" w:cs="Calibri"/>
                <w:color w:val="0000FF"/>
              </w:rPr>
              <w:t>lien</w:t>
            </w:r>
            <w:proofErr w:type="gramEnd"/>
            <w:r>
              <w:rPr>
                <w:rFonts w:ascii="Calibri" w:eastAsia="Calibri" w:hAnsi="Calibri" w:cs="Calibri"/>
                <w:color w:val="0000FF"/>
              </w:rPr>
              <w:t xml:space="preserve"> hypertexte CTRL + clic)</w:t>
            </w:r>
            <w:r>
              <w:rPr>
                <w:rFonts w:ascii="Calibri" w:eastAsia="Calibri" w:hAnsi="Calibri" w:cs="Calibri"/>
                <w:b/>
              </w:rPr>
              <w:t xml:space="preserve"> </w:t>
            </w:r>
          </w:p>
        </w:tc>
        <w:tc>
          <w:tcPr>
            <w:tcW w:w="224" w:type="dxa"/>
            <w:vMerge/>
            <w:tcBorders>
              <w:top w:val="nil"/>
              <w:left w:val="nil"/>
              <w:bottom w:val="single" w:sz="4" w:space="0" w:color="000000"/>
              <w:right w:val="single" w:sz="4" w:space="0" w:color="000000"/>
            </w:tcBorders>
          </w:tcPr>
          <w:p>
            <w:pPr>
              <w:spacing w:after="160" w:line="259" w:lineRule="auto"/>
            </w:pPr>
          </w:p>
        </w:tc>
      </w:tr>
    </w:tbl>
    <w:p>
      <w:pPr>
        <w:spacing w:after="256"/>
        <w:ind w:left="2"/>
      </w:pPr>
      <w:r>
        <w:t xml:space="preserve"> </w:t>
      </w:r>
    </w:p>
    <w:p>
      <w:pPr>
        <w:ind w:left="-3" w:right="52"/>
        <w:jc w:val="both"/>
        <w:rPr>
          <w:sz w:val="22"/>
          <w:szCs w:val="24"/>
        </w:rPr>
      </w:pPr>
      <w:r>
        <w:rPr>
          <w:sz w:val="22"/>
          <w:szCs w:val="24"/>
        </w:rPr>
        <w:t>Ce simulateur indique également les codes indemnités d’ISRC à utiliser pour sa liquidation (cf. volet 3 et volet 4).</w:t>
      </w:r>
    </w:p>
    <w:p>
      <w:pPr>
        <w:jc w:val="both"/>
      </w:pPr>
      <w:r>
        <w:rPr>
          <w:noProof/>
        </w:rPr>
        <mc:AlternateContent>
          <mc:Choice Requires="wps">
            <w:drawing>
              <wp:anchor distT="0" distB="0" distL="114300" distR="114300" simplePos="0" relativeHeight="252073984"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15" name="Rectangle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6" alt="&quot;&quot;" style="position:absolute;margin-left:-1.95pt;margin-top:21.2pt;width:477.75pt;height:30pt;z-index:-25124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" fillcolor="#5770be" stroked="f" strokeweight="1pt"/>
            </w:pict>
          </mc:Fallback>
        </mc:AlternateContent>
      </w:r>
    </w:p>
    <w:p>
      <w:pPr>
        <w:pStyle w:val="Style3"/>
      </w:pPr>
      <w:bookmarkStart w:id="26" w:name="_Toc237958323"/>
      <w:r>
        <w:rPr>
          <w:b w:val="0"/>
          <w:bCs/>
        </w:rPr>
        <w:t>4.1.4. Assiettes fiscales et sociales de l’ISRC</w:t>
      </w:r>
      <w:bookmarkEnd w:id="26"/>
    </w:p>
    <w:p>
      <w:pPr>
        <w:spacing w:after="120" w:line="100" w:lineRule="atLeast"/>
        <w:jc w:val="both"/>
        <w:rPr>
          <w:sz w:val="24"/>
          <w:szCs w:val="24"/>
        </w:rPr>
      </w:pPr>
    </w:p>
    <w:p>
      <w:pPr>
        <w:spacing w:after="241"/>
        <w:ind w:left="-3" w:right="52"/>
        <w:jc w:val="both"/>
        <w:rPr>
          <w:sz w:val="22"/>
          <w:szCs w:val="24"/>
        </w:rPr>
      </w:pPr>
      <w:r>
        <w:rPr>
          <w:sz w:val="22"/>
          <w:szCs w:val="24"/>
        </w:rPr>
        <w:t xml:space="preserve">Selon le montant d’ISRC versé à l’agent et son droit à la retraite au sens de l’article 80 duodecies, 6° du Code général des impôts l, les assiettes fiscales et sociales sont différentes.   </w:t>
      </w:r>
    </w:p>
    <w:p>
      <w:pPr>
        <w:spacing w:after="215"/>
        <w:ind w:left="-3" w:right="52"/>
        <w:jc w:val="both"/>
        <w:rPr>
          <w:b/>
          <w:bCs/>
          <w:sz w:val="22"/>
          <w:szCs w:val="24"/>
        </w:rPr>
      </w:pPr>
      <w:r>
        <w:rPr>
          <w:b/>
          <w:bCs/>
          <w:sz w:val="22"/>
          <w:szCs w:val="24"/>
        </w:rPr>
        <w:t>4.1.4.1 Les modalités d’assujettissement à la CSG</w:t>
      </w:r>
    </w:p>
    <w:p>
      <w:pPr>
        <w:spacing w:after="205"/>
        <w:ind w:left="-3" w:right="52"/>
        <w:jc w:val="both"/>
        <w:rPr>
          <w:sz w:val="22"/>
          <w:szCs w:val="24"/>
        </w:rPr>
      </w:pPr>
      <w:r>
        <w:rPr>
          <w:sz w:val="22"/>
          <w:szCs w:val="24"/>
        </w:rPr>
        <w:t xml:space="preserve">L’assiette des cotisations CSG-CRDS est déterminée par l’article L.136-1-1 du code de la sécurité sociale : </w:t>
      </w:r>
    </w:p>
    <w:p>
      <w:pPr>
        <w:spacing w:after="207" w:line="267" w:lineRule="auto"/>
        <w:ind w:left="-3" w:right="47"/>
        <w:jc w:val="both"/>
        <w:rPr>
          <w:rFonts w:cs="Times New Roman"/>
          <w:i/>
          <w:iCs/>
          <w:color w:val="5770BE"/>
          <w:sz w:val="22"/>
        </w:rPr>
      </w:pPr>
      <w:r>
        <w:rPr>
          <w:rFonts w:cs="Times New Roman"/>
          <w:i/>
          <w:iCs/>
          <w:color w:val="5770BE"/>
          <w:sz w:val="22"/>
        </w:rPr>
        <w:t xml:space="preserve">« III.- Par dérogation au I, sont exclus de l'assiette de la contribution mentionnée à l'article L. 136-1 les revenus suivants : </w:t>
      </w:r>
    </w:p>
    <w:p>
      <w:pPr>
        <w:spacing w:after="207" w:line="267" w:lineRule="auto"/>
        <w:ind w:left="-3" w:right="47"/>
        <w:jc w:val="both"/>
        <w:rPr>
          <w:rFonts w:cs="Times New Roman"/>
          <w:i/>
          <w:iCs/>
          <w:color w:val="5770BE"/>
          <w:sz w:val="22"/>
        </w:rPr>
      </w:pPr>
      <w:r>
        <w:rPr>
          <w:rFonts w:cs="Times New Roman"/>
          <w:i/>
          <w:iCs/>
          <w:color w:val="5770BE"/>
          <w:sz w:val="22"/>
        </w:rPr>
        <w:t xml:space="preserve"> 5° bis Dans la limite de deux fois le montant du plafond annuel de la sécurité sociale mentionné à l'article L. 241-3 du présent code, les indemnités spécifiques de rupture conventionnelle versées aux fonctionnaires, aux personnels affiliés au régime de retraite institué en application du décret n° 2004-1056 du 5 octobre 2004 relatif au régime des pensions des ouvriers des établissements industriels de l'Etat et aux agents contractuels de droit public en application des I et III de l'article 72 de la loi n° 2019-828 du 6 août 2019 de transformation de la fonction publique. </w:t>
      </w:r>
    </w:p>
    <w:p>
      <w:pPr>
        <w:spacing w:after="245" w:line="267" w:lineRule="auto"/>
        <w:ind w:left="-3" w:right="47"/>
        <w:jc w:val="both"/>
        <w:rPr>
          <w:rFonts w:cs="Times New Roman"/>
          <w:i/>
          <w:iCs/>
          <w:color w:val="5770BE"/>
          <w:sz w:val="22"/>
        </w:rPr>
      </w:pPr>
      <w:r>
        <w:rPr>
          <w:rFonts w:cs="Times New Roman"/>
          <w:i/>
          <w:iCs/>
          <w:color w:val="5770BE"/>
          <w:sz w:val="22"/>
        </w:rPr>
        <w:t xml:space="preserve">Les indemnités d'un montant supérieur à dix fois le plafond annuel de la sécurité sociale mentionné à l'article L. 241-3 sont intégralement assujetties. » </w:t>
      </w:r>
    </w:p>
    <w:p>
      <w:pPr>
        <w:spacing w:after="120" w:line="100" w:lineRule="atLeast"/>
        <w:jc w:val="both"/>
        <w:rPr>
          <w:sz w:val="24"/>
          <w:szCs w:val="24"/>
        </w:rPr>
      </w:pPr>
      <w:r>
        <w:rPr>
          <w:sz w:val="24"/>
          <w:szCs w:val="24"/>
        </w:rPr>
        <w:t>Le plafond annuel de la sécurité sociale défini à l’article L 241-3 est repris sous l’acronyme PASS. Son montant est fixé chaque année par arrêté.</w:t>
      </w:r>
    </w:p>
    <w:p>
      <w:pPr>
        <w:spacing w:after="255"/>
        <w:ind w:left="2"/>
        <w:rPr>
          <w:sz w:val="22"/>
          <w:szCs w:val="24"/>
        </w:rPr>
      </w:pPr>
      <w:r>
        <w:rPr>
          <w:sz w:val="22"/>
          <w:szCs w:val="24"/>
        </w:rPr>
        <w:t xml:space="preserve">Voir tableau ci-après : </w:t>
      </w:r>
      <w:r>
        <w:rPr>
          <w:sz w:val="22"/>
          <w:szCs w:val="24"/>
          <w:shd w:val="clear" w:color="auto" w:fill="00FFFF"/>
        </w:rPr>
        <w:t xml:space="preserve">Synthèse des modalités d’assujettissement </w:t>
      </w:r>
      <w:r>
        <w:rPr>
          <w:color w:val="0000FF"/>
          <w:sz w:val="22"/>
          <w:szCs w:val="24"/>
        </w:rPr>
        <w:t>(lien hypertexte)</w:t>
      </w:r>
      <w:r>
        <w:rPr>
          <w:sz w:val="22"/>
          <w:szCs w:val="24"/>
        </w:rPr>
        <w:t xml:space="preserve"> </w:t>
      </w:r>
    </w:p>
    <w:p>
      <w:pPr>
        <w:spacing w:after="296"/>
        <w:ind w:left="-3" w:right="52"/>
        <w:rPr>
          <w:b/>
          <w:bCs/>
          <w:sz w:val="22"/>
          <w:szCs w:val="24"/>
        </w:rPr>
      </w:pPr>
      <w:r>
        <w:rPr>
          <w:b/>
          <w:bCs/>
          <w:sz w:val="22"/>
          <w:szCs w:val="24"/>
        </w:rPr>
        <w:t xml:space="preserve">4.1.4. 2 Les modalités d’assujettissement à l’IR </w:t>
      </w:r>
    </w:p>
    <w:p>
      <w:pPr>
        <w:spacing w:after="293"/>
        <w:ind w:left="-3"/>
        <w:rPr>
          <w:sz w:val="22"/>
          <w:szCs w:val="24"/>
        </w:rPr>
      </w:pPr>
      <w:r>
        <w:rPr>
          <w:sz w:val="22"/>
          <w:szCs w:val="24"/>
          <w:u w:val="single" w:color="000000"/>
        </w:rPr>
        <w:t>L’article 80 1.6° duodecies du code général des impôts</w:t>
      </w:r>
      <w:r>
        <w:rPr>
          <w:sz w:val="22"/>
          <w:szCs w:val="24"/>
        </w:rPr>
        <w:t xml:space="preserve"> prévoit qu’est non imposable :</w:t>
      </w:r>
      <w:r>
        <w:rPr>
          <w:rFonts w:ascii="Calibri" w:eastAsia="Calibri" w:hAnsi="Calibri" w:cs="Calibri"/>
          <w:sz w:val="22"/>
          <w:szCs w:val="24"/>
        </w:rPr>
        <w:t xml:space="preserve"> </w:t>
      </w:r>
    </w:p>
    <w:p>
      <w:pPr>
        <w:spacing w:after="291" w:line="267" w:lineRule="auto"/>
        <w:ind w:left="722" w:right="47" w:hanging="360"/>
        <w:rPr>
          <w:rFonts w:cs="Times New Roman"/>
          <w:i/>
          <w:iCs/>
          <w:color w:val="5770BE"/>
          <w:sz w:val="22"/>
        </w:rPr>
      </w:pPr>
      <w:r>
        <w:rPr>
          <w:rFonts w:cs="Times New Roman"/>
          <w:i/>
          <w:iCs/>
          <w:color w:val="5770BE"/>
          <w:sz w:val="22"/>
        </w:rPr>
        <w:t xml:space="preserve">a)  « 6° </w:t>
      </w:r>
      <w:r>
        <w:rPr>
          <w:rFonts w:cs="Times New Roman"/>
          <w:b/>
          <w:bCs/>
          <w:i/>
          <w:iCs/>
          <w:color w:val="5770BE"/>
          <w:sz w:val="22"/>
        </w:rPr>
        <w:t>La fraction des indemnités</w:t>
      </w:r>
      <w:r>
        <w:rPr>
          <w:rFonts w:cs="Times New Roman"/>
          <w:i/>
          <w:iCs/>
          <w:color w:val="5770BE"/>
          <w:sz w:val="22"/>
        </w:rPr>
        <w:t xml:space="preserve"> prévues à l'article L. 1237-13 du code du travail versées à l'occasion de la rupture conventionnelle du contrat de travail d'un salarié, ainsi que la fraction des indemnités prévues aux articles 3 et 7-2 de l'annexe à l'article 33 du Statut du personnel administratif des chambres de commerce et d'industrie versées à l'occasion de la cessation d'un commun accord de la relation de travail d'un agent, </w:t>
      </w:r>
      <w:r>
        <w:rPr>
          <w:rFonts w:cs="Times New Roman"/>
          <w:b/>
          <w:bCs/>
          <w:i/>
          <w:iCs/>
          <w:color w:val="5770BE"/>
          <w:sz w:val="22"/>
        </w:rPr>
        <w:t>lorsqu'ils ne sont pas en droit de bénéficier d'une pension de retraite d'un régime légalement obligatoire</w:t>
      </w:r>
      <w:r>
        <w:rPr>
          <w:rFonts w:cs="Times New Roman"/>
          <w:i/>
          <w:iCs/>
          <w:color w:val="5770BE"/>
          <w:sz w:val="22"/>
        </w:rPr>
        <w:t xml:space="preserve">, qui n'excède pas : </w:t>
      </w:r>
      <w:r>
        <w:rPr>
          <w:rFonts w:cs="Times New Roman"/>
          <w:b/>
          <w:bCs/>
          <w:i/>
          <w:iCs/>
          <w:color w:val="5770BE"/>
          <w:sz w:val="22"/>
        </w:rPr>
        <w:t>soit deux fois le montant de la rémunération annuelle brute perçue par le salarié au cours de l'année civile précédant la rupture de son contrat de travail, ou 50 % du montant de l'indemnité si ce seuil est supérieur, dans la limite de six fois le plafond mentionné à l'article  L 241-3 du code de la sécurité sociale</w:t>
      </w:r>
      <w:r>
        <w:rPr>
          <w:rFonts w:cs="Times New Roman"/>
          <w:i/>
          <w:iCs/>
          <w:color w:val="5770BE"/>
          <w:sz w:val="22"/>
        </w:rPr>
        <w:t xml:space="preserve"> en vigueur à la date de versement des indemnités ;[…] </w:t>
      </w:r>
    </w:p>
    <w:p>
      <w:pPr>
        <w:spacing w:after="254"/>
        <w:ind w:left="-3" w:right="52"/>
        <w:rPr>
          <w:sz w:val="22"/>
          <w:szCs w:val="24"/>
        </w:rPr>
      </w:pPr>
      <w:r>
        <w:rPr>
          <w:b/>
          <w:sz w:val="22"/>
          <w:szCs w:val="24"/>
        </w:rPr>
        <w:t>A noter</w:t>
      </w:r>
      <w:r>
        <w:rPr>
          <w:sz w:val="22"/>
          <w:szCs w:val="24"/>
        </w:rPr>
        <w:t xml:space="preserve"> : Le seuil mentionné au a) du 6° de cet article relatif à deux fois le montant de la rémunération annuelle brute perçue au cours de l’année civile précédant la rupture de son contrat de travail ne peut jamais être dépassé dans la mesure où il s’agit du plafond de l’ISRC (1 mois de la rémunération annuelle brute de référence par année d’ancienneté limitée à 24 ans).</w:t>
      </w:r>
    </w:p>
    <w:p>
      <w:pPr>
        <w:spacing w:after="120" w:line="100" w:lineRule="atLeast"/>
        <w:jc w:val="both"/>
        <w:rPr>
          <w:sz w:val="22"/>
          <w:szCs w:val="24"/>
        </w:rPr>
      </w:pPr>
      <w:r>
        <w:rPr>
          <w:sz w:val="22"/>
          <w:szCs w:val="24"/>
        </w:rPr>
        <w:t>Cela n’est toutefois pas le cas du plafond correspondant à six fois le montant annuel du plafond de la sécurité sociale (246 816 euros [en 2020]) qui peut théoriquement être atteint.</w:t>
      </w:r>
    </w:p>
    <w:p>
      <w:pPr>
        <w:spacing w:after="120" w:line="100" w:lineRule="atLeast"/>
        <w:jc w:val="both"/>
        <w:rPr>
          <w:sz w:val="26"/>
          <w:szCs w:val="28"/>
        </w:rPr>
      </w:pPr>
    </w:p>
    <w:p>
      <w:pPr>
        <w:ind w:left="-3" w:right="52"/>
        <w:jc w:val="both"/>
        <w:rPr>
          <w:sz w:val="26"/>
          <w:szCs w:val="28"/>
        </w:rPr>
      </w:pPr>
      <w:r>
        <w:rPr>
          <w:sz w:val="22"/>
          <w:szCs w:val="24"/>
        </w:rPr>
        <w:t>La Direction de la sécurité sociale indique, au vu de l’article L136-1-1 du code de la sécurité sociale, qu’aucun abattement pour frais professionnels ne peut être appliqué aux ISRC. Elle précise que pour l’ISRC de droit privé, seule la CSG déductible s’applique pour la fraction non imposable, mais que pour l’ISRC de la fonction publique la CSG déductible et la CSG non-déductible s’appliquent (cf. https://bofip.impots.gouv.fr/bofip/5658-PGP.html/identifiant=BOI-RSA-BASE-30-30-20170724).</w:t>
      </w:r>
    </w:p>
    <w:p>
      <w:pPr>
        <w:spacing w:after="120" w:line="100" w:lineRule="atLeast"/>
        <w:jc w:val="both"/>
        <w:rPr>
          <w:sz w:val="24"/>
          <w:szCs w:val="24"/>
        </w:rPr>
      </w:pPr>
      <w:r>
        <w:rPr>
          <w:sz w:val="24"/>
          <w:szCs w:val="24"/>
        </w:rPr>
        <w:t>Synthèse des modalités d’assujettissement selon :</w:t>
      </w:r>
    </w:p>
    <w:p>
      <w:pPr>
        <w:spacing w:after="120" w:line="100" w:lineRule="atLeast"/>
        <w:jc w:val="both"/>
        <w:rPr>
          <w:sz w:val="26"/>
          <w:szCs w:val="28"/>
        </w:rPr>
      </w:pPr>
      <w:r>
        <w:rPr>
          <w:rFonts w:ascii="Segoe UI Symbol" w:eastAsia="Segoe UI Symbol" w:hAnsi="Segoe UI Symbol" w:cs="Segoe UI Symbol"/>
          <w:sz w:val="22"/>
          <w:szCs w:val="24"/>
        </w:rPr>
        <w:t></w:t>
      </w:r>
      <w:r>
        <w:rPr>
          <w:sz w:val="22"/>
          <w:szCs w:val="24"/>
        </w:rPr>
        <w:t xml:space="preserve"> le montant de l’ISRC </w:t>
      </w:r>
      <w:r>
        <w:rPr>
          <w:rFonts w:ascii="Segoe UI Symbol" w:eastAsia="Segoe UI Symbol" w:hAnsi="Segoe UI Symbol" w:cs="Segoe UI Symbol"/>
          <w:sz w:val="22"/>
          <w:szCs w:val="24"/>
        </w:rPr>
        <w:t></w:t>
      </w:r>
      <w:r>
        <w:rPr>
          <w:sz w:val="22"/>
          <w:szCs w:val="24"/>
        </w:rPr>
        <w:t xml:space="preserve"> le droit potentiel de l’agent à une retraite au sens de l’article 80 duodecies, 6° du Code général des impôts</w:t>
      </w:r>
      <w:r>
        <w:rPr>
          <w:vertAlign w:val="superscript"/>
        </w:rPr>
        <w:footnoteReference w:id="1"/>
      </w:r>
      <w:r>
        <w:t xml:space="preserve"> </w:t>
      </w:r>
      <w:r>
        <w:rPr>
          <w:sz w:val="22"/>
          <w:szCs w:val="24"/>
        </w:rPr>
        <w:t xml:space="preserve"> (CGI)</w:t>
      </w:r>
    </w:p>
    <w:tbl>
      <w:tblPr>
        <w:tblStyle w:val="TableGrid"/>
        <w:tblW w:w="9747" w:type="dxa"/>
        <w:tblInd w:w="24" w:type="dxa"/>
        <w:tblCellMar>
          <w:top w:w="36" w:type="dxa"/>
          <w:left w:w="29" w:type="dxa"/>
          <w:right w:w="79" w:type="dxa"/>
        </w:tblCellMar>
        <w:tblLook w:val="04A0" w:firstRow="1" w:lastRow="0" w:firstColumn="1" w:lastColumn="0" w:noHBand="0" w:noVBand="1"/>
      </w:tblPr>
      <w:tblGrid>
        <w:gridCol w:w="12"/>
        <w:gridCol w:w="3356"/>
        <w:gridCol w:w="1976"/>
        <w:gridCol w:w="12"/>
        <w:gridCol w:w="4391"/>
      </w:tblGrid>
      <w:tr>
        <w:trPr>
          <w:gridBefore w:val="1"/>
          <w:wBefore w:w="12" w:type="dxa"/>
          <w:trHeight w:val="838"/>
        </w:trPr>
        <w:tc>
          <w:tcPr>
            <w:tcW w:w="3356" w:type="dxa"/>
            <w:tcBorders>
              <w:top w:val="single" w:sz="8" w:space="0" w:color="000000"/>
              <w:left w:val="single" w:sz="8" w:space="0" w:color="000000"/>
              <w:bottom w:val="single" w:sz="8" w:space="0" w:color="000000"/>
              <w:right w:val="single" w:sz="8" w:space="0" w:color="000000"/>
            </w:tcBorders>
          </w:tcPr>
          <w:p>
            <w:pPr>
              <w:spacing w:line="259" w:lineRule="auto"/>
              <w:ind w:left="36"/>
              <w:jc w:val="center"/>
            </w:pPr>
            <w:r>
              <w:rPr>
                <w:rFonts w:ascii="Calibri" w:eastAsia="Calibri" w:hAnsi="Calibri" w:cs="Calibri"/>
                <w:b/>
              </w:rPr>
              <w:t>Montant de l’ISRC</w:t>
            </w:r>
            <w:r>
              <w:t xml:space="preserve"> </w:t>
            </w:r>
          </w:p>
        </w:tc>
        <w:tc>
          <w:tcPr>
            <w:tcW w:w="1988" w:type="dxa"/>
            <w:gridSpan w:val="2"/>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b/>
              </w:rPr>
              <w:t>Soumis à imposition fiscale</w:t>
            </w:r>
            <w:r>
              <w:t xml:space="preserve"> </w:t>
            </w:r>
          </w:p>
        </w:tc>
        <w:tc>
          <w:tcPr>
            <w:tcW w:w="4391" w:type="dxa"/>
            <w:tcBorders>
              <w:top w:val="single" w:sz="8" w:space="0" w:color="000000"/>
              <w:left w:val="single" w:sz="8" w:space="0" w:color="000000"/>
              <w:bottom w:val="single" w:sz="8" w:space="0" w:color="000000"/>
              <w:right w:val="single" w:sz="8" w:space="0" w:color="000000"/>
            </w:tcBorders>
          </w:tcPr>
          <w:p>
            <w:pPr>
              <w:spacing w:line="259" w:lineRule="auto"/>
              <w:ind w:left="47"/>
              <w:jc w:val="center"/>
            </w:pPr>
            <w:r>
              <w:rPr>
                <w:rFonts w:ascii="Calibri" w:eastAsia="Calibri" w:hAnsi="Calibri" w:cs="Calibri"/>
                <w:b/>
              </w:rPr>
              <w:t>Soumis à CSG-CRDS</w:t>
            </w:r>
            <w:r>
              <w:t xml:space="preserve"> </w:t>
            </w:r>
          </w:p>
        </w:tc>
      </w:tr>
      <w:tr>
        <w:trPr>
          <w:gridBefore w:val="1"/>
          <w:wBefore w:w="12" w:type="dxa"/>
          <w:trHeight w:val="514"/>
        </w:trPr>
        <w:tc>
          <w:tcPr>
            <w:tcW w:w="9735" w:type="dxa"/>
            <w:gridSpan w:val="4"/>
            <w:tcBorders>
              <w:top w:val="single" w:sz="8" w:space="0" w:color="000000"/>
              <w:left w:val="single" w:sz="8" w:space="0" w:color="000000"/>
              <w:bottom w:val="single" w:sz="8" w:space="0" w:color="000000"/>
              <w:right w:val="single" w:sz="8" w:space="0" w:color="000000"/>
            </w:tcBorders>
          </w:tcPr>
          <w:p>
            <w:pPr>
              <w:spacing w:line="259" w:lineRule="auto"/>
              <w:ind w:left="49"/>
              <w:jc w:val="center"/>
            </w:pPr>
            <w:r>
              <w:rPr>
                <w:rFonts w:ascii="Calibri" w:eastAsia="Calibri" w:hAnsi="Calibri" w:cs="Calibri"/>
                <w:b/>
              </w:rPr>
              <w:t>L’agent n’a pas droit à une pension de retraite au sens de l’article 80 duodecies du CGI</w:t>
            </w:r>
          </w:p>
        </w:tc>
      </w:tr>
      <w:tr>
        <w:trPr>
          <w:gridBefore w:val="1"/>
          <w:wBefore w:w="12" w:type="dxa"/>
          <w:trHeight w:val="838"/>
        </w:trPr>
        <w:tc>
          <w:tcPr>
            <w:tcW w:w="3356" w:type="dxa"/>
            <w:tcBorders>
              <w:top w:val="single" w:sz="8" w:space="0" w:color="000000"/>
              <w:left w:val="single" w:sz="8" w:space="0" w:color="000000"/>
              <w:bottom w:val="single" w:sz="8" w:space="0" w:color="000000"/>
              <w:right w:val="single" w:sz="8" w:space="0" w:color="000000"/>
            </w:tcBorders>
          </w:tcPr>
          <w:p>
            <w:pPr>
              <w:spacing w:line="259" w:lineRule="auto"/>
              <w:ind w:left="79"/>
              <w:jc w:val="center"/>
            </w:pPr>
            <w:r>
              <w:rPr>
                <w:rFonts w:ascii="Calibri" w:eastAsia="Calibri" w:hAnsi="Calibri" w:cs="Calibri"/>
              </w:rPr>
              <w:t>ISRC dont le montant est inférieur à 2 PASS</w:t>
            </w:r>
            <w:r>
              <w:t xml:space="preserve"> </w:t>
            </w:r>
          </w:p>
        </w:tc>
        <w:tc>
          <w:tcPr>
            <w:tcW w:w="1988" w:type="dxa"/>
            <w:gridSpan w:val="2"/>
            <w:tcBorders>
              <w:top w:val="single" w:sz="8" w:space="0" w:color="000000"/>
              <w:left w:val="single" w:sz="8" w:space="0" w:color="000000"/>
              <w:bottom w:val="single" w:sz="8" w:space="0" w:color="000000"/>
              <w:right w:val="single" w:sz="8" w:space="0" w:color="000000"/>
            </w:tcBorders>
          </w:tcPr>
          <w:p>
            <w:pPr>
              <w:spacing w:line="259" w:lineRule="auto"/>
              <w:ind w:left="45"/>
              <w:jc w:val="center"/>
            </w:pPr>
            <w:r>
              <w:rPr>
                <w:rFonts w:ascii="Calibri" w:eastAsia="Calibri" w:hAnsi="Calibri" w:cs="Calibri"/>
              </w:rPr>
              <w:t>Non</w:t>
            </w:r>
            <w:r>
              <w:t xml:space="preserve"> </w:t>
            </w:r>
          </w:p>
        </w:tc>
        <w:tc>
          <w:tcPr>
            <w:tcW w:w="4391" w:type="dxa"/>
            <w:tcBorders>
              <w:top w:val="single" w:sz="8" w:space="0" w:color="000000"/>
              <w:left w:val="single" w:sz="8" w:space="0" w:color="000000"/>
              <w:bottom w:val="single" w:sz="8" w:space="0" w:color="000000"/>
              <w:right w:val="single" w:sz="8" w:space="0" w:color="000000"/>
            </w:tcBorders>
          </w:tcPr>
          <w:p>
            <w:pPr>
              <w:spacing w:line="259" w:lineRule="auto"/>
              <w:ind w:left="47"/>
              <w:jc w:val="center"/>
            </w:pPr>
            <w:r>
              <w:rPr>
                <w:rFonts w:ascii="Calibri" w:eastAsia="Calibri" w:hAnsi="Calibri" w:cs="Calibri"/>
              </w:rPr>
              <w:t>Non</w:t>
            </w:r>
            <w:r>
              <w:t xml:space="preserve"> </w:t>
            </w:r>
          </w:p>
        </w:tc>
      </w:tr>
      <w:tr>
        <w:trPr>
          <w:gridBefore w:val="1"/>
          <w:wBefore w:w="12" w:type="dxa"/>
          <w:trHeight w:val="838"/>
        </w:trPr>
        <w:tc>
          <w:tcPr>
            <w:tcW w:w="3356" w:type="dxa"/>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 xml:space="preserve">ISRC dont le montant est compris entre 2 PASS et 6 PASS </w:t>
            </w:r>
          </w:p>
        </w:tc>
        <w:tc>
          <w:tcPr>
            <w:tcW w:w="1988" w:type="dxa"/>
            <w:gridSpan w:val="2"/>
            <w:tcBorders>
              <w:top w:val="single" w:sz="8" w:space="0" w:color="000000"/>
              <w:left w:val="single" w:sz="8" w:space="0" w:color="000000"/>
              <w:bottom w:val="single" w:sz="8" w:space="0" w:color="000000"/>
              <w:right w:val="single" w:sz="8" w:space="0" w:color="000000"/>
            </w:tcBorders>
          </w:tcPr>
          <w:p>
            <w:pPr>
              <w:spacing w:line="259" w:lineRule="auto"/>
              <w:ind w:left="45"/>
              <w:jc w:val="center"/>
            </w:pPr>
            <w:r>
              <w:rPr>
                <w:rFonts w:ascii="Calibri" w:eastAsia="Calibri" w:hAnsi="Calibri" w:cs="Calibri"/>
              </w:rPr>
              <w:t xml:space="preserve">Non </w:t>
            </w:r>
          </w:p>
        </w:tc>
        <w:tc>
          <w:tcPr>
            <w:tcW w:w="4391" w:type="dxa"/>
            <w:tcBorders>
              <w:top w:val="single" w:sz="8" w:space="0" w:color="000000"/>
              <w:left w:val="single" w:sz="8" w:space="0" w:color="000000"/>
              <w:bottom w:val="single" w:sz="8" w:space="0" w:color="000000"/>
              <w:right w:val="single" w:sz="8" w:space="0" w:color="000000"/>
            </w:tcBorders>
          </w:tcPr>
          <w:p>
            <w:pPr>
              <w:spacing w:line="259" w:lineRule="auto"/>
              <w:ind w:left="46"/>
              <w:jc w:val="center"/>
            </w:pPr>
            <w:r>
              <w:rPr>
                <w:rFonts w:ascii="Calibri" w:eastAsia="Calibri" w:hAnsi="Calibri" w:cs="Calibri"/>
              </w:rPr>
              <w:t xml:space="preserve">100%  </w:t>
            </w:r>
          </w:p>
        </w:tc>
      </w:tr>
      <w:tr>
        <w:trPr>
          <w:gridBefore w:val="1"/>
          <w:wBefore w:w="12" w:type="dxa"/>
          <w:trHeight w:val="1147"/>
        </w:trPr>
        <w:tc>
          <w:tcPr>
            <w:tcW w:w="3356" w:type="dxa"/>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ISRC dont le montant est compris entre 6 PASS et 10 PASS</w:t>
            </w:r>
            <w:r>
              <w:t xml:space="preserve"> </w:t>
            </w:r>
          </w:p>
        </w:tc>
        <w:tc>
          <w:tcPr>
            <w:tcW w:w="1988" w:type="dxa"/>
            <w:gridSpan w:val="2"/>
            <w:tcBorders>
              <w:top w:val="single" w:sz="8" w:space="0" w:color="000000"/>
              <w:left w:val="single" w:sz="8" w:space="0" w:color="000000"/>
              <w:bottom w:val="single" w:sz="8" w:space="0" w:color="000000"/>
              <w:right w:val="single" w:sz="8" w:space="0" w:color="000000"/>
            </w:tcBorders>
          </w:tcPr>
          <w:p>
            <w:pPr>
              <w:spacing w:line="259" w:lineRule="auto"/>
              <w:ind w:left="84"/>
              <w:jc w:val="center"/>
            </w:pPr>
            <w:r>
              <w:rPr>
                <w:rFonts w:ascii="Calibri" w:eastAsia="Calibri" w:hAnsi="Calibri" w:cs="Calibri"/>
              </w:rPr>
              <w:t xml:space="preserve">Oui, pour la fraction de l’ISRC supérieure à 6 PASS </w:t>
            </w:r>
          </w:p>
        </w:tc>
        <w:tc>
          <w:tcPr>
            <w:tcW w:w="4391" w:type="dxa"/>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100% pour la fraction de l’ISRC supérieure à 2 PASS</w:t>
            </w:r>
            <w:r>
              <w:t xml:space="preserve"> </w:t>
            </w:r>
          </w:p>
        </w:tc>
      </w:tr>
      <w:tr>
        <w:trPr>
          <w:gridBefore w:val="1"/>
          <w:wBefore w:w="12" w:type="dxa"/>
          <w:trHeight w:val="1145"/>
        </w:trPr>
        <w:tc>
          <w:tcPr>
            <w:tcW w:w="3356" w:type="dxa"/>
            <w:tcBorders>
              <w:top w:val="single" w:sz="8" w:space="0" w:color="000000"/>
              <w:left w:val="single" w:sz="8" w:space="0" w:color="000000"/>
              <w:bottom w:val="single" w:sz="8" w:space="0" w:color="000000"/>
              <w:right w:val="single" w:sz="8" w:space="0" w:color="000000"/>
            </w:tcBorders>
          </w:tcPr>
          <w:p>
            <w:pPr>
              <w:spacing w:line="259" w:lineRule="auto"/>
              <w:ind w:left="37"/>
              <w:jc w:val="center"/>
            </w:pPr>
            <w:r>
              <w:rPr>
                <w:rFonts w:ascii="Calibri" w:eastAsia="Calibri" w:hAnsi="Calibri" w:cs="Calibri"/>
              </w:rPr>
              <w:t xml:space="preserve">ISRC dont le montant est supérieur à 10 PASS </w:t>
            </w:r>
          </w:p>
        </w:tc>
        <w:tc>
          <w:tcPr>
            <w:tcW w:w="1988" w:type="dxa"/>
            <w:gridSpan w:val="2"/>
            <w:tcBorders>
              <w:top w:val="single" w:sz="8" w:space="0" w:color="000000"/>
              <w:left w:val="single" w:sz="8" w:space="0" w:color="000000"/>
              <w:bottom w:val="single" w:sz="8" w:space="0" w:color="000000"/>
              <w:right w:val="single" w:sz="8" w:space="0" w:color="000000"/>
            </w:tcBorders>
          </w:tcPr>
          <w:p>
            <w:pPr>
              <w:spacing w:line="259" w:lineRule="auto"/>
              <w:ind w:left="84"/>
              <w:jc w:val="center"/>
            </w:pPr>
            <w:r>
              <w:rPr>
                <w:rFonts w:ascii="Calibri" w:eastAsia="Calibri" w:hAnsi="Calibri" w:cs="Calibri"/>
              </w:rPr>
              <w:t xml:space="preserve">Oui pour la fraction de l’ISRC supérieure à 6 PASS </w:t>
            </w:r>
          </w:p>
        </w:tc>
        <w:tc>
          <w:tcPr>
            <w:tcW w:w="4391" w:type="dxa"/>
            <w:tcBorders>
              <w:top w:val="single" w:sz="8" w:space="0" w:color="000000"/>
              <w:left w:val="single" w:sz="8" w:space="0" w:color="000000"/>
              <w:bottom w:val="single" w:sz="8" w:space="0" w:color="000000"/>
              <w:right w:val="single" w:sz="8" w:space="0" w:color="000000"/>
            </w:tcBorders>
          </w:tcPr>
          <w:p>
            <w:pPr>
              <w:spacing w:line="259" w:lineRule="auto"/>
              <w:ind w:left="47"/>
              <w:jc w:val="center"/>
            </w:pPr>
            <w:r>
              <w:rPr>
                <w:rFonts w:ascii="Calibri" w:eastAsia="Calibri" w:hAnsi="Calibri" w:cs="Calibri"/>
              </w:rPr>
              <w:t xml:space="preserve">100% pour la totalité de l’ISRC </w:t>
            </w:r>
          </w:p>
        </w:tc>
      </w:tr>
      <w:tr>
        <w:trPr>
          <w:gridBefore w:val="1"/>
          <w:wBefore w:w="12" w:type="dxa"/>
          <w:trHeight w:val="281"/>
        </w:trPr>
        <w:tc>
          <w:tcPr>
            <w:tcW w:w="9735" w:type="dxa"/>
            <w:gridSpan w:val="4"/>
            <w:tcBorders>
              <w:top w:val="single" w:sz="8" w:space="0" w:color="000000"/>
              <w:left w:val="single" w:sz="20" w:space="0" w:color="FFFFFF"/>
              <w:bottom w:val="nil"/>
              <w:right w:val="nil"/>
            </w:tcBorders>
          </w:tcPr>
          <w:p>
            <w:pPr>
              <w:spacing w:line="259" w:lineRule="auto"/>
            </w:pPr>
            <w:r>
              <w:rPr>
                <w:rFonts w:ascii="Calibri" w:eastAsia="Calibri" w:hAnsi="Calibri" w:cs="Calibri"/>
              </w:rPr>
              <w:t xml:space="preserve"> </w:t>
            </w:r>
            <w:r>
              <w:t xml:space="preserve"> </w:t>
            </w:r>
          </w:p>
        </w:tc>
      </w:tr>
      <w:tr>
        <w:trPr>
          <w:trHeight w:val="838"/>
        </w:trPr>
        <w:tc>
          <w:tcPr>
            <w:tcW w:w="3368" w:type="dxa"/>
            <w:gridSpan w:val="2"/>
            <w:tcBorders>
              <w:top w:val="single" w:sz="8" w:space="0" w:color="000000"/>
              <w:left w:val="single" w:sz="8" w:space="0" w:color="000000"/>
              <w:bottom w:val="single" w:sz="8" w:space="0" w:color="000000"/>
              <w:right w:val="single" w:sz="8" w:space="0" w:color="000000"/>
            </w:tcBorders>
          </w:tcPr>
          <w:p>
            <w:pPr>
              <w:spacing w:line="259" w:lineRule="auto"/>
              <w:ind w:right="24"/>
              <w:jc w:val="center"/>
            </w:pPr>
            <w:r>
              <w:rPr>
                <w:rFonts w:ascii="Calibri" w:eastAsia="Calibri" w:hAnsi="Calibri" w:cs="Calibri"/>
                <w:b/>
              </w:rPr>
              <w:t>Montant de l’ISRC</w:t>
            </w:r>
            <w:r>
              <w:t xml:space="preserve"> </w:t>
            </w:r>
          </w:p>
        </w:tc>
        <w:tc>
          <w:tcPr>
            <w:tcW w:w="1976" w:type="dxa"/>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b/>
              </w:rPr>
              <w:t>Soumis à imposition fiscale</w:t>
            </w:r>
            <w:r>
              <w:t xml:space="preserve"> </w:t>
            </w:r>
          </w:p>
        </w:tc>
        <w:tc>
          <w:tcPr>
            <w:tcW w:w="4403" w:type="dxa"/>
            <w:gridSpan w:val="2"/>
            <w:tcBorders>
              <w:top w:val="single" w:sz="8" w:space="0" w:color="000000"/>
              <w:left w:val="single" w:sz="8" w:space="0" w:color="000000"/>
              <w:bottom w:val="single" w:sz="8" w:space="0" w:color="000000"/>
              <w:right w:val="single" w:sz="8" w:space="0" w:color="000000"/>
            </w:tcBorders>
          </w:tcPr>
          <w:p>
            <w:pPr>
              <w:spacing w:line="259" w:lineRule="auto"/>
              <w:ind w:right="24"/>
              <w:jc w:val="center"/>
            </w:pPr>
            <w:r>
              <w:rPr>
                <w:rFonts w:ascii="Calibri" w:eastAsia="Calibri" w:hAnsi="Calibri" w:cs="Calibri"/>
                <w:b/>
              </w:rPr>
              <w:t>Soumis à CSG-CRDS</w:t>
            </w:r>
            <w:r>
              <w:t xml:space="preserve"> </w:t>
            </w:r>
          </w:p>
        </w:tc>
      </w:tr>
      <w:tr>
        <w:trPr>
          <w:trHeight w:val="471"/>
        </w:trPr>
        <w:tc>
          <w:tcPr>
            <w:tcW w:w="9747" w:type="dxa"/>
            <w:gridSpan w:val="5"/>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b/>
              </w:rPr>
              <w:t>L’agent a droit à une pension de retraite au sens de l’article 80 duodecies du CGI</w:t>
            </w:r>
          </w:p>
        </w:tc>
      </w:tr>
      <w:tr>
        <w:trPr>
          <w:trHeight w:val="838"/>
        </w:trPr>
        <w:tc>
          <w:tcPr>
            <w:tcW w:w="3368" w:type="dxa"/>
            <w:gridSpan w:val="2"/>
            <w:tcBorders>
              <w:top w:val="single" w:sz="8" w:space="0" w:color="000000"/>
              <w:left w:val="single" w:sz="8" w:space="0" w:color="000000"/>
              <w:bottom w:val="single" w:sz="8" w:space="0" w:color="000000"/>
              <w:right w:val="single" w:sz="8" w:space="0" w:color="000000"/>
            </w:tcBorders>
          </w:tcPr>
          <w:p>
            <w:pPr>
              <w:spacing w:line="259" w:lineRule="auto"/>
              <w:ind w:left="4"/>
              <w:jc w:val="center"/>
            </w:pPr>
            <w:r>
              <w:rPr>
                <w:rFonts w:ascii="Calibri" w:eastAsia="Calibri" w:hAnsi="Calibri" w:cs="Calibri"/>
              </w:rPr>
              <w:t>ISRC dont le montant est inférieur à 10 PASS</w:t>
            </w:r>
            <w:r>
              <w:t xml:space="preserve"> </w:t>
            </w:r>
          </w:p>
        </w:tc>
        <w:tc>
          <w:tcPr>
            <w:tcW w:w="1976" w:type="dxa"/>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Oui pour la totalité de l’ISRC</w:t>
            </w:r>
            <w:r>
              <w:t xml:space="preserve"> </w:t>
            </w:r>
          </w:p>
        </w:tc>
        <w:tc>
          <w:tcPr>
            <w:tcW w:w="4403" w:type="dxa"/>
            <w:gridSpan w:val="2"/>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100% pour la fraction de l’ISRC supérieure à 2 PASS</w:t>
            </w:r>
            <w:r>
              <w:t xml:space="preserve"> </w:t>
            </w:r>
          </w:p>
        </w:tc>
      </w:tr>
      <w:tr>
        <w:trPr>
          <w:trHeight w:val="838"/>
        </w:trPr>
        <w:tc>
          <w:tcPr>
            <w:tcW w:w="3368" w:type="dxa"/>
            <w:gridSpan w:val="2"/>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 xml:space="preserve">ISRC dont le montant est supérieur à 10 PASS </w:t>
            </w:r>
          </w:p>
        </w:tc>
        <w:tc>
          <w:tcPr>
            <w:tcW w:w="1976" w:type="dxa"/>
            <w:tcBorders>
              <w:top w:val="single" w:sz="8" w:space="0" w:color="000000"/>
              <w:left w:val="single" w:sz="8" w:space="0" w:color="000000"/>
              <w:bottom w:val="single" w:sz="8" w:space="0" w:color="000000"/>
              <w:right w:val="single" w:sz="8" w:space="0" w:color="000000"/>
            </w:tcBorders>
          </w:tcPr>
          <w:p>
            <w:pPr>
              <w:spacing w:line="259" w:lineRule="auto"/>
              <w:jc w:val="center"/>
            </w:pPr>
            <w:r>
              <w:rPr>
                <w:rFonts w:ascii="Calibri" w:eastAsia="Calibri" w:hAnsi="Calibri" w:cs="Calibri"/>
              </w:rPr>
              <w:t xml:space="preserve">Oui pour la totalité de l’ISRC </w:t>
            </w:r>
          </w:p>
        </w:tc>
        <w:tc>
          <w:tcPr>
            <w:tcW w:w="4403" w:type="dxa"/>
            <w:gridSpan w:val="2"/>
            <w:tcBorders>
              <w:top w:val="single" w:sz="8" w:space="0" w:color="000000"/>
              <w:left w:val="single" w:sz="8" w:space="0" w:color="000000"/>
              <w:bottom w:val="single" w:sz="8" w:space="0" w:color="000000"/>
              <w:right w:val="single" w:sz="8" w:space="0" w:color="000000"/>
            </w:tcBorders>
          </w:tcPr>
          <w:p>
            <w:pPr>
              <w:spacing w:line="259" w:lineRule="auto"/>
              <w:ind w:right="24"/>
              <w:jc w:val="center"/>
            </w:pPr>
            <w:r>
              <w:rPr>
                <w:rFonts w:ascii="Calibri" w:eastAsia="Calibri" w:hAnsi="Calibri" w:cs="Calibri"/>
              </w:rPr>
              <w:t xml:space="preserve">100% pour la totalité de l’ISRC </w:t>
            </w:r>
          </w:p>
        </w:tc>
      </w:tr>
    </w:tbl>
    <w:p>
      <w:pPr>
        <w:spacing w:after="218"/>
        <w:ind w:left="2"/>
        <w:rPr>
          <w:sz w:val="22"/>
          <w:szCs w:val="24"/>
        </w:rPr>
      </w:pPr>
      <w:r>
        <w:rPr>
          <w:sz w:val="22"/>
          <w:szCs w:val="24"/>
        </w:rPr>
        <w:t xml:space="preserve">Pour les fonctionnaires et contractuels de droit public, on entend par retraite à taux plein, la retraite d’un agent d’au moins 62 ans avec une durée d’assurance suffisante pour obtenir une pension de retraite calculée sur un nombre maximal de trimestres. Pour les ouvriers d’Etat, l’âge d’ouverture du droit à une pension de retraite est fixé à l’article L. 161-17-2 du code de la sécurité sociale ; ils doivent justifier d’une durée d’assurance, tous régimes de retraite de base confondus, égale à la durée de services et bonifications exigée pour obtenir la liquidation d’une pension de retraite au pourcentage maximal. </w:t>
      </w:r>
    </w:p>
    <w:p>
      <w:pPr>
        <w:spacing w:after="223"/>
        <w:ind w:left="-3" w:right="52"/>
        <w:jc w:val="both"/>
        <w:rPr>
          <w:sz w:val="22"/>
          <w:szCs w:val="24"/>
        </w:rPr>
      </w:pPr>
      <w:r>
        <w:rPr>
          <w:sz w:val="22"/>
          <w:szCs w:val="24"/>
        </w:rPr>
        <w:t xml:space="preserve">Pour rappel, les agents contractuels de droit public ne peuvent pas bénéficier d’une rupture conventionnelle s’ils ont atteint l’âge légal d’ouverture du droit à la retraite (62 ans) et justifient de la durée d’assurance minimale exigée pour leur génération (172 trimestres pour la génération 1973). Pour les fonctionnaires et ouvriers d’Etat, il en va de même quand bien même le texte se réfère à la notion de « pourcentage maximal de pension ». En effet, la pension de retraite au pourcentage maximal est une notion propre aux régimes spéciaux de la fonction publique, mais elle rejoint celle de taux plein, dans la mesure où elle s’appuie sur la même durée, exprimée en trimestres. L’assuré pourra ainsi bénéficier d’une pension au taux maximal s’il a acquis le nombre de trimestres exigé pour obtenir le taux plein.  </w:t>
      </w:r>
    </w:p>
    <w:p>
      <w:pPr>
        <w:shd w:val="clear" w:color="auto" w:fill="C6D5A3"/>
        <w:spacing w:after="120" w:line="100" w:lineRule="atLeast"/>
        <w:jc w:val="both"/>
        <w:rPr>
          <w:sz w:val="22"/>
          <w:szCs w:val="24"/>
        </w:rPr>
      </w:pPr>
      <w:r>
        <w:rPr>
          <w:b/>
          <w:bCs/>
          <w:sz w:val="22"/>
          <w:u w:val="single"/>
        </w:rPr>
        <w:t>Exemples d’application</w:t>
      </w:r>
    </w:p>
    <w:p>
      <w:pPr>
        <w:spacing w:after="197"/>
        <w:ind w:left="-3" w:right="52"/>
        <w:jc w:val="both"/>
        <w:rPr>
          <w:sz w:val="22"/>
          <w:szCs w:val="24"/>
        </w:rPr>
      </w:pPr>
      <w:r>
        <w:rPr>
          <w:sz w:val="22"/>
          <w:szCs w:val="24"/>
        </w:rPr>
        <w:t xml:space="preserve">En 2023, le montant du PASS est de 43 992 euros (3 666 x 12) suivant les dispositions de l’arrêté du 9 décembre 2022. </w:t>
      </w:r>
    </w:p>
    <w:p>
      <w:pPr>
        <w:spacing w:after="120" w:line="100" w:lineRule="atLeast"/>
        <w:jc w:val="both"/>
        <w:rPr>
          <w:sz w:val="22"/>
        </w:rPr>
      </w:pPr>
    </w:p>
    <w:p>
      <w:pPr>
        <w:shd w:val="clear" w:color="auto" w:fill="C6D5A3"/>
        <w:spacing w:after="120" w:line="100" w:lineRule="atLeast"/>
        <w:jc w:val="both"/>
        <w:rPr>
          <w:sz w:val="22"/>
        </w:rPr>
      </w:pPr>
      <w:r>
        <w:rPr>
          <w:b/>
          <w:bCs/>
          <w:sz w:val="22"/>
          <w:u w:val="single"/>
        </w:rPr>
        <w:t xml:space="preserve">Exemple 1 </w:t>
      </w:r>
      <w:r>
        <w:rPr>
          <w:sz w:val="22"/>
        </w:rPr>
        <w:t>: un fonctionnaire titulaire, inspecteur divisionnaire hors classe DGFiP (indice majoré 809) ne pouvant bénéficier d’une pension de retraite au sens de l’article 80 duodecies, 6° du Code général des impôts demande une rupture conventionnelle en 2020</w:t>
      </w:r>
      <w:r>
        <w:rPr>
          <w:i/>
          <w:iCs/>
          <w:sz w:val="22"/>
        </w:rPr>
        <w:t xml:space="preserve"> :</w:t>
      </w:r>
    </w:p>
    <w:p>
      <w:pPr>
        <w:ind w:left="-3" w:right="52"/>
        <w:jc w:val="both"/>
        <w:rPr>
          <w:sz w:val="22"/>
          <w:szCs w:val="24"/>
        </w:rPr>
      </w:pPr>
      <w:r>
        <w:rPr>
          <w:sz w:val="22"/>
          <w:szCs w:val="24"/>
        </w:rPr>
        <w:t>L'agent compte 24 années d’ancienneté et sollicite une rupture conventionnelle. Il est au 3ème échelon et perçoit donc un traitement brut annuel de 45 530 € + 18 886 € d’indemnités (5 368 € bruts/mois).</w:t>
      </w:r>
    </w:p>
    <w:p>
      <w:pPr>
        <w:ind w:left="-3" w:right="52"/>
        <w:jc w:val="both"/>
        <w:rPr>
          <w:sz w:val="22"/>
          <w:szCs w:val="24"/>
        </w:rPr>
      </w:pPr>
      <w:r>
        <w:rPr>
          <w:sz w:val="22"/>
          <w:szCs w:val="24"/>
        </w:rPr>
        <w:t xml:space="preserve">L’indemnité est calculée sur la base de 24 années d’ancienneté maximum. </w:t>
      </w:r>
    </w:p>
    <w:p>
      <w:pPr>
        <w:ind w:left="-3" w:right="52"/>
        <w:jc w:val="both"/>
        <w:rPr>
          <w:sz w:val="22"/>
          <w:szCs w:val="24"/>
        </w:rPr>
      </w:pPr>
      <w:r>
        <w:rPr>
          <w:sz w:val="22"/>
          <w:szCs w:val="24"/>
        </w:rPr>
        <w:t>Montant plancher de l’ISRC : 10 * (1/6</w:t>
      </w:r>
      <w:r>
        <w:rPr>
          <w:sz w:val="22"/>
          <w:szCs w:val="24"/>
          <w:vertAlign w:val="superscript"/>
        </w:rPr>
        <w:t>ème</w:t>
      </w:r>
      <w:r>
        <w:rPr>
          <w:sz w:val="22"/>
          <w:szCs w:val="24"/>
        </w:rPr>
        <w:t xml:space="preserve"> x 1/12</w:t>
      </w:r>
      <w:r>
        <w:rPr>
          <w:sz w:val="22"/>
          <w:szCs w:val="24"/>
          <w:vertAlign w:val="superscript"/>
        </w:rPr>
        <w:t>ème</w:t>
      </w:r>
      <w:r>
        <w:rPr>
          <w:sz w:val="22"/>
          <w:szCs w:val="24"/>
        </w:rPr>
        <w:t xml:space="preserve"> x 64 416 €) + 5* (1/5</w:t>
      </w:r>
      <w:r>
        <w:rPr>
          <w:sz w:val="22"/>
          <w:szCs w:val="24"/>
          <w:vertAlign w:val="superscript"/>
        </w:rPr>
        <w:t>ème</w:t>
      </w:r>
      <w:r>
        <w:rPr>
          <w:sz w:val="22"/>
          <w:szCs w:val="24"/>
        </w:rPr>
        <w:t xml:space="preserve"> x 1/12</w:t>
      </w:r>
      <w:r>
        <w:rPr>
          <w:sz w:val="22"/>
          <w:szCs w:val="24"/>
          <w:vertAlign w:val="superscript"/>
        </w:rPr>
        <w:t>ème</w:t>
      </w:r>
      <w:r>
        <w:rPr>
          <w:sz w:val="22"/>
          <w:szCs w:val="24"/>
        </w:rPr>
        <w:t xml:space="preserve"> x 64 416 €) + 5* (1/4 x 1/12</w:t>
      </w:r>
      <w:r>
        <w:rPr>
          <w:sz w:val="22"/>
          <w:szCs w:val="24"/>
          <w:vertAlign w:val="superscript"/>
        </w:rPr>
        <w:t>ème</w:t>
      </w:r>
      <w:r>
        <w:rPr>
          <w:sz w:val="22"/>
          <w:szCs w:val="24"/>
        </w:rPr>
        <w:t xml:space="preserve"> x 64 416 €) + 4* (1/3 x 1/12</w:t>
      </w:r>
      <w:r>
        <w:rPr>
          <w:sz w:val="22"/>
          <w:szCs w:val="24"/>
          <w:vertAlign w:val="superscript"/>
        </w:rPr>
        <w:t>ème</w:t>
      </w:r>
      <w:r>
        <w:rPr>
          <w:sz w:val="22"/>
          <w:szCs w:val="24"/>
        </w:rPr>
        <w:t xml:space="preserve"> x 64 416 €) = 28 182 euros</w:t>
      </w:r>
    </w:p>
    <w:p>
      <w:pPr>
        <w:spacing w:after="14"/>
        <w:ind w:left="2"/>
        <w:jc w:val="both"/>
        <w:rPr>
          <w:sz w:val="22"/>
          <w:szCs w:val="24"/>
        </w:rPr>
      </w:pPr>
      <w:r>
        <w:rPr>
          <w:noProof/>
          <w:sz w:val="22"/>
          <w:szCs w:val="24"/>
        </w:rPr>
        <w:drawing>
          <wp:inline distT="0" distB="0" distL="0" distR="0">
            <wp:extent cx="5940425" cy="2034540"/>
            <wp:effectExtent l="0" t="0" r="3175"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034540"/>
                    </a:xfrm>
                    <a:prstGeom prst="rect">
                      <a:avLst/>
                    </a:prstGeom>
                  </pic:spPr>
                </pic:pic>
              </a:graphicData>
            </a:graphic>
          </wp:inline>
        </w:drawing>
      </w:r>
    </w:p>
    <w:p>
      <w:pPr>
        <w:spacing w:after="14"/>
        <w:ind w:left="2"/>
        <w:jc w:val="both"/>
        <w:rPr>
          <w:sz w:val="22"/>
          <w:szCs w:val="24"/>
        </w:rPr>
      </w:pPr>
    </w:p>
    <w:p>
      <w:pPr>
        <w:ind w:left="-3" w:right="52"/>
        <w:jc w:val="both"/>
        <w:rPr>
          <w:sz w:val="22"/>
          <w:szCs w:val="24"/>
        </w:rPr>
      </w:pPr>
      <w:r>
        <w:rPr>
          <w:sz w:val="22"/>
          <w:szCs w:val="24"/>
        </w:rPr>
        <w:t xml:space="preserve">Montant plafond de l’ISRC :  24 x 2 684 € = 64 416 euros  </w:t>
      </w:r>
    </w:p>
    <w:p>
      <w:pPr>
        <w:spacing w:after="0"/>
        <w:ind w:left="2"/>
        <w:jc w:val="both"/>
        <w:rPr>
          <w:sz w:val="22"/>
          <w:szCs w:val="24"/>
        </w:rPr>
      </w:pPr>
      <w:r>
        <w:rPr>
          <w:noProof/>
          <w:sz w:val="22"/>
          <w:szCs w:val="24"/>
        </w:rPr>
        <w:drawing>
          <wp:inline distT="0" distB="0" distL="0" distR="0">
            <wp:extent cx="5940425" cy="619760"/>
            <wp:effectExtent l="0" t="0" r="3175" b="889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619760"/>
                    </a:xfrm>
                    <a:prstGeom prst="rect">
                      <a:avLst/>
                    </a:prstGeom>
                  </pic:spPr>
                </pic:pic>
              </a:graphicData>
            </a:graphic>
          </wp:inline>
        </w:drawing>
      </w:r>
    </w:p>
    <w:p>
      <w:pPr>
        <w:spacing w:after="0"/>
        <w:ind w:left="2"/>
        <w:jc w:val="both"/>
        <w:rPr>
          <w:sz w:val="22"/>
          <w:szCs w:val="24"/>
        </w:rPr>
      </w:pPr>
    </w:p>
    <w:p>
      <w:pPr>
        <w:ind w:left="-3" w:right="52"/>
        <w:jc w:val="both"/>
        <w:rPr>
          <w:sz w:val="22"/>
          <w:szCs w:val="24"/>
        </w:rPr>
      </w:pPr>
      <w:r>
        <w:rPr>
          <w:sz w:val="22"/>
          <w:szCs w:val="24"/>
        </w:rPr>
        <w:t xml:space="preserve">Lors de l’entretien entre l'agent et le directeur départemental des finances publiques ou son représentant, le montant de l’indemnité de rupture conventionnelle, si elle est accordée, devra être fixée entre 28 182 euros et 64 416 euros. </w:t>
      </w:r>
    </w:p>
    <w:p>
      <w:pPr>
        <w:rPr>
          <w:sz w:val="22"/>
          <w:szCs w:val="24"/>
        </w:rPr>
      </w:pPr>
      <w:r>
        <w:rPr>
          <w:sz w:val="22"/>
          <w:szCs w:val="24"/>
        </w:rPr>
        <w:t xml:space="preserve">Si le montant de l’ISRC est fixé à 64 416 euros, il est exonéré d’impôt sur le revenu dans la mesure où il est dans la limite de 6 PASS (288 360 € en 2026), </w:t>
      </w:r>
    </w:p>
    <w:p>
      <w:pPr>
        <w:ind w:left="-3" w:right="52"/>
        <w:rPr>
          <w:sz w:val="22"/>
          <w:szCs w:val="24"/>
        </w:rPr>
      </w:pPr>
      <w:r>
        <w:rPr>
          <w:sz w:val="22"/>
          <w:szCs w:val="24"/>
        </w:rPr>
        <w:t xml:space="preserve">CSG-CRDS : l’agent en est exonéré à hauteur de 2 PASS (96 120 € en 2026) et n’est pas soumis à CSG-CRDS en l’absence de fraction supérieure à 2 PASS (64 416 € - 96 120 € = - 31 704 €).  </w:t>
      </w:r>
    </w:p>
    <w:p>
      <w:pPr>
        <w:spacing w:after="120" w:line="100" w:lineRule="atLeast"/>
        <w:jc w:val="both"/>
        <w:rPr>
          <w:sz w:val="22"/>
          <w:szCs w:val="24"/>
        </w:rPr>
      </w:pPr>
      <w:r>
        <w:rPr>
          <w:sz w:val="22"/>
          <w:szCs w:val="24"/>
        </w:rPr>
        <w:t>Imposition sur le revenu : le montant de 64 416 étant dans la limite de 128 832 euros, l’agent en est donc exonéré.</w:t>
      </w:r>
    </w:p>
    <w:p>
      <w:pPr>
        <w:spacing w:after="120" w:line="100" w:lineRule="atLeast"/>
        <w:jc w:val="both"/>
        <w:rPr>
          <w:sz w:val="22"/>
        </w:rPr>
      </w:pPr>
      <w:r>
        <w:rPr>
          <w:noProof/>
          <w:sz w:val="22"/>
          <w:szCs w:val="24"/>
        </w:rPr>
        <w:drawing>
          <wp:inline distT="0" distB="0" distL="0" distR="0">
            <wp:extent cx="5940425" cy="3345180"/>
            <wp:effectExtent l="0" t="0" r="3175" b="762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345180"/>
                    </a:xfrm>
                    <a:prstGeom prst="rect">
                      <a:avLst/>
                    </a:prstGeom>
                  </pic:spPr>
                </pic:pic>
              </a:graphicData>
            </a:graphic>
          </wp:inline>
        </w:drawing>
      </w:r>
    </w:p>
    <w:p>
      <w:pPr>
        <w:shd w:val="clear" w:color="auto" w:fill="C6D5A3"/>
        <w:spacing w:after="120" w:line="100" w:lineRule="atLeast"/>
        <w:jc w:val="both"/>
        <w:rPr>
          <w:sz w:val="22"/>
        </w:rPr>
      </w:pPr>
      <w:r>
        <w:rPr>
          <w:b/>
          <w:bCs/>
          <w:sz w:val="22"/>
          <w:u w:val="single"/>
        </w:rPr>
        <w:t xml:space="preserve">Exemple 2 </w:t>
      </w:r>
      <w:r>
        <w:rPr>
          <w:sz w:val="22"/>
        </w:rPr>
        <w:t>: un fonctionnaire titulaire, pouvant bénéficier d’une pension de retraite au sens de l’article 80 duodecies, 6° du Code général des impôts demande une rupture conventionnelle en 2020. L’agent compte 26 années d’ancienneté et perçoit un traitement brut annuel de 145 530 € d’indemnités (15 000 € bruts/mois).</w:t>
      </w:r>
    </w:p>
    <w:p>
      <w:pPr>
        <w:ind w:left="-3" w:right="52"/>
        <w:jc w:val="both"/>
        <w:rPr>
          <w:sz w:val="22"/>
          <w:szCs w:val="24"/>
        </w:rPr>
      </w:pPr>
      <w:r>
        <w:rPr>
          <w:sz w:val="22"/>
          <w:szCs w:val="24"/>
        </w:rPr>
        <w:t xml:space="preserve">Pour rappel, l’indemnité est calculée sur la base de 24 années d’ancienneté maximum. </w:t>
      </w:r>
    </w:p>
    <w:p>
      <w:pPr>
        <w:ind w:left="-3" w:right="52"/>
        <w:jc w:val="both"/>
        <w:rPr>
          <w:sz w:val="22"/>
          <w:szCs w:val="24"/>
        </w:rPr>
      </w:pPr>
      <w:r>
        <w:rPr>
          <w:sz w:val="22"/>
          <w:szCs w:val="24"/>
        </w:rPr>
        <w:t>Montant plancher de l’ISRC : 10 * (1/6</w:t>
      </w:r>
      <w:r>
        <w:rPr>
          <w:sz w:val="22"/>
          <w:szCs w:val="24"/>
          <w:vertAlign w:val="superscript"/>
        </w:rPr>
        <w:t>ème</w:t>
      </w:r>
      <w:r>
        <w:rPr>
          <w:sz w:val="22"/>
          <w:szCs w:val="24"/>
        </w:rPr>
        <w:t xml:space="preserve"> x 1/12</w:t>
      </w:r>
      <w:r>
        <w:rPr>
          <w:sz w:val="22"/>
          <w:szCs w:val="24"/>
          <w:vertAlign w:val="superscript"/>
        </w:rPr>
        <w:t>ème</w:t>
      </w:r>
      <w:r>
        <w:rPr>
          <w:sz w:val="22"/>
          <w:szCs w:val="24"/>
        </w:rPr>
        <w:t xml:space="preserve"> x 145 530 €) + 5* (1/5</w:t>
      </w:r>
      <w:r>
        <w:rPr>
          <w:sz w:val="22"/>
          <w:szCs w:val="24"/>
          <w:vertAlign w:val="superscript"/>
        </w:rPr>
        <w:t>ème</w:t>
      </w:r>
      <w:r>
        <w:rPr>
          <w:sz w:val="22"/>
          <w:szCs w:val="24"/>
        </w:rPr>
        <w:t xml:space="preserve"> x 1/12</w:t>
      </w:r>
      <w:r>
        <w:rPr>
          <w:sz w:val="22"/>
          <w:szCs w:val="24"/>
          <w:vertAlign w:val="superscript"/>
        </w:rPr>
        <w:t>ème</w:t>
      </w:r>
      <w:r>
        <w:rPr>
          <w:sz w:val="22"/>
          <w:szCs w:val="24"/>
        </w:rPr>
        <w:t xml:space="preserve"> x 145 530 €) + 5* (1/4 x 1/12</w:t>
      </w:r>
      <w:r>
        <w:rPr>
          <w:sz w:val="22"/>
          <w:szCs w:val="24"/>
          <w:vertAlign w:val="superscript"/>
        </w:rPr>
        <w:t>ème</w:t>
      </w:r>
      <w:r>
        <w:rPr>
          <w:sz w:val="22"/>
          <w:szCs w:val="24"/>
        </w:rPr>
        <w:t xml:space="preserve"> x 145 530 €) + 4* (1/3 x 1/12</w:t>
      </w:r>
      <w:r>
        <w:rPr>
          <w:sz w:val="22"/>
          <w:szCs w:val="24"/>
          <w:vertAlign w:val="superscript"/>
        </w:rPr>
        <w:t>ème</w:t>
      </w:r>
      <w:r>
        <w:rPr>
          <w:sz w:val="22"/>
          <w:szCs w:val="24"/>
        </w:rPr>
        <w:t xml:space="preserve"> x 145 530 €) </w:t>
      </w:r>
      <w:proofErr w:type="gramStart"/>
      <w:r>
        <w:rPr>
          <w:sz w:val="22"/>
          <w:szCs w:val="24"/>
        </w:rPr>
        <w:t>=  63</w:t>
      </w:r>
      <w:proofErr w:type="gramEnd"/>
      <w:r>
        <w:rPr>
          <w:sz w:val="22"/>
          <w:szCs w:val="24"/>
        </w:rPr>
        <w:t xml:space="preserve"> 669 euros</w:t>
      </w:r>
    </w:p>
    <w:p>
      <w:pPr>
        <w:ind w:left="-3" w:right="52"/>
        <w:jc w:val="both"/>
        <w:rPr>
          <w:sz w:val="22"/>
          <w:szCs w:val="24"/>
        </w:rPr>
      </w:pPr>
      <w:r>
        <w:rPr>
          <w:noProof/>
          <w:sz w:val="22"/>
          <w:szCs w:val="24"/>
        </w:rPr>
        <w:drawing>
          <wp:inline distT="0" distB="0" distL="0" distR="0">
            <wp:extent cx="5772150" cy="1998503"/>
            <wp:effectExtent l="0" t="0" r="0" b="190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5362" cy="1999615"/>
                    </a:xfrm>
                    <a:prstGeom prst="rect">
                      <a:avLst/>
                    </a:prstGeom>
                  </pic:spPr>
                </pic:pic>
              </a:graphicData>
            </a:graphic>
          </wp:inline>
        </w:drawing>
      </w:r>
    </w:p>
    <w:p>
      <w:pPr>
        <w:ind w:left="-3" w:right="52"/>
        <w:jc w:val="both"/>
        <w:rPr>
          <w:sz w:val="22"/>
          <w:szCs w:val="24"/>
        </w:rPr>
      </w:pPr>
      <w:r>
        <w:rPr>
          <w:sz w:val="22"/>
          <w:szCs w:val="24"/>
        </w:rPr>
        <w:t xml:space="preserve">Montant plafond de l’ISRC :  6 063,75 x 24 = 145 530 euros  </w:t>
      </w:r>
    </w:p>
    <w:p>
      <w:pPr>
        <w:ind w:left="-3" w:right="52"/>
        <w:jc w:val="both"/>
        <w:rPr>
          <w:sz w:val="22"/>
          <w:szCs w:val="24"/>
        </w:rPr>
      </w:pPr>
      <w:r>
        <w:rPr>
          <w:noProof/>
          <w:sz w:val="22"/>
          <w:szCs w:val="24"/>
        </w:rPr>
        <w:drawing>
          <wp:inline distT="0" distB="0" distL="0" distR="0">
            <wp:extent cx="5940425" cy="611505"/>
            <wp:effectExtent l="0" t="0" r="317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611505"/>
                    </a:xfrm>
                    <a:prstGeom prst="rect">
                      <a:avLst/>
                    </a:prstGeom>
                  </pic:spPr>
                </pic:pic>
              </a:graphicData>
            </a:graphic>
          </wp:inline>
        </w:drawing>
      </w:r>
    </w:p>
    <w:p>
      <w:pPr>
        <w:spacing w:after="0"/>
        <w:ind w:left="2"/>
        <w:jc w:val="both"/>
        <w:rPr>
          <w:sz w:val="22"/>
          <w:szCs w:val="24"/>
        </w:rPr>
      </w:pPr>
    </w:p>
    <w:p>
      <w:pPr>
        <w:ind w:left="-3" w:right="52"/>
        <w:jc w:val="both"/>
        <w:rPr>
          <w:sz w:val="22"/>
          <w:szCs w:val="24"/>
        </w:rPr>
      </w:pPr>
      <w:r>
        <w:rPr>
          <w:sz w:val="22"/>
          <w:szCs w:val="24"/>
        </w:rPr>
        <w:t xml:space="preserve">Lors de l’entretien entre l'agent et le directeur du service où il est en fonction ou son représentant, l’ISRC pourra être fixée à un montant compris entre 63 669 € et 145 530 €. </w:t>
      </w:r>
    </w:p>
    <w:p>
      <w:pPr>
        <w:ind w:left="-3" w:right="52"/>
        <w:jc w:val="both"/>
        <w:rPr>
          <w:sz w:val="22"/>
          <w:szCs w:val="24"/>
        </w:rPr>
      </w:pPr>
      <w:r>
        <w:rPr>
          <w:sz w:val="22"/>
          <w:szCs w:val="24"/>
        </w:rPr>
        <w:t xml:space="preserve">Un montant de 145 000 € au titre de l’ISRC est proposé à l'agent. </w:t>
      </w:r>
    </w:p>
    <w:p>
      <w:pPr>
        <w:ind w:left="-3" w:right="52"/>
        <w:jc w:val="both"/>
        <w:rPr>
          <w:sz w:val="22"/>
          <w:szCs w:val="24"/>
        </w:rPr>
      </w:pPr>
      <w:r>
        <w:rPr>
          <w:sz w:val="22"/>
          <w:szCs w:val="24"/>
        </w:rPr>
        <w:t xml:space="preserve">L’indemnité spécifique de rupture conventionnelle est exonérée d’impôt sur le revenu dans la limite de deux fois le montant de la rémunération annuelle brute perçue par l’agent au cours de l’année précédant celle de la rupture conventionnelle (145 530 €) dans la limite de 288 360 € (6 PASS 2026). </w:t>
      </w:r>
    </w:p>
    <w:p>
      <w:pPr>
        <w:spacing w:after="120" w:line="100" w:lineRule="atLeast"/>
        <w:jc w:val="both"/>
        <w:rPr>
          <w:sz w:val="26"/>
          <w:szCs w:val="28"/>
        </w:rPr>
      </w:pPr>
      <w:r>
        <w:rPr>
          <w:sz w:val="22"/>
          <w:szCs w:val="24"/>
        </w:rPr>
        <w:t>L’indemnité spécifique de rupture conventionnelle est exonérée de cotisations sociales jusqu’à moins de deux fois le PASS.</w:t>
      </w:r>
    </w:p>
    <w:p>
      <w:pPr>
        <w:ind w:left="-3" w:right="52"/>
        <w:jc w:val="both"/>
        <w:rPr>
          <w:sz w:val="22"/>
          <w:szCs w:val="24"/>
        </w:rPr>
      </w:pPr>
      <w:r>
        <w:rPr>
          <w:sz w:val="22"/>
          <w:szCs w:val="24"/>
        </w:rPr>
        <w:t>L’exemple 2 se réfère à un agent qui a droit à bénéficier d’une pension de retraite, en conséquence, l’ISRC est soumise dans les cas à l’impôt sur le revenu des personnes physiques (IRPP) – codes indemnités 2298 et 2284.</w:t>
      </w:r>
    </w:p>
    <w:p>
      <w:pPr>
        <w:ind w:left="-3" w:right="52"/>
        <w:jc w:val="both"/>
        <w:rPr>
          <w:sz w:val="22"/>
          <w:szCs w:val="24"/>
        </w:rPr>
      </w:pPr>
      <w:r>
        <w:rPr>
          <w:noProof/>
          <w:sz w:val="22"/>
          <w:szCs w:val="24"/>
        </w:rPr>
        <w:drawing>
          <wp:inline distT="0" distB="0" distL="0" distR="0">
            <wp:extent cx="5940425" cy="1623060"/>
            <wp:effectExtent l="0" t="0" r="317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623060"/>
                    </a:xfrm>
                    <a:prstGeom prst="rect">
                      <a:avLst/>
                    </a:prstGeom>
                  </pic:spPr>
                </pic:pic>
              </a:graphicData>
            </a:graphic>
          </wp:inline>
        </w:drawing>
      </w:r>
      <w:r>
        <w:rPr>
          <w:sz w:val="22"/>
          <w:szCs w:val="24"/>
        </w:rPr>
        <w:t xml:space="preserve"> </w:t>
      </w:r>
    </w:p>
    <w:p>
      <w:pPr>
        <w:ind w:left="-3" w:right="52"/>
        <w:jc w:val="both"/>
        <w:rPr>
          <w:sz w:val="22"/>
          <w:szCs w:val="24"/>
        </w:rPr>
      </w:pPr>
    </w:p>
    <w:p>
      <w:pPr>
        <w:shd w:val="clear" w:color="auto" w:fill="C6D5A3"/>
        <w:spacing w:after="120" w:line="100" w:lineRule="atLeast"/>
        <w:jc w:val="both"/>
        <w:rPr>
          <w:sz w:val="22"/>
        </w:rPr>
      </w:pPr>
      <w:r>
        <w:rPr>
          <w:b/>
          <w:bCs/>
          <w:sz w:val="22"/>
          <w:u w:val="single"/>
        </w:rPr>
        <w:t xml:space="preserve">Exemple 3 </w:t>
      </w:r>
      <w:r>
        <w:rPr>
          <w:sz w:val="22"/>
        </w:rPr>
        <w:t>: un contractuel sans droit à pension au sens de l’article 80 duodecies, 6° du Code général des impôts, percevant une rémunération brute mensuelle de 25 000 € et ayant 24 ans d’ancienneté. Un montant de 300 000 € au titre de l’indemnité de rupture conventionnelle est proposé à l’agent (montant plafond)</w:t>
      </w:r>
      <w:r>
        <w:rPr>
          <w:i/>
          <w:iCs/>
          <w:sz w:val="22"/>
        </w:rPr>
        <w:t xml:space="preserve"> :</w:t>
      </w:r>
    </w:p>
    <w:p>
      <w:pPr>
        <w:ind w:left="-3" w:right="52"/>
        <w:rPr>
          <w:sz w:val="22"/>
          <w:szCs w:val="24"/>
        </w:rPr>
      </w:pPr>
      <w:r>
        <w:rPr>
          <w:sz w:val="22"/>
          <w:szCs w:val="24"/>
        </w:rPr>
        <w:t xml:space="preserve">L’indemnité spécifique de rupture conventionnelle est exonérée de l’impôt sur le revenu dans la limite de 6 PASS 2026 soit 288 360 €. La fraction supérieure à 6 PASS soit 300 000 € - 288 360 € = 11 640 € est soumise à l’impôt sur le revenu.  </w:t>
      </w:r>
    </w:p>
    <w:p>
      <w:pPr>
        <w:ind w:left="-3" w:right="52"/>
        <w:rPr>
          <w:sz w:val="22"/>
          <w:szCs w:val="24"/>
        </w:rPr>
      </w:pPr>
      <w:r>
        <w:rPr>
          <w:sz w:val="22"/>
          <w:szCs w:val="24"/>
        </w:rPr>
        <w:t xml:space="preserve">Elle est par ailleurs soumise dans son intégralité soit 300 000 € à la CSG-CRDS. </w:t>
      </w:r>
    </w:p>
    <w:p>
      <w:pPr>
        <w:ind w:left="-3" w:right="52"/>
        <w:rPr>
          <w:sz w:val="22"/>
          <w:szCs w:val="24"/>
        </w:rPr>
      </w:pPr>
      <w:r>
        <w:rPr>
          <w:noProof/>
          <w:sz w:val="22"/>
          <w:szCs w:val="24"/>
        </w:rPr>
        <w:drawing>
          <wp:inline distT="0" distB="0" distL="0" distR="0">
            <wp:extent cx="5940425" cy="1623060"/>
            <wp:effectExtent l="0" t="0" r="317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623060"/>
                    </a:xfrm>
                    <a:prstGeom prst="rect">
                      <a:avLst/>
                    </a:prstGeom>
                  </pic:spPr>
                </pic:pic>
              </a:graphicData>
            </a:graphic>
          </wp:inline>
        </w:drawing>
      </w:r>
    </w:p>
    <w:p>
      <w:pPr>
        <w:ind w:left="-3" w:right="52"/>
        <w:rPr>
          <w:sz w:val="22"/>
          <w:szCs w:val="24"/>
        </w:rPr>
      </w:pPr>
    </w:p>
    <w:p>
      <w:pPr>
        <w:spacing w:after="0"/>
        <w:ind w:left="2"/>
        <w:rPr>
          <w:sz w:val="22"/>
        </w:rPr>
      </w:pPr>
    </w:p>
    <w:p>
      <w:pPr>
        <w:shd w:val="clear" w:color="auto" w:fill="C6D5A3"/>
        <w:spacing w:after="120" w:line="100" w:lineRule="atLeast"/>
        <w:jc w:val="both"/>
        <w:rPr>
          <w:sz w:val="22"/>
        </w:rPr>
      </w:pPr>
      <w:r>
        <w:rPr>
          <w:b/>
          <w:bCs/>
          <w:sz w:val="22"/>
          <w:u w:val="single"/>
        </w:rPr>
        <w:t xml:space="preserve">Exemple 4 </w:t>
      </w:r>
      <w:r>
        <w:rPr>
          <w:sz w:val="22"/>
        </w:rPr>
        <w:t>: Si ce même agent (ex.3) a droit à une retraite au sens de l’article 80 duodecies, 6° du Code général des impôts, dans ce cas le montant global de l’ISRC de 300 000 € est entièrement soumis à l’impôt sur le revenu ainsi qu’à la CSG-CRDS.</w:t>
      </w:r>
    </w:p>
    <w:p>
      <w:pPr>
        <w:jc w:val="both"/>
        <w:rPr>
          <w:b/>
          <w:bCs/>
          <w:sz w:val="22"/>
          <w:szCs w:val="24"/>
        </w:rPr>
      </w:pPr>
      <w:r>
        <w:rPr>
          <w:b/>
          <w:bCs/>
          <w:noProof/>
          <w:sz w:val="22"/>
          <w:szCs w:val="24"/>
        </w:rPr>
        <w:drawing>
          <wp:inline distT="0" distB="0" distL="0" distR="0">
            <wp:extent cx="5940425" cy="2748280"/>
            <wp:effectExtent l="0" t="0" r="317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748280"/>
                    </a:xfrm>
                    <a:prstGeom prst="rect">
                      <a:avLst/>
                    </a:prstGeom>
                  </pic:spPr>
                </pic:pic>
              </a:graphicData>
            </a:graphic>
          </wp:inline>
        </w:drawing>
      </w:r>
    </w:p>
    <w:p>
      <w:pPr>
        <w:rPr>
          <w:noProof/>
        </w:rPr>
      </w:pPr>
      <w:r>
        <w:rPr>
          <w:noProof/>
          <w:sz w:val="22"/>
          <w:szCs w:val="24"/>
        </w:rPr>
        <w:br w:type="page"/>
      </w:r>
    </w:p>
    <w:p>
      <w:pPr>
        <w:pStyle w:val="Style2"/>
        <w:ind w:left="567"/>
        <w:rPr>
          <w:noProof/>
        </w:rPr>
      </w:pPr>
      <w:bookmarkStart w:id="27" w:name="_Toc237958324"/>
      <w:r>
        <w:rPr>
          <w:noProof/>
        </w:rPr>
        <mc:AlternateContent>
          <mc:Choice Requires="wps">
            <w:drawing>
              <wp:anchor distT="0" distB="0" distL="114300" distR="114300" simplePos="0" relativeHeight="251997184" behindDoc="0" locked="0" layoutInCell="1" allowOverlap="1">
                <wp:simplePos x="0" y="0"/>
                <wp:positionH relativeFrom="column">
                  <wp:posOffset>-276225</wp:posOffset>
                </wp:positionH>
                <wp:positionV relativeFrom="paragraph">
                  <wp:posOffset>-71581</wp:posOffset>
                </wp:positionV>
                <wp:extent cx="550684" cy="576000"/>
                <wp:effectExtent l="19050" t="0" r="1905" b="14605"/>
                <wp:wrapNone/>
                <wp:docPr id="220" name="Larm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20" o:spid="_x0000_s1026" alt="&quot;&quot;" style="position:absolute;margin-left:-21.75pt;margin-top:-5.65pt;width:43.35pt;height:45.35pt;rotation:180;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noProof/>
        </w:rPr>
        <w:t>4.2 Principaux textes de référence</w:t>
      </w:r>
      <w:bookmarkEnd w:id="27"/>
    </w:p>
    <w:p>
      <w:pPr>
        <w:jc w:val="both"/>
        <w:rPr>
          <w:sz w:val="22"/>
          <w:szCs w:val="24"/>
        </w:rPr>
      </w:pPr>
    </w:p>
    <w:p>
      <w:pPr>
        <w:spacing w:after="120" w:line="100" w:lineRule="atLeast"/>
        <w:jc w:val="both"/>
        <w:rPr>
          <w:sz w:val="22"/>
        </w:rPr>
      </w:pPr>
    </w:p>
    <w:p>
      <w:pPr>
        <w:spacing w:after="120" w:line="100" w:lineRule="atLeast"/>
        <w:jc w:val="both"/>
        <w:rPr>
          <w:sz w:val="22"/>
        </w:rPr>
      </w:pPr>
      <w:r>
        <w:rPr>
          <w:sz w:val="22"/>
        </w:rPr>
        <w:t xml:space="preserve">Loi n° 2008-596 du 25 juin 2008 portant modernisation du marché du travail (1) (NOR : MTSX0805954L) </w:t>
      </w:r>
    </w:p>
    <w:p>
      <w:pPr>
        <w:spacing w:after="120" w:line="100" w:lineRule="atLeast"/>
        <w:jc w:val="both"/>
        <w:rPr>
          <w:sz w:val="22"/>
        </w:rPr>
      </w:pPr>
      <w:r>
        <w:rPr>
          <w:sz w:val="22"/>
          <w:szCs w:val="24"/>
        </w:rPr>
        <w:t xml:space="preserve">Loi n° 2019-828 du 6 août 2019 de </w:t>
      </w:r>
      <w:r>
        <w:rPr>
          <w:sz w:val="22"/>
        </w:rPr>
        <w:t xml:space="preserve">transformation de la fonction publique (1) (NOR : CPAF1832065L) </w:t>
      </w:r>
    </w:p>
    <w:p>
      <w:pPr>
        <w:spacing w:after="120" w:line="100" w:lineRule="atLeast"/>
        <w:jc w:val="both"/>
        <w:rPr>
          <w:sz w:val="22"/>
        </w:rPr>
      </w:pPr>
      <w:r>
        <w:rPr>
          <w:sz w:val="22"/>
        </w:rPr>
        <w:t>Loi n°2019-1446 du 24 décembre 2019 de financement de la sécurité sociale pour 2020 (NOR : CPAX1927098L)</w:t>
      </w:r>
    </w:p>
    <w:p>
      <w:pPr>
        <w:spacing w:after="120" w:line="100" w:lineRule="atLeast"/>
        <w:jc w:val="both"/>
        <w:rPr>
          <w:sz w:val="22"/>
        </w:rPr>
      </w:pPr>
      <w:r>
        <w:rPr>
          <w:sz w:val="22"/>
        </w:rPr>
        <w:t>Article 173 de la loi n°2026-103 du 19 février 2026 de finances pour 2026</w:t>
      </w:r>
    </w:p>
    <w:p>
      <w:pPr>
        <w:spacing w:after="120" w:line="100" w:lineRule="atLeast"/>
        <w:jc w:val="both"/>
        <w:rPr>
          <w:sz w:val="22"/>
        </w:rPr>
      </w:pPr>
      <w:r>
        <w:rPr>
          <w:sz w:val="22"/>
        </w:rPr>
        <w:t>Décret n°2026-745 du 6 août 2026 relatif à la procédure de rupture conventionnelle dans la fonction publique</w:t>
      </w:r>
    </w:p>
    <w:p>
      <w:pPr>
        <w:spacing w:after="120" w:line="100" w:lineRule="atLeast"/>
        <w:jc w:val="both"/>
        <w:rPr>
          <w:sz w:val="22"/>
        </w:rPr>
      </w:pPr>
      <w:r>
        <w:rPr>
          <w:sz w:val="22"/>
        </w:rPr>
        <w:t>Décret n°2026-746 du 6 août 2026 modifiant le décret n°2019-1596 du 31 décembre 2019 relatif à l’indemnité spécifique de rupture conventionnelle dans la fonction publique et portant diverses dispositions relatives aux dispositifs indemnitaires d’accompagnement des agents dans leurs transitions professionnelles</w:t>
      </w:r>
    </w:p>
    <w:p>
      <w:pPr>
        <w:spacing w:after="120" w:line="100" w:lineRule="atLeast"/>
        <w:jc w:val="both"/>
        <w:rPr>
          <w:sz w:val="22"/>
        </w:rPr>
      </w:pPr>
      <w:r>
        <w:rPr>
          <w:sz w:val="22"/>
        </w:rPr>
        <w:t>Arrêté du 6 août 2026 fixant les modèles de convention de rupture conventionnelle prévus par le décret n°2019-1593 du 31 décembre 2019 relatif à la procédure de rupture conventionnelle dans la fonction publique)</w:t>
      </w:r>
    </w:p>
    <w:p>
      <w:pPr>
        <w:spacing w:after="120" w:line="100" w:lineRule="atLeast"/>
        <w:jc w:val="both"/>
        <w:rPr>
          <w:sz w:val="22"/>
        </w:rPr>
      </w:pPr>
      <w:r>
        <w:rPr>
          <w:sz w:val="22"/>
        </w:rPr>
        <w:t>Décret n° 2019-1593 du 31 décembre 2019 relatif à la procédure de rupture conventionnelle dans la fonction publique (NOR : CPAF1931643D)</w:t>
      </w:r>
    </w:p>
    <w:p>
      <w:pPr>
        <w:spacing w:after="120" w:line="100" w:lineRule="atLeast"/>
        <w:jc w:val="both"/>
        <w:rPr>
          <w:sz w:val="22"/>
        </w:rPr>
      </w:pPr>
      <w:r>
        <w:rPr>
          <w:sz w:val="22"/>
        </w:rPr>
        <w:t>Décret n° 2019-1596 du 31 décembre 2019 relatif à l'indemnité spécifique de rupture conventionnelle dans la fonction publique et portant diverses dispositions relatives aux dispositifs indemnitaires d'accompagnement des agents dans leurs transitions professionnelles (NOR : CPAF1932014D)</w:t>
      </w:r>
    </w:p>
    <w:p>
      <w:pPr>
        <w:spacing w:after="120" w:line="100" w:lineRule="atLeast"/>
        <w:jc w:val="both"/>
        <w:rPr>
          <w:sz w:val="22"/>
        </w:rPr>
      </w:pPr>
      <w:r>
        <w:rPr>
          <w:sz w:val="22"/>
        </w:rPr>
        <w:t xml:space="preserve">Arrêté du 6 février 2020 fixant les modèles de convention de rupture conventionnelle prévus par le décret n° 2019-1593 du 31 décembre 2019 relatif à la procédure de rupture conventionnelle dans la fonction publique (NOR : CPAF2002931A) </w:t>
      </w:r>
    </w:p>
    <w:p>
      <w:pPr>
        <w:spacing w:after="120" w:line="100" w:lineRule="atLeast"/>
        <w:jc w:val="both"/>
        <w:rPr>
          <w:sz w:val="22"/>
        </w:rPr>
      </w:pPr>
      <w:r>
        <w:rPr>
          <w:sz w:val="22"/>
        </w:rPr>
        <w:t xml:space="preserve">Code de la sécurité sociale (Article L.136-1-1) </w:t>
      </w:r>
    </w:p>
    <w:p>
      <w:pPr>
        <w:spacing w:after="120" w:line="100" w:lineRule="atLeast"/>
        <w:jc w:val="both"/>
        <w:rPr>
          <w:sz w:val="22"/>
        </w:rPr>
      </w:pPr>
      <w:r>
        <w:rPr>
          <w:sz w:val="22"/>
        </w:rPr>
        <w:t>Code général des impôts (</w:t>
      </w:r>
      <w:r>
        <w:rPr>
          <w:sz w:val="22"/>
          <w:u w:val="single"/>
        </w:rPr>
        <w:t>Article 80 1.6° duodecies</w:t>
      </w:r>
      <w:r>
        <w:rPr>
          <w:sz w:val="22"/>
        </w:rPr>
        <w:t>)</w:t>
      </w:r>
    </w:p>
    <w:p>
      <w:pPr>
        <w:rPr>
          <w:rStyle w:val="lev"/>
          <w:b w:val="0"/>
          <w:bCs w:val="0"/>
          <w:sz w:val="22"/>
        </w:rPr>
      </w:pPr>
      <w:r>
        <w:rPr>
          <w:rStyle w:val="lev"/>
          <w:b w:val="0"/>
          <w:bCs w:val="0"/>
          <w:sz w:val="22"/>
        </w:rPr>
        <w:br w:type="page"/>
      </w:r>
    </w:p>
    <w:p>
      <w:pPr>
        <w:pStyle w:val="Style1"/>
      </w:pPr>
      <w:bookmarkStart w:id="28" w:name="_Toc203646691"/>
      <w:bookmarkStart w:id="29" w:name="_Toc237958325"/>
      <w:r>
        <w:rPr>
          <w:noProof/>
          <w:szCs w:val="84"/>
        </w:rPr>
        <mc:AlternateContent>
          <mc:Choice Requires="wps">
            <w:drawing>
              <wp:anchor distT="0" distB="0" distL="114300" distR="114300" simplePos="0" relativeHeight="252051456" behindDoc="1" locked="0" layoutInCell="1" allowOverlap="1">
                <wp:simplePos x="0" y="0"/>
                <wp:positionH relativeFrom="column">
                  <wp:posOffset>-723900</wp:posOffset>
                </wp:positionH>
                <wp:positionV relativeFrom="paragraph">
                  <wp:posOffset>-899160</wp:posOffset>
                </wp:positionV>
                <wp:extent cx="7581900" cy="109061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3" o:spid="_x0000_s1026" style="position:absolute;margin-left:-57pt;margin-top:-70.8pt;width:597pt;height:858.75pt;z-index:-25126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" fillcolor="#91ae4f" strokecolor="#1f3763 [1604]" strokeweight="1pt">
                <v:fill opacity="39321f"/>
              </v:rect>
            </w:pict>
          </mc:Fallback>
        </mc:AlternateContent>
      </w:r>
      <w:bookmarkEnd w:id="28"/>
      <w:bookmarkEnd w:id="29"/>
    </w:p>
    <w:p>
      <w:pPr>
        <w:pStyle w:val="Style1"/>
      </w:pPr>
    </w:p>
    <w:p>
      <w:pPr>
        <w:pStyle w:val="Style1"/>
      </w:pPr>
    </w:p>
    <w:p>
      <w:pPr>
        <w:pStyle w:val="Style1"/>
        <w:jc w:val="right"/>
        <w:rPr>
          <w:sz w:val="82"/>
          <w:szCs w:val="48"/>
        </w:rPr>
      </w:pPr>
      <w:bookmarkStart w:id="30" w:name="_Toc237958326"/>
      <w:r>
        <w:t>5. Volet métier /</w:t>
      </w:r>
      <w:r>
        <w:br/>
        <w:t>Cas d’usage /Utilisation</w:t>
      </w:r>
      <w:bookmarkEnd w:id="30"/>
      <w:r>
        <w:br/>
      </w:r>
      <w:r>
        <w:br w:type="page"/>
      </w:r>
    </w:p>
    <w:p>
      <w:pPr>
        <w:pStyle w:val="Style2"/>
        <w:ind w:left="567"/>
      </w:pPr>
      <w:bookmarkStart w:id="31" w:name="_Toc237958327"/>
      <w:r>
        <w:rPr>
          <w:noProof/>
        </w:rPr>
        <mc:AlternateContent>
          <mc:Choice Requires="wps">
            <w:drawing>
              <wp:anchor distT="0" distB="0" distL="114300" distR="114300" simplePos="0" relativeHeight="252052480" behindDoc="0" locked="0" layoutInCell="1" allowOverlap="1">
                <wp:simplePos x="0" y="0"/>
                <wp:positionH relativeFrom="column">
                  <wp:posOffset>-295275</wp:posOffset>
                </wp:positionH>
                <wp:positionV relativeFrom="paragraph">
                  <wp:posOffset>-34290</wp:posOffset>
                </wp:positionV>
                <wp:extent cx="550684" cy="576000"/>
                <wp:effectExtent l="19050" t="0" r="1905" b="14605"/>
                <wp:wrapNone/>
                <wp:docPr id="34" name="Larm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34" o:spid="_x0000_s1026" alt="&quot;&quot;" style="position:absolute;margin-left:-23.25pt;margin-top:-2.7pt;width:43.35pt;height:45.35pt;rotation:180;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5.1 Cas d’usage / Utilisation</w:t>
      </w:r>
      <w:bookmarkEnd w:id="31"/>
    </w:p>
    <w:p>
      <w:pPr>
        <w:jc w:val="both"/>
      </w:pPr>
    </w:p>
    <w:p>
      <w:pPr>
        <w:jc w:val="both"/>
      </w:pPr>
    </w:p>
    <w:p>
      <w:pPr>
        <w:ind w:left="-3" w:right="52"/>
        <w:jc w:val="both"/>
        <w:rPr>
          <w:sz w:val="22"/>
          <w:szCs w:val="24"/>
        </w:rPr>
      </w:pPr>
      <w:r>
        <w:rPr>
          <w:sz w:val="22"/>
          <w:szCs w:val="24"/>
        </w:rPr>
        <w:t>Préalablement à leur recrutement, les candidats retenus pour occuper un emploi en qualité d’agent public de l’Etat adressent à l’autorité de recrutement, une attestation sur l’honneur qu’ils n’ont pas bénéficié, durant les six années précédant le recrutement, d’une indemnité spécifique de rupture conventionnelle soumise à l’obligation de remboursement prévue à l’article L. 552-4 du code général de la fonction publique.</w:t>
      </w:r>
    </w:p>
    <w:tbl>
      <w:tblPr>
        <w:tblStyle w:val="TableGrid"/>
        <w:tblW w:w="9426" w:type="dxa"/>
        <w:tblInd w:w="5" w:type="dxa"/>
        <w:tblCellMar>
          <w:top w:w="18" w:type="dxa"/>
          <w:left w:w="110" w:type="dxa"/>
          <w:bottom w:w="81" w:type="dxa"/>
          <w:right w:w="45" w:type="dxa"/>
        </w:tblCellMar>
        <w:tblLook w:val="04A0" w:firstRow="1" w:lastRow="0" w:firstColumn="1" w:lastColumn="0" w:noHBand="0" w:noVBand="1"/>
      </w:tblPr>
      <w:tblGrid>
        <w:gridCol w:w="355"/>
        <w:gridCol w:w="5545"/>
        <w:gridCol w:w="3526"/>
      </w:tblGrid>
      <w:tr>
        <w:trPr>
          <w:trHeight w:val="1121"/>
        </w:trPr>
        <w:tc>
          <w:tcPr>
            <w:tcW w:w="355" w:type="dxa"/>
            <w:tcBorders>
              <w:top w:val="single" w:sz="4" w:space="0" w:color="000000"/>
              <w:left w:val="single" w:sz="4" w:space="0" w:color="000000"/>
              <w:bottom w:val="single" w:sz="4" w:space="0" w:color="000000"/>
              <w:right w:val="nil"/>
            </w:tcBorders>
          </w:tcPr>
          <w:p>
            <w:pPr>
              <w:spacing w:line="259" w:lineRule="auto"/>
              <w:rPr>
                <w:sz w:val="24"/>
                <w:szCs w:val="24"/>
              </w:rPr>
            </w:pPr>
            <w:proofErr w:type="gramStart"/>
            <w:r>
              <w:rPr>
                <w:rFonts w:ascii="Courier New" w:eastAsia="Courier New" w:hAnsi="Courier New" w:cs="Courier New"/>
                <w:sz w:val="24"/>
                <w:szCs w:val="24"/>
              </w:rPr>
              <w:t>o</w:t>
            </w:r>
            <w:proofErr w:type="gramEnd"/>
            <w:r>
              <w:rPr>
                <w:sz w:val="24"/>
                <w:szCs w:val="24"/>
              </w:rPr>
              <w:t xml:space="preserve"> </w:t>
            </w:r>
          </w:p>
        </w:tc>
        <w:tc>
          <w:tcPr>
            <w:tcW w:w="5545" w:type="dxa"/>
            <w:tcBorders>
              <w:top w:val="single" w:sz="4" w:space="0" w:color="000000"/>
              <w:left w:val="nil"/>
              <w:bottom w:val="single" w:sz="4" w:space="0" w:color="000000"/>
              <w:right w:val="single" w:sz="4" w:space="0" w:color="000000"/>
            </w:tcBorders>
            <w:vAlign w:val="center"/>
          </w:tcPr>
          <w:p>
            <w:pPr>
              <w:spacing w:line="259" w:lineRule="auto"/>
              <w:rPr>
                <w:sz w:val="24"/>
                <w:szCs w:val="24"/>
              </w:rPr>
            </w:pPr>
            <w:r>
              <w:rPr>
                <w:sz w:val="24"/>
                <w:szCs w:val="24"/>
              </w:rPr>
              <w:t>Modèle attestation sur l’honneur de non perception d’une ISRC</w:t>
            </w:r>
            <w:r>
              <w:rPr>
                <w:b/>
                <w:sz w:val="24"/>
                <w:szCs w:val="24"/>
              </w:rPr>
              <w:t xml:space="preserve"> </w:t>
            </w:r>
          </w:p>
        </w:tc>
        <w:tc>
          <w:tcPr>
            <w:tcW w:w="3526" w:type="dxa"/>
            <w:tcBorders>
              <w:top w:val="single" w:sz="4" w:space="0" w:color="000000"/>
              <w:left w:val="single" w:sz="4" w:space="0" w:color="000000"/>
              <w:bottom w:val="single" w:sz="4" w:space="0" w:color="000000"/>
              <w:right w:val="single" w:sz="4" w:space="0" w:color="000000"/>
            </w:tcBorders>
            <w:vAlign w:val="bottom"/>
          </w:tcPr>
          <w:p>
            <w:pPr>
              <w:spacing w:line="216" w:lineRule="auto"/>
              <w:ind w:left="498" w:right="524"/>
              <w:jc w:val="center"/>
              <w:rPr>
                <w:rFonts w:ascii="Segoe UI" w:eastAsia="Segoe UI" w:hAnsi="Segoe UI" w:cs="Segoe UI"/>
                <w:sz w:val="18"/>
                <w:szCs w:val="24"/>
              </w:rPr>
            </w:pPr>
            <w:hyperlink r:id="rId26" w:history="1">
              <w:r>
                <w:rPr>
                  <w:rStyle w:val="Lienhypertexte"/>
                  <w:rFonts w:ascii="Segoe UI" w:eastAsia="Segoe UI" w:hAnsi="Segoe UI" w:cs="Segoe UI"/>
                  <w:sz w:val="18"/>
                  <w:szCs w:val="24"/>
                </w:rPr>
                <w:t>Téléchargement</w:t>
              </w:r>
            </w:hyperlink>
          </w:p>
          <w:p>
            <w:pPr>
              <w:spacing w:line="216" w:lineRule="auto"/>
              <w:ind w:left="498" w:right="524"/>
              <w:jc w:val="center"/>
              <w:rPr>
                <w:sz w:val="24"/>
                <w:szCs w:val="24"/>
              </w:rPr>
            </w:pPr>
            <w:r>
              <w:rPr>
                <w:rFonts w:ascii="Segoe UI" w:eastAsia="Segoe UI" w:hAnsi="Segoe UI" w:cs="Segoe UI"/>
                <w:sz w:val="18"/>
                <w:szCs w:val="24"/>
              </w:rPr>
              <w:t>Annexe p.14 de la circulaire de la DGAFP</w:t>
            </w:r>
            <w:r>
              <w:rPr>
                <w:b/>
                <w:sz w:val="24"/>
                <w:szCs w:val="24"/>
              </w:rPr>
              <w:t xml:space="preserve"> </w:t>
            </w:r>
          </w:p>
        </w:tc>
      </w:tr>
    </w:tbl>
    <w:p>
      <w:pPr>
        <w:spacing w:after="120" w:line="100" w:lineRule="atLeast"/>
        <w:jc w:val="both"/>
        <w:rPr>
          <w:sz w:val="22"/>
        </w:rPr>
      </w:pPr>
    </w:p>
    <w:p>
      <w:pPr>
        <w:spacing w:after="120" w:line="100" w:lineRule="atLeast"/>
        <w:jc w:val="both"/>
        <w:rPr>
          <w:sz w:val="22"/>
        </w:rPr>
      </w:pPr>
    </w:p>
    <w:p>
      <w:pPr>
        <w:spacing w:after="120" w:line="100" w:lineRule="atLeast"/>
        <w:jc w:val="both"/>
      </w:pPr>
    </w:p>
    <w:p>
      <w:pPr>
        <w:pStyle w:val="Style2"/>
        <w:ind w:left="567"/>
        <w:rPr>
          <w:sz w:val="64"/>
          <w:szCs w:val="40"/>
        </w:rPr>
      </w:pPr>
      <w:bookmarkStart w:id="32" w:name="_Toc237958328"/>
      <w:r>
        <w:rPr>
          <w:noProof/>
        </w:rPr>
        <mc:AlternateContent>
          <mc:Choice Requires="wps">
            <w:drawing>
              <wp:anchor distT="0" distB="0" distL="114300" distR="114300" simplePos="0" relativeHeight="252054528" behindDoc="0" locked="0" layoutInCell="1" allowOverlap="1">
                <wp:simplePos x="0" y="0"/>
                <wp:positionH relativeFrom="column">
                  <wp:posOffset>-295275</wp:posOffset>
                </wp:positionH>
                <wp:positionV relativeFrom="paragraph">
                  <wp:posOffset>3810</wp:posOffset>
                </wp:positionV>
                <wp:extent cx="550684" cy="576000"/>
                <wp:effectExtent l="19050" t="0" r="1905" b="14605"/>
                <wp:wrapNone/>
                <wp:docPr id="36" name="Larm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36" o:spid="_x0000_s1026" alt="&quot;&quot;" style="position:absolute;margin-left:-23.25pt;margin-top:.3pt;width:43.35pt;height:45.35pt;rotation:180;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 xml:space="preserve">5.2 </w:t>
      </w:r>
      <w:r>
        <w:rPr>
          <w:szCs w:val="96"/>
        </w:rPr>
        <w:t>Procédure de rupture conventionnelle</w:t>
      </w:r>
      <w:bookmarkEnd w:id="32"/>
    </w:p>
    <w:p>
      <w:pPr>
        <w:jc w:val="both"/>
        <w:rPr>
          <w:sz w:val="28"/>
          <w:szCs w:val="36"/>
        </w:rPr>
      </w:pPr>
    </w:p>
    <w:p>
      <w:pPr>
        <w:jc w:val="both"/>
        <w:rPr>
          <w:sz w:val="22"/>
          <w:szCs w:val="24"/>
        </w:rPr>
      </w:pPr>
      <w:r>
        <w:rPr>
          <w:sz w:val="22"/>
          <w:szCs w:val="24"/>
        </w:rPr>
        <w:t>La procédure de rupture conventionnelle est définie aux articles 522-1 du CGFP : la rupture conventionnelle résulte de la convention signée entre les deux parties que sont l'administration et le fonctionnaire. Cette convention en définit les conditions, notamment le montant de l'indemnité spécifique de rupture conventionnelle, qui ne peut être inférieur ou supérieur aux montants fixés par décret en fonction du nombre d'années de service et de la rémunération perçue. Au cours de cette procédure, le fonctionnaire peut se faire assister par un conseiller désigné par une organisation syndicale de son choix</w:t>
      </w:r>
    </w:p>
    <w:p>
      <w:pPr>
        <w:jc w:val="both"/>
      </w:pPr>
      <w:r>
        <w:rPr>
          <w:noProof/>
        </w:rPr>
        <mc:AlternateContent>
          <mc:Choice Requires="wps">
            <w:drawing>
              <wp:anchor distT="0" distB="0" distL="114300" distR="114300" simplePos="0" relativeHeight="252086272"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23"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alt="&quot;&quot;" style="position:absolute;margin-left:-1.95pt;margin-top:21.2pt;width:477.75pt;height:30pt;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" fillcolor="#5770be" stroked="f" strokeweight="1pt"/>
            </w:pict>
          </mc:Fallback>
        </mc:AlternateContent>
      </w:r>
    </w:p>
    <w:p>
      <w:pPr>
        <w:pStyle w:val="Style3"/>
      </w:pPr>
      <w:bookmarkStart w:id="33" w:name="_Toc237958329"/>
      <w:r>
        <w:rPr>
          <w:b w:val="0"/>
          <w:bCs/>
        </w:rPr>
        <w:t>5.2.1. Processus</w:t>
      </w:r>
      <w:bookmarkEnd w:id="33"/>
    </w:p>
    <w:p>
      <w:pPr>
        <w:spacing w:after="120" w:line="100" w:lineRule="atLeast"/>
        <w:jc w:val="both"/>
        <w:rPr>
          <w:sz w:val="24"/>
          <w:szCs w:val="24"/>
        </w:rPr>
      </w:pPr>
    </w:p>
    <w:p>
      <w:pPr>
        <w:pStyle w:val="Titre4"/>
        <w:rPr>
          <w:sz w:val="22"/>
          <w:szCs w:val="24"/>
        </w:rPr>
      </w:pPr>
      <w:r>
        <w:rPr>
          <w:color w:val="000000"/>
          <w:sz w:val="22"/>
          <w:szCs w:val="24"/>
          <w:u w:color="000000"/>
        </w:rPr>
        <w:t xml:space="preserve">Voir </w:t>
      </w:r>
      <w:r>
        <w:rPr>
          <w:sz w:val="22"/>
          <w:szCs w:val="24"/>
        </w:rPr>
        <w:t xml:space="preserve">logigramme (§5.3.2) </w:t>
      </w:r>
    </w:p>
    <w:p>
      <w:pPr>
        <w:spacing w:after="120" w:line="100" w:lineRule="atLeast"/>
        <w:jc w:val="both"/>
        <w:rPr>
          <w:sz w:val="24"/>
          <w:szCs w:val="24"/>
        </w:rPr>
      </w:pPr>
    </w:p>
    <w:p>
      <w:pPr>
        <w:spacing w:after="120" w:line="100" w:lineRule="atLeast"/>
        <w:jc w:val="both"/>
        <w:rPr>
          <w:sz w:val="22"/>
          <w:szCs w:val="24"/>
        </w:rPr>
      </w:pPr>
      <w:r>
        <w:rPr>
          <w:sz w:val="22"/>
          <w:szCs w:val="24"/>
          <w:u w:val="single" w:color="000000"/>
        </w:rPr>
        <w:t>Etape 1</w:t>
      </w:r>
      <w:r>
        <w:rPr>
          <w:sz w:val="22"/>
          <w:szCs w:val="24"/>
        </w:rPr>
        <w:t xml:space="preserve"> : Le service RH est informé d’une demande de rupture conventionnelle en faveur d’un agent soit à son initiative, soit à celle de l'administration.</w:t>
      </w:r>
    </w:p>
    <w:p>
      <w:pPr>
        <w:spacing w:after="209"/>
        <w:ind w:left="-3" w:right="52"/>
        <w:jc w:val="both"/>
        <w:rPr>
          <w:sz w:val="22"/>
          <w:szCs w:val="24"/>
        </w:rPr>
      </w:pPr>
      <w:r>
        <w:rPr>
          <w:sz w:val="22"/>
          <w:szCs w:val="24"/>
        </w:rPr>
        <w:t xml:space="preserve">Le demandeur informe l'autre partie par lettre recommandée avec demande d'avis de réception ou remise en main propre contre signature. </w:t>
      </w:r>
    </w:p>
    <w:p>
      <w:pPr>
        <w:spacing w:after="225"/>
        <w:ind w:left="-3" w:right="52"/>
        <w:jc w:val="both"/>
        <w:rPr>
          <w:sz w:val="22"/>
          <w:szCs w:val="24"/>
        </w:rPr>
      </w:pPr>
      <w:r>
        <w:rPr>
          <w:sz w:val="22"/>
          <w:szCs w:val="24"/>
        </w:rPr>
        <w:t xml:space="preserve">Lorsque la demande émane de l’agent, celle-ci est adressée, au choix de l'intéressé, au service des ressources humaines ou à l'autorité hiérarchique. </w:t>
      </w:r>
    </w:p>
    <w:p>
      <w:pPr>
        <w:spacing w:after="233"/>
        <w:ind w:left="-3" w:right="52"/>
        <w:rPr>
          <w:sz w:val="22"/>
          <w:szCs w:val="24"/>
          <w:u w:val="single" w:color="000000"/>
        </w:rPr>
      </w:pPr>
    </w:p>
    <w:p>
      <w:pPr>
        <w:spacing w:after="233"/>
        <w:ind w:left="-3" w:right="52"/>
        <w:rPr>
          <w:sz w:val="22"/>
          <w:szCs w:val="24"/>
        </w:rPr>
      </w:pPr>
      <w:r>
        <w:rPr>
          <w:sz w:val="22"/>
          <w:szCs w:val="24"/>
          <w:u w:val="single" w:color="000000"/>
        </w:rPr>
        <w:t>Etape 2</w:t>
      </w:r>
      <w:r>
        <w:rPr>
          <w:sz w:val="22"/>
          <w:szCs w:val="24"/>
        </w:rPr>
        <w:t xml:space="preserve"> : Le service RH vérifie les critères d’éligibilité de l’agent à la procédure : </w:t>
      </w:r>
    </w:p>
    <w:p>
      <w:pPr>
        <w:numPr>
          <w:ilvl w:val="0"/>
          <w:numId w:val="26"/>
        </w:numPr>
        <w:spacing w:after="4" w:line="271" w:lineRule="auto"/>
        <w:ind w:right="52" w:hanging="360"/>
        <w:jc w:val="both"/>
        <w:rPr>
          <w:sz w:val="22"/>
          <w:szCs w:val="24"/>
        </w:rPr>
      </w:pPr>
      <w:proofErr w:type="gramStart"/>
      <w:r>
        <w:rPr>
          <w:sz w:val="22"/>
          <w:szCs w:val="24"/>
        </w:rPr>
        <w:t>statut</w:t>
      </w:r>
      <w:proofErr w:type="gramEnd"/>
      <w:r>
        <w:rPr>
          <w:sz w:val="22"/>
          <w:szCs w:val="24"/>
        </w:rPr>
        <w:t xml:space="preserve"> de l’agent (fonctionnaire, contractuel en CDI, ouvrier de l’Etat) ; </w:t>
      </w:r>
    </w:p>
    <w:p>
      <w:pPr>
        <w:numPr>
          <w:ilvl w:val="0"/>
          <w:numId w:val="26"/>
        </w:numPr>
        <w:spacing w:after="36" w:line="271" w:lineRule="auto"/>
        <w:ind w:right="52" w:hanging="360"/>
        <w:jc w:val="both"/>
        <w:rPr>
          <w:sz w:val="22"/>
          <w:szCs w:val="24"/>
        </w:rPr>
      </w:pPr>
      <w:proofErr w:type="gramStart"/>
      <w:r>
        <w:rPr>
          <w:sz w:val="22"/>
          <w:szCs w:val="24"/>
        </w:rPr>
        <w:t>non</w:t>
      </w:r>
      <w:proofErr w:type="gramEnd"/>
      <w:r>
        <w:rPr>
          <w:sz w:val="22"/>
          <w:szCs w:val="24"/>
        </w:rPr>
        <w:t xml:space="preserve">-appartenance à l’un des cas d’exclusion du dispositif (exemple : fonctionnaire stagiaire, fonctionnaire détaché en qualité d’agent contractuel, agent contractuel en période d’essai,…)  </w:t>
      </w:r>
    </w:p>
    <w:p>
      <w:pPr>
        <w:numPr>
          <w:ilvl w:val="0"/>
          <w:numId w:val="26"/>
        </w:numPr>
        <w:spacing w:after="4" w:line="271" w:lineRule="auto"/>
        <w:ind w:right="52" w:hanging="360"/>
        <w:jc w:val="both"/>
        <w:rPr>
          <w:sz w:val="22"/>
          <w:szCs w:val="24"/>
        </w:rPr>
      </w:pPr>
      <w:proofErr w:type="gramStart"/>
      <w:r>
        <w:rPr>
          <w:sz w:val="22"/>
          <w:szCs w:val="24"/>
        </w:rPr>
        <w:t>absence</w:t>
      </w:r>
      <w:proofErr w:type="gramEnd"/>
      <w:r>
        <w:rPr>
          <w:sz w:val="22"/>
          <w:szCs w:val="24"/>
        </w:rPr>
        <w:t xml:space="preserve"> de période de service pour l’Etat suite à formation en tant que fonctionnaire, contractuel ou ouvrier de l’Etat ; </w:t>
      </w:r>
    </w:p>
    <w:p>
      <w:pPr>
        <w:numPr>
          <w:ilvl w:val="0"/>
          <w:numId w:val="26"/>
        </w:numPr>
        <w:spacing w:after="240" w:line="271" w:lineRule="auto"/>
        <w:ind w:right="52" w:hanging="360"/>
        <w:jc w:val="both"/>
        <w:rPr>
          <w:sz w:val="22"/>
          <w:szCs w:val="24"/>
        </w:rPr>
      </w:pPr>
      <w:proofErr w:type="gramStart"/>
      <w:r>
        <w:rPr>
          <w:sz w:val="22"/>
          <w:szCs w:val="24"/>
        </w:rPr>
        <w:t>agents</w:t>
      </w:r>
      <w:proofErr w:type="gramEnd"/>
      <w:r>
        <w:rPr>
          <w:sz w:val="22"/>
          <w:szCs w:val="24"/>
        </w:rPr>
        <w:t xml:space="preserve"> âgés de 62 ans et plus doivent fournir, au moment de leur demande, une estimation de leurs droits à pension attestant qu’ils n’ont pas atteint la durée d’assurance minimale exigée pour le bénéfice d’une retraite à taux plein.  </w:t>
      </w:r>
    </w:p>
    <w:p>
      <w:pPr>
        <w:ind w:left="-3" w:right="52"/>
        <w:jc w:val="both"/>
        <w:rPr>
          <w:sz w:val="22"/>
          <w:szCs w:val="24"/>
        </w:rPr>
      </w:pPr>
      <w:r>
        <w:rPr>
          <w:sz w:val="22"/>
          <w:szCs w:val="24"/>
        </w:rPr>
        <w:t xml:space="preserve">NB : La durée d’assurance pour le bénéfice du taux plein s’apprécie toujours tous régimes confondus, que ce soit pour les fonctionnaires, les ouvriers de l’Etat ou les agents contractuels de droit public. La rupture conventionnelle est simplement fermée aux agents publics qui justifient d’une durée égale à la durée d’assurance (tous régimes) minimale exigée pour leur génération. L’enjeu est simplement de vérifier que l’agent a ou n’a pas le nombre de trimestres. </w:t>
      </w:r>
    </w:p>
    <w:p>
      <w:pPr>
        <w:spacing w:after="215"/>
        <w:ind w:left="-3" w:right="52"/>
        <w:jc w:val="both"/>
        <w:rPr>
          <w:sz w:val="22"/>
          <w:szCs w:val="24"/>
        </w:rPr>
      </w:pPr>
      <w:r>
        <w:rPr>
          <w:sz w:val="22"/>
          <w:szCs w:val="24"/>
        </w:rPr>
        <w:t xml:space="preserve">Lorsque l'agent placé en PNA, MAD ou détaché formule une demande de rupture conventionnelle, la DGAFP préconise que l'administration d'accueil et l'autorité de nomination, à qui reviendra la conduite de la procédure et le paiement de l'ISRC, s'entendent entre elles en amont de la procédure de rupture. </w:t>
      </w:r>
    </w:p>
    <w:p>
      <w:pPr>
        <w:spacing w:after="203"/>
        <w:ind w:left="-3" w:right="52"/>
        <w:jc w:val="both"/>
        <w:rPr>
          <w:sz w:val="22"/>
          <w:szCs w:val="24"/>
        </w:rPr>
      </w:pPr>
      <w:r>
        <w:rPr>
          <w:sz w:val="22"/>
          <w:szCs w:val="24"/>
          <w:u w:val="single" w:color="000000"/>
        </w:rPr>
        <w:t>Etape 3</w:t>
      </w:r>
      <w:r>
        <w:rPr>
          <w:sz w:val="22"/>
          <w:szCs w:val="24"/>
        </w:rPr>
        <w:t xml:space="preserve"> : Un entretien se tient entre l’autorité hiérarchique ou celle ayant pouvoir de nomination ou leur représentant et l’agent. Celui-ci, s’il souhaite se faire assister par un conseiller désigné par l’organisation syndicale de son choix, doit en informer préalablement l’autorité auprès de laquelle la procédure est engagée. </w:t>
      </w:r>
    </w:p>
    <w:p>
      <w:pPr>
        <w:spacing w:after="201"/>
        <w:ind w:left="-3" w:right="52"/>
        <w:jc w:val="both"/>
        <w:rPr>
          <w:sz w:val="22"/>
          <w:szCs w:val="24"/>
        </w:rPr>
      </w:pPr>
      <w:r>
        <w:rPr>
          <w:sz w:val="22"/>
          <w:szCs w:val="24"/>
        </w:rPr>
        <w:t xml:space="preserve">Suite à la décision n° 2020-860 question prioritaire de constitutionnalité QPC du 15 octobre 2020 (JORF n°0252 du 16 octobre 2020, texte n° 64), à compter du 16 octobre 2020, y compris pour les procédures en cours de rupture conventionnelle à la date de publication de cette décision, l’agent peut se faire assister par un conseiller d’une organisation syndicale non représentative dans le champ de l’administration concernée. </w:t>
      </w:r>
    </w:p>
    <w:p>
      <w:pPr>
        <w:spacing w:after="224"/>
        <w:ind w:left="-3" w:right="52"/>
        <w:jc w:val="both"/>
        <w:rPr>
          <w:sz w:val="22"/>
          <w:szCs w:val="24"/>
        </w:rPr>
      </w:pPr>
      <w:r>
        <w:rPr>
          <w:sz w:val="22"/>
          <w:szCs w:val="24"/>
        </w:rPr>
        <w:t xml:space="preserve">Cet entretien est organisé au moins dix jours francs et au plus un mois après la réception de la lettre de demande de rupture conventionnelle. Il peut être suivi d’autres entretiens, facultatifs et qui ne sont pas soumis à ces délais. </w:t>
      </w:r>
    </w:p>
    <w:p>
      <w:pPr>
        <w:spacing w:after="120" w:line="100" w:lineRule="atLeast"/>
        <w:jc w:val="both"/>
        <w:rPr>
          <w:sz w:val="22"/>
          <w:szCs w:val="24"/>
        </w:rPr>
      </w:pPr>
      <w:r>
        <w:rPr>
          <w:sz w:val="22"/>
          <w:szCs w:val="24"/>
        </w:rPr>
        <w:t>Pour la préparation de cet entretien, le service RH comptabilise l’ancienneté de l’agent sur l’ensemble de sa carrière y compris, pour les fonctionnaires, dans les services relevant des deux autres versants de la fonction publique.</w:t>
      </w:r>
    </w:p>
    <w:p>
      <w:pPr>
        <w:spacing w:after="120" w:line="100" w:lineRule="atLeast"/>
        <w:jc w:val="both"/>
        <w:rPr>
          <w:sz w:val="22"/>
          <w:szCs w:val="24"/>
        </w:rPr>
      </w:pPr>
      <w:r>
        <w:rPr>
          <w:sz w:val="22"/>
          <w:szCs w:val="24"/>
        </w:rPr>
        <w:t>L’ancienneté s’apprécie du début des services avec l’administration jusqu’au jour qui précède la cessation définitive de fonctions, fin du contrat ou rupture de l’acte d’engagement envisagée.</w:t>
      </w:r>
    </w:p>
    <w:p>
      <w:pPr>
        <w:spacing w:after="218"/>
        <w:ind w:left="-3" w:right="52"/>
        <w:jc w:val="both"/>
        <w:rPr>
          <w:sz w:val="22"/>
          <w:szCs w:val="24"/>
        </w:rPr>
      </w:pPr>
      <w:r>
        <w:rPr>
          <w:sz w:val="22"/>
          <w:szCs w:val="24"/>
        </w:rPr>
        <w:t xml:space="preserve">Le calcul de l’ancienneté des agents contractuels est établi dans les conditions fixées à l’article 31-1 du décret n° 86-83 du 17 janvier 1986 relatif aux dispositions générales applicables aux agents contractuels de l’État. Le cumul d’ancienneté peut prendre en compte une succession de contrats à condition qu’ils aient été conclus avec le même employeur et qu’ils n’aient pas été séparés d’une interruption de plus de 4 mois. </w:t>
      </w:r>
    </w:p>
    <w:p>
      <w:pPr>
        <w:spacing w:after="222"/>
        <w:ind w:left="-3" w:right="52"/>
        <w:rPr>
          <w:sz w:val="22"/>
          <w:szCs w:val="24"/>
        </w:rPr>
      </w:pPr>
      <w:r>
        <w:rPr>
          <w:sz w:val="22"/>
          <w:szCs w:val="24"/>
        </w:rPr>
        <w:t xml:space="preserve">L’ancienneté de services effectifs des ouvriers de l’Etat, est calculée à partir de la date de début jusqu’à la date prévue de fin d’engagement. </w:t>
      </w:r>
    </w:p>
    <w:p>
      <w:pPr>
        <w:spacing w:after="120" w:line="100" w:lineRule="atLeast"/>
        <w:jc w:val="both"/>
        <w:rPr>
          <w:sz w:val="22"/>
          <w:szCs w:val="24"/>
        </w:rPr>
      </w:pPr>
      <w:r>
        <w:rPr>
          <w:sz w:val="22"/>
          <w:szCs w:val="24"/>
        </w:rPr>
        <w:t>Si le calcul de l’ancienneté aboutit à un reliquat en mois ou en jours, celui-ci n’est pas pris en considération pour le calcul du montant de l’ISRC.</w:t>
      </w:r>
    </w:p>
    <w:p>
      <w:pPr>
        <w:spacing w:after="217"/>
        <w:ind w:left="-3" w:right="52"/>
        <w:jc w:val="both"/>
        <w:rPr>
          <w:sz w:val="22"/>
          <w:szCs w:val="24"/>
        </w:rPr>
      </w:pPr>
      <w:r>
        <w:rPr>
          <w:sz w:val="22"/>
          <w:szCs w:val="24"/>
        </w:rPr>
        <w:t xml:space="preserve">Le service RH détermine les montants plancher et plafond de l’ISRC pour permettre à l’autorité hiérarchique de proposer un montant d’ISRC à l’agent durant l’entretien. </w:t>
      </w:r>
    </w:p>
    <w:p>
      <w:pPr>
        <w:spacing w:after="205"/>
        <w:ind w:left="-3" w:right="52"/>
        <w:jc w:val="both"/>
        <w:rPr>
          <w:sz w:val="22"/>
          <w:szCs w:val="24"/>
        </w:rPr>
      </w:pPr>
      <w:r>
        <w:rPr>
          <w:sz w:val="22"/>
          <w:szCs w:val="24"/>
          <w:u w:val="single" w:color="000000"/>
        </w:rPr>
        <w:t>Etape 4</w:t>
      </w:r>
      <w:r>
        <w:rPr>
          <w:sz w:val="22"/>
          <w:szCs w:val="24"/>
        </w:rPr>
        <w:t xml:space="preserve"> : Déroulement de l’entretien (suivi d’autres si nécessaires). </w:t>
      </w:r>
    </w:p>
    <w:p>
      <w:pPr>
        <w:spacing w:after="222"/>
        <w:ind w:left="-3" w:right="52"/>
        <w:jc w:val="both"/>
        <w:rPr>
          <w:sz w:val="22"/>
          <w:szCs w:val="24"/>
        </w:rPr>
      </w:pPr>
      <w:r>
        <w:rPr>
          <w:sz w:val="22"/>
          <w:szCs w:val="24"/>
        </w:rPr>
        <w:t xml:space="preserve">Le ou les entretiens porte(nt) principalement sur : </w:t>
      </w:r>
    </w:p>
    <w:p>
      <w:pPr>
        <w:numPr>
          <w:ilvl w:val="0"/>
          <w:numId w:val="27"/>
        </w:numPr>
        <w:spacing w:after="4" w:line="271" w:lineRule="auto"/>
        <w:ind w:right="52" w:hanging="360"/>
        <w:jc w:val="both"/>
        <w:rPr>
          <w:sz w:val="22"/>
          <w:szCs w:val="24"/>
        </w:rPr>
      </w:pPr>
      <w:proofErr w:type="gramStart"/>
      <w:r>
        <w:rPr>
          <w:sz w:val="22"/>
          <w:szCs w:val="24"/>
        </w:rPr>
        <w:t>les</w:t>
      </w:r>
      <w:proofErr w:type="gramEnd"/>
      <w:r>
        <w:rPr>
          <w:sz w:val="22"/>
          <w:szCs w:val="24"/>
        </w:rPr>
        <w:t xml:space="preserve"> motifs de la demande et le principe de la rupture conventionnelle, </w:t>
      </w:r>
    </w:p>
    <w:p>
      <w:pPr>
        <w:numPr>
          <w:ilvl w:val="0"/>
          <w:numId w:val="27"/>
        </w:numPr>
        <w:spacing w:after="57"/>
        <w:ind w:left="730" w:right="52" w:hanging="360"/>
        <w:jc w:val="both"/>
        <w:rPr>
          <w:sz w:val="22"/>
          <w:szCs w:val="24"/>
        </w:rPr>
      </w:pPr>
      <w:proofErr w:type="gramStart"/>
      <w:r>
        <w:rPr>
          <w:sz w:val="22"/>
          <w:szCs w:val="24"/>
        </w:rPr>
        <w:t>la</w:t>
      </w:r>
      <w:proofErr w:type="gramEnd"/>
      <w:r>
        <w:rPr>
          <w:sz w:val="22"/>
          <w:szCs w:val="24"/>
        </w:rPr>
        <w:t xml:space="preserve"> date de cessation définitive de fonctions (fonctionnaires) ou de fin de contrat (contractuel) ou de fin d’engagement (ouvrier), </w:t>
      </w:r>
    </w:p>
    <w:p>
      <w:pPr>
        <w:numPr>
          <w:ilvl w:val="0"/>
          <w:numId w:val="27"/>
        </w:numPr>
        <w:spacing w:after="4" w:line="271" w:lineRule="auto"/>
        <w:ind w:right="52" w:hanging="360"/>
        <w:jc w:val="both"/>
        <w:rPr>
          <w:sz w:val="22"/>
          <w:szCs w:val="24"/>
        </w:rPr>
      </w:pPr>
      <w:proofErr w:type="gramStart"/>
      <w:r>
        <w:rPr>
          <w:sz w:val="22"/>
          <w:szCs w:val="24"/>
        </w:rPr>
        <w:t>le</w:t>
      </w:r>
      <w:proofErr w:type="gramEnd"/>
      <w:r>
        <w:rPr>
          <w:sz w:val="22"/>
          <w:szCs w:val="24"/>
        </w:rPr>
        <w:t xml:space="preserve"> montant envisagé d’ISRC, </w:t>
      </w:r>
    </w:p>
    <w:p>
      <w:pPr>
        <w:numPr>
          <w:ilvl w:val="0"/>
          <w:numId w:val="27"/>
        </w:numPr>
        <w:spacing w:after="4" w:line="271" w:lineRule="auto"/>
        <w:ind w:right="52" w:hanging="360"/>
        <w:jc w:val="both"/>
        <w:rPr>
          <w:sz w:val="22"/>
          <w:szCs w:val="24"/>
        </w:rPr>
      </w:pPr>
      <w:proofErr w:type="gramStart"/>
      <w:r>
        <w:rPr>
          <w:sz w:val="22"/>
          <w:szCs w:val="24"/>
        </w:rPr>
        <w:t>les</w:t>
      </w:r>
      <w:proofErr w:type="gramEnd"/>
      <w:r>
        <w:rPr>
          <w:sz w:val="22"/>
          <w:szCs w:val="24"/>
        </w:rPr>
        <w:t xml:space="preserve"> conséquences de la cessation définitive de fonctions : </w:t>
      </w:r>
    </w:p>
    <w:p>
      <w:pPr>
        <w:numPr>
          <w:ilvl w:val="1"/>
          <w:numId w:val="27"/>
        </w:numPr>
        <w:spacing w:after="40" w:line="271" w:lineRule="auto"/>
        <w:ind w:right="52" w:hanging="360"/>
        <w:jc w:val="both"/>
        <w:rPr>
          <w:sz w:val="22"/>
          <w:szCs w:val="24"/>
        </w:rPr>
      </w:pPr>
      <w:proofErr w:type="gramStart"/>
      <w:r>
        <w:rPr>
          <w:sz w:val="22"/>
          <w:szCs w:val="24"/>
        </w:rPr>
        <w:t>perte</w:t>
      </w:r>
      <w:proofErr w:type="gramEnd"/>
      <w:r>
        <w:rPr>
          <w:sz w:val="22"/>
          <w:szCs w:val="24"/>
        </w:rPr>
        <w:t xml:space="preserve"> du statut pour les fonctionnaires </w:t>
      </w:r>
    </w:p>
    <w:p>
      <w:pPr>
        <w:numPr>
          <w:ilvl w:val="1"/>
          <w:numId w:val="27"/>
        </w:numPr>
        <w:spacing w:after="203" w:line="271" w:lineRule="auto"/>
        <w:ind w:right="52" w:hanging="360"/>
        <w:jc w:val="both"/>
        <w:rPr>
          <w:sz w:val="22"/>
          <w:szCs w:val="24"/>
        </w:rPr>
      </w:pPr>
      <w:proofErr w:type="gramStart"/>
      <w:r>
        <w:rPr>
          <w:sz w:val="22"/>
          <w:szCs w:val="24"/>
        </w:rPr>
        <w:t>bénéfice</w:t>
      </w:r>
      <w:proofErr w:type="gramEnd"/>
      <w:r>
        <w:rPr>
          <w:sz w:val="22"/>
          <w:szCs w:val="24"/>
        </w:rPr>
        <w:t xml:space="preserve"> de l’assurance chômage si les conditions fixées par le décret n° 2020-741 du 16 juin 2020 relatif à certains agents publics et salariés du secteur public sont remplies.  </w:t>
      </w:r>
    </w:p>
    <w:p>
      <w:pPr>
        <w:spacing w:after="229"/>
        <w:ind w:left="-3" w:right="52"/>
        <w:jc w:val="both"/>
        <w:rPr>
          <w:sz w:val="22"/>
          <w:szCs w:val="24"/>
        </w:rPr>
      </w:pPr>
      <w:r>
        <w:rPr>
          <w:sz w:val="22"/>
          <w:szCs w:val="24"/>
        </w:rPr>
        <w:t xml:space="preserve">NB : Le décret n°2020-741 du 16 juin 2020 constitue dorénavant le texte de référence pour l’ouverture du droit à chômage dans la fonction publique. Le régime d’assurance chômage n’est applicable aux agents de la fonction publique que dans la limite fixée par la loi (article L. 5424-1 du code du travail et article 72 de la loi n° 2019-828 du 6 août 2019) et par ce décret du 16 juin 2020. </w:t>
      </w:r>
    </w:p>
    <w:p>
      <w:pPr>
        <w:numPr>
          <w:ilvl w:val="0"/>
          <w:numId w:val="27"/>
        </w:numPr>
        <w:spacing w:after="236" w:line="271" w:lineRule="auto"/>
        <w:ind w:right="52" w:hanging="360"/>
        <w:jc w:val="both"/>
        <w:rPr>
          <w:sz w:val="22"/>
          <w:szCs w:val="24"/>
        </w:rPr>
      </w:pPr>
      <w:proofErr w:type="gramStart"/>
      <w:r>
        <w:rPr>
          <w:sz w:val="22"/>
          <w:szCs w:val="24"/>
        </w:rPr>
        <w:t>l’obligation</w:t>
      </w:r>
      <w:proofErr w:type="gramEnd"/>
      <w:r>
        <w:rPr>
          <w:sz w:val="22"/>
          <w:szCs w:val="24"/>
        </w:rPr>
        <w:t xml:space="preserve"> de remboursement de l’ISRC si dans les six années qui suivent la fin de fonctions, l’agent occupe à nouveau un emploi auprès du même employeur dans la fonction publique (autre service de l’Etat). </w:t>
      </w:r>
    </w:p>
    <w:p>
      <w:pPr>
        <w:spacing w:after="233"/>
        <w:ind w:left="-3" w:right="52"/>
        <w:jc w:val="both"/>
        <w:rPr>
          <w:sz w:val="22"/>
          <w:szCs w:val="24"/>
        </w:rPr>
      </w:pPr>
      <w:r>
        <w:rPr>
          <w:sz w:val="22"/>
          <w:szCs w:val="24"/>
        </w:rPr>
        <w:t xml:space="preserve">Selon l’intérêt du service et le projet de l’agent, l’autorité hiérarchique peut accepter ou non la rupture conventionnelle. De même, l’agent à l’issue de l’entretien peut accepter ou non la rupture conventionnelle, notamment en fonction du montant d’ISRC qui lui aura été proposé. </w:t>
      </w:r>
    </w:p>
    <w:p>
      <w:pPr>
        <w:spacing w:after="207"/>
        <w:ind w:left="-3" w:right="52"/>
        <w:jc w:val="both"/>
        <w:rPr>
          <w:sz w:val="22"/>
          <w:szCs w:val="24"/>
        </w:rPr>
      </w:pPr>
      <w:r>
        <w:rPr>
          <w:sz w:val="22"/>
          <w:szCs w:val="24"/>
          <w:u w:val="single" w:color="000000"/>
        </w:rPr>
        <w:t>Etape 5</w:t>
      </w:r>
      <w:r>
        <w:rPr>
          <w:sz w:val="22"/>
          <w:szCs w:val="24"/>
        </w:rPr>
        <w:t xml:space="preserve"> : Réalisation d’une convention de rupture conventionnelle. </w:t>
      </w:r>
    </w:p>
    <w:p>
      <w:pPr>
        <w:spacing w:after="120" w:line="100" w:lineRule="atLeast"/>
        <w:jc w:val="both"/>
        <w:rPr>
          <w:sz w:val="22"/>
          <w:szCs w:val="24"/>
        </w:rPr>
      </w:pPr>
      <w:r>
        <w:rPr>
          <w:sz w:val="22"/>
          <w:szCs w:val="24"/>
        </w:rPr>
        <w:t>Les termes et les conditions de la rupture conventionnelle sont énoncés dans une convention signée par les deux parties.</w:t>
      </w:r>
    </w:p>
    <w:p>
      <w:pPr>
        <w:spacing w:after="225"/>
        <w:ind w:left="-3" w:right="52"/>
        <w:jc w:val="both"/>
        <w:rPr>
          <w:sz w:val="22"/>
          <w:szCs w:val="24"/>
        </w:rPr>
      </w:pPr>
      <w:r>
        <w:rPr>
          <w:sz w:val="22"/>
          <w:szCs w:val="24"/>
        </w:rPr>
        <w:t xml:space="preserve">La convention fixe notamment le montant de l’ISRC et la date de fin de fonctions (cf. modèle de convention pouvant être utilisé dans le paragraphe suivant). </w:t>
      </w:r>
    </w:p>
    <w:p>
      <w:pPr>
        <w:spacing w:after="197"/>
        <w:ind w:left="-3" w:right="52"/>
        <w:jc w:val="both"/>
        <w:rPr>
          <w:sz w:val="22"/>
          <w:szCs w:val="24"/>
        </w:rPr>
      </w:pPr>
      <w:r>
        <w:rPr>
          <w:sz w:val="22"/>
          <w:szCs w:val="24"/>
        </w:rPr>
        <w:t xml:space="preserve">La convention de rupture conventionnelle est le document qui manifeste l’accord entre l’agent et l’administration pour une rupture conventionnelle.  </w:t>
      </w:r>
    </w:p>
    <w:p>
      <w:pPr>
        <w:spacing w:after="202"/>
        <w:ind w:left="-3" w:right="52"/>
        <w:jc w:val="both"/>
        <w:rPr>
          <w:sz w:val="22"/>
          <w:szCs w:val="24"/>
        </w:rPr>
      </w:pPr>
      <w:r>
        <w:rPr>
          <w:sz w:val="22"/>
          <w:szCs w:val="24"/>
        </w:rPr>
        <w:t xml:space="preserve">La signature de la convention a lieu au moins quinze jours franc après le dernier entretien, à une date arrêtée par l'autorité dont relève l'agent ou l'autorité investie du pouvoir de nomination ou son représentant </w:t>
      </w:r>
    </w:p>
    <w:p>
      <w:pPr>
        <w:spacing w:after="237"/>
        <w:ind w:left="-3" w:right="52"/>
        <w:jc w:val="both"/>
        <w:rPr>
          <w:sz w:val="22"/>
          <w:szCs w:val="24"/>
        </w:rPr>
      </w:pPr>
      <w:r>
        <w:rPr>
          <w:sz w:val="22"/>
          <w:szCs w:val="24"/>
          <w:u w:val="single" w:color="000000"/>
        </w:rPr>
        <w:t>Etape 6</w:t>
      </w:r>
      <w:r>
        <w:rPr>
          <w:sz w:val="22"/>
          <w:szCs w:val="24"/>
        </w:rPr>
        <w:t xml:space="preserve"> : Respect du délai de rétractation </w:t>
      </w:r>
    </w:p>
    <w:p>
      <w:pPr>
        <w:spacing w:after="120" w:line="100" w:lineRule="atLeast"/>
        <w:jc w:val="both"/>
        <w:rPr>
          <w:sz w:val="22"/>
          <w:szCs w:val="24"/>
        </w:rPr>
      </w:pPr>
      <w:r>
        <w:rPr>
          <w:sz w:val="22"/>
          <w:szCs w:val="24"/>
        </w:rPr>
        <w:t>Chacune des parties dispose d’un droit de rétraction. Ce droit s’exerce dans un délai de 15 jours qui court un jour franc après la date de signature de la convention. Il prend la forme d’une lettre recommandée avec demande d’avis de réception ou de remise en main propre contre signature.</w:t>
      </w:r>
    </w:p>
    <w:p>
      <w:pPr>
        <w:spacing w:after="207"/>
        <w:ind w:left="-3" w:right="52"/>
        <w:rPr>
          <w:sz w:val="22"/>
          <w:szCs w:val="24"/>
        </w:rPr>
      </w:pPr>
      <w:r>
        <w:rPr>
          <w:sz w:val="22"/>
          <w:szCs w:val="24"/>
          <w:u w:val="single" w:color="000000"/>
        </w:rPr>
        <w:t>Etape 7</w:t>
      </w:r>
      <w:r>
        <w:rPr>
          <w:sz w:val="22"/>
          <w:szCs w:val="24"/>
        </w:rPr>
        <w:t xml:space="preserve"> : Copie de la convention de rupture conventionnelle </w:t>
      </w:r>
    </w:p>
    <w:p>
      <w:pPr>
        <w:spacing w:after="223"/>
        <w:ind w:left="-3" w:right="52"/>
        <w:jc w:val="both"/>
        <w:rPr>
          <w:sz w:val="22"/>
          <w:szCs w:val="24"/>
        </w:rPr>
      </w:pPr>
      <w:r>
        <w:rPr>
          <w:sz w:val="22"/>
          <w:szCs w:val="24"/>
        </w:rPr>
        <w:t xml:space="preserve">Le service RH verse une copie de la convention de rupture conventionnelle signée au dossier de l’agent (papier ou dématérialisé). </w:t>
      </w:r>
    </w:p>
    <w:p>
      <w:pPr>
        <w:spacing w:after="243"/>
        <w:ind w:left="-3" w:right="52"/>
        <w:jc w:val="both"/>
        <w:rPr>
          <w:sz w:val="22"/>
          <w:szCs w:val="24"/>
        </w:rPr>
      </w:pPr>
      <w:r>
        <w:rPr>
          <w:sz w:val="22"/>
          <w:szCs w:val="24"/>
          <w:u w:val="single" w:color="000000"/>
        </w:rPr>
        <w:t>Etape 8</w:t>
      </w:r>
      <w:r>
        <w:rPr>
          <w:sz w:val="22"/>
          <w:szCs w:val="24"/>
        </w:rPr>
        <w:t xml:space="preserve"> : Versement de l’ISRC </w:t>
      </w:r>
    </w:p>
    <w:p>
      <w:pPr>
        <w:ind w:left="-3" w:right="52"/>
        <w:jc w:val="both"/>
        <w:rPr>
          <w:sz w:val="22"/>
          <w:szCs w:val="24"/>
        </w:rPr>
      </w:pPr>
      <w:r>
        <w:rPr>
          <w:sz w:val="22"/>
          <w:szCs w:val="24"/>
        </w:rPr>
        <w:t xml:space="preserve">Le versement de l’ISRC n’intervient qu’une fois le délai de rétractation dépassé et la paie arrêtée. </w:t>
      </w:r>
    </w:p>
    <w:p>
      <w:pPr>
        <w:spacing w:after="207"/>
        <w:ind w:left="-3" w:right="52"/>
        <w:jc w:val="both"/>
        <w:rPr>
          <w:sz w:val="22"/>
          <w:szCs w:val="24"/>
        </w:rPr>
      </w:pPr>
      <w:r>
        <w:rPr>
          <w:sz w:val="22"/>
          <w:szCs w:val="24"/>
          <w:u w:val="single" w:color="000000"/>
        </w:rPr>
        <w:t>Etape 9</w:t>
      </w:r>
      <w:r>
        <w:rPr>
          <w:sz w:val="22"/>
          <w:szCs w:val="24"/>
        </w:rPr>
        <w:t xml:space="preserve"> : Cessation de fonctions </w:t>
      </w:r>
    </w:p>
    <w:p>
      <w:pPr>
        <w:spacing w:after="205"/>
        <w:ind w:left="-3" w:right="52"/>
        <w:jc w:val="both"/>
        <w:rPr>
          <w:sz w:val="22"/>
          <w:szCs w:val="24"/>
        </w:rPr>
      </w:pPr>
      <w:r>
        <w:rPr>
          <w:sz w:val="22"/>
          <w:szCs w:val="24"/>
        </w:rPr>
        <w:t xml:space="preserve">Un acte de radiation des cadres est établi. (Cf. ci-dessous les modèles proposés par la bibliothèque des actes pour un titulaire) </w:t>
      </w:r>
    </w:p>
    <w:p>
      <w:pPr>
        <w:spacing w:after="0"/>
        <w:ind w:left="-3" w:right="52"/>
        <w:jc w:val="both"/>
        <w:rPr>
          <w:sz w:val="22"/>
          <w:szCs w:val="24"/>
        </w:rPr>
      </w:pPr>
      <w:r>
        <w:rPr>
          <w:sz w:val="22"/>
          <w:szCs w:val="24"/>
        </w:rPr>
        <w:t xml:space="preserve">La radiation des cadres ne concerne que les fonctionnaires. La rupture conventionnelle se traduit pour les contractuels par une fin de leur contrat. </w:t>
      </w:r>
    </w:p>
    <w:p>
      <w:pPr>
        <w:spacing w:after="0"/>
        <w:ind w:left="-3" w:right="52"/>
        <w:rPr>
          <w:sz w:val="22"/>
          <w:szCs w:val="24"/>
        </w:rPr>
      </w:pPr>
    </w:p>
    <w:p>
      <w:pPr>
        <w:jc w:val="both"/>
      </w:pPr>
      <w:r>
        <w:rPr>
          <w:noProof/>
        </w:rPr>
        <mc:AlternateContent>
          <mc:Choice Requires="wps">
            <w:drawing>
              <wp:anchor distT="0" distB="0" distL="114300" distR="114300" simplePos="0" relativeHeight="252088320"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24" name="Rectangle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alt="&quot;&quot;" style="position:absolute;margin-left:-1.95pt;margin-top:21.2pt;width:477.75pt;height:30pt;z-index:-25122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" fillcolor="#5770be" stroked="f" strokeweight="1pt"/>
            </w:pict>
          </mc:Fallback>
        </mc:AlternateContent>
      </w:r>
    </w:p>
    <w:p>
      <w:pPr>
        <w:pStyle w:val="Style3"/>
        <w:rPr>
          <w:sz w:val="24"/>
        </w:rPr>
      </w:pPr>
      <w:bookmarkStart w:id="34" w:name="_Toc237958330"/>
      <w:r>
        <w:rPr>
          <w:b w:val="0"/>
          <w:bCs/>
        </w:rPr>
        <w:t>5.2.2. Formulaires de procédure de rupture conventionnelle</w:t>
      </w:r>
      <w:bookmarkEnd w:id="34"/>
    </w:p>
    <w:p>
      <w:pPr>
        <w:spacing w:after="120" w:line="100" w:lineRule="atLeast"/>
        <w:jc w:val="both"/>
        <w:rPr>
          <w:sz w:val="24"/>
          <w:szCs w:val="24"/>
        </w:rPr>
      </w:pPr>
    </w:p>
    <w:p>
      <w:pPr>
        <w:jc w:val="both"/>
        <w:rPr>
          <w:sz w:val="24"/>
          <w:szCs w:val="24"/>
        </w:rPr>
      </w:pPr>
      <w:r>
        <w:rPr>
          <w:sz w:val="24"/>
          <w:szCs w:val="24"/>
        </w:rPr>
        <w:t>Les formulaires ci-après documentent les étapes 1, 5 et 9 ci-dessus.</w:t>
      </w:r>
    </w:p>
    <w:p>
      <w:pPr>
        <w:jc w:val="both"/>
        <w:rPr>
          <w:sz w:val="24"/>
          <w:szCs w:val="24"/>
        </w:rPr>
      </w:pPr>
      <w:r>
        <w:rPr>
          <w:sz w:val="24"/>
          <w:szCs w:val="24"/>
        </w:rPr>
        <w:t>Etape 1 :</w:t>
      </w:r>
    </w:p>
    <w:tbl>
      <w:tblPr>
        <w:tblStyle w:val="TableGrid"/>
        <w:tblW w:w="9428" w:type="dxa"/>
        <w:tblInd w:w="4" w:type="dxa"/>
        <w:tblCellMar>
          <w:top w:w="9" w:type="dxa"/>
          <w:bottom w:w="78" w:type="dxa"/>
          <w:right w:w="48" w:type="dxa"/>
        </w:tblCellMar>
        <w:tblLook w:val="04A0" w:firstRow="1" w:lastRow="0" w:firstColumn="1" w:lastColumn="0" w:noHBand="0" w:noVBand="1"/>
      </w:tblPr>
      <w:tblGrid>
        <w:gridCol w:w="5902"/>
        <w:gridCol w:w="3526"/>
      </w:tblGrid>
      <w:tr>
        <w:trPr>
          <w:trHeight w:val="1121"/>
        </w:trPr>
        <w:tc>
          <w:tcPr>
            <w:tcW w:w="5902" w:type="dxa"/>
            <w:tcBorders>
              <w:top w:val="single" w:sz="4" w:space="0" w:color="000000"/>
              <w:left w:val="single" w:sz="4" w:space="0" w:color="000000"/>
              <w:bottom w:val="single" w:sz="4" w:space="0" w:color="000000"/>
              <w:right w:val="single" w:sz="4" w:space="0" w:color="000000"/>
            </w:tcBorders>
            <w:vAlign w:val="center"/>
          </w:tcPr>
          <w:p>
            <w:pPr>
              <w:spacing w:after="13" w:line="259" w:lineRule="auto"/>
              <w:ind w:left="112"/>
            </w:pPr>
            <w:proofErr w:type="gramStart"/>
            <w:r>
              <w:rPr>
                <w:rFonts w:ascii="Courier New" w:eastAsia="Courier New" w:hAnsi="Courier New" w:cs="Courier New"/>
              </w:rPr>
              <w:t>o</w:t>
            </w:r>
            <w:proofErr w:type="gramEnd"/>
            <w:r>
              <w:t xml:space="preserve"> Lettre d’engagement d’une procédure de rupture </w:t>
            </w:r>
          </w:p>
          <w:p>
            <w:pPr>
              <w:spacing w:line="259" w:lineRule="auto"/>
              <w:ind w:left="472"/>
            </w:pPr>
            <w:proofErr w:type="gramStart"/>
            <w:r>
              <w:t>conventionnelle</w:t>
            </w:r>
            <w:proofErr w:type="gramEnd"/>
            <w:r>
              <w:t xml:space="preserve"> à l’initiative de l’agent </w:t>
            </w:r>
            <w:r>
              <w:rPr>
                <w:b/>
              </w:rPr>
              <w:t xml:space="preserve"> </w:t>
            </w:r>
          </w:p>
        </w:tc>
        <w:bookmarkStart w:id="35" w:name="_MON_1848837088"/>
        <w:bookmarkEnd w:id="35"/>
        <w:tc>
          <w:tcPr>
            <w:tcW w:w="3526" w:type="dxa"/>
            <w:tcBorders>
              <w:top w:val="single" w:sz="4" w:space="0" w:color="000000"/>
              <w:left w:val="single" w:sz="4" w:space="0" w:color="000000"/>
              <w:bottom w:val="single" w:sz="4" w:space="0" w:color="000000"/>
              <w:right w:val="single" w:sz="4" w:space="0" w:color="000000"/>
            </w:tcBorders>
            <w:vAlign w:val="bottom"/>
          </w:tcPr>
          <w:p>
            <w:pPr>
              <w:spacing w:after="60" w:line="259" w:lineRule="auto"/>
              <w:ind w:left="1520"/>
            </w:pPr>
            <w:r>
              <w:rPr>
                <w:rFonts w:ascii="Marianne" w:eastAsiaTheme="minorHAnsi" w:hAnsi="Marianne"/>
                <w:sz w:val="20"/>
                <w:lang w:eastAsia="en-US"/>
              </w:rPr>
              <w:object w:dxaOrig="1504" w:dyaOrig="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85pt;height:48.85pt" o:ole="">
                  <v:imagedata r:id="rId27" o:title=""/>
                </v:shape>
                <o:OLEObject Type="Embed" ProgID="Word.Document.8" ShapeID="_x0000_i1025" DrawAspect="Icon" ObjectID="_1849329723" r:id="rId28">
                  <o:FieldCodes>\s</o:FieldCodes>
                </o:OLEObject>
              </w:object>
            </w:r>
          </w:p>
          <w:p>
            <w:pPr>
              <w:spacing w:line="259" w:lineRule="auto"/>
              <w:ind w:left="1638"/>
              <w:jc w:val="center"/>
            </w:pPr>
            <w:r>
              <w:rPr>
                <w:b/>
              </w:rPr>
              <w:t xml:space="preserve"> </w:t>
            </w:r>
          </w:p>
        </w:tc>
      </w:tr>
    </w:tbl>
    <w:p>
      <w:pPr>
        <w:jc w:val="both"/>
        <w:rPr>
          <w:sz w:val="24"/>
          <w:szCs w:val="24"/>
        </w:rPr>
      </w:pPr>
    </w:p>
    <w:tbl>
      <w:tblPr>
        <w:tblStyle w:val="TableGrid"/>
        <w:tblW w:w="9428" w:type="dxa"/>
        <w:tblInd w:w="4" w:type="dxa"/>
        <w:tblCellMar>
          <w:top w:w="9" w:type="dxa"/>
          <w:bottom w:w="78" w:type="dxa"/>
          <w:right w:w="48" w:type="dxa"/>
        </w:tblCellMar>
        <w:tblLook w:val="04A0" w:firstRow="1" w:lastRow="0" w:firstColumn="1" w:lastColumn="0" w:noHBand="0" w:noVBand="1"/>
      </w:tblPr>
      <w:tblGrid>
        <w:gridCol w:w="5902"/>
        <w:gridCol w:w="3526"/>
      </w:tblGrid>
      <w:tr>
        <w:trPr>
          <w:trHeight w:val="1118"/>
        </w:trPr>
        <w:tc>
          <w:tcPr>
            <w:tcW w:w="5901" w:type="dxa"/>
            <w:tcBorders>
              <w:top w:val="single" w:sz="4" w:space="0" w:color="000000"/>
              <w:left w:val="single" w:sz="4" w:space="0" w:color="000000"/>
              <w:bottom w:val="single" w:sz="4" w:space="0" w:color="000000"/>
              <w:right w:val="single" w:sz="4" w:space="0" w:color="000000"/>
            </w:tcBorders>
            <w:vAlign w:val="center"/>
          </w:tcPr>
          <w:p>
            <w:pPr>
              <w:spacing w:after="35" w:line="259" w:lineRule="auto"/>
              <w:ind w:left="112"/>
            </w:pPr>
            <w:proofErr w:type="gramStart"/>
            <w:r>
              <w:rPr>
                <w:rFonts w:ascii="Courier New" w:eastAsia="Courier New" w:hAnsi="Courier New" w:cs="Courier New"/>
              </w:rPr>
              <w:t>o</w:t>
            </w:r>
            <w:proofErr w:type="gramEnd"/>
            <w:r>
              <w:t xml:space="preserve"> Lettre d’engagement d’une procédure de rupture </w:t>
            </w:r>
          </w:p>
          <w:p>
            <w:pPr>
              <w:spacing w:line="259" w:lineRule="auto"/>
              <w:ind w:left="472"/>
            </w:pPr>
            <w:proofErr w:type="gramStart"/>
            <w:r>
              <w:t>conventionnelle</w:t>
            </w:r>
            <w:proofErr w:type="gramEnd"/>
            <w:r>
              <w:t xml:space="preserve"> à l’initiative de l’administration </w:t>
            </w:r>
            <w:r>
              <w:rPr>
                <w:b/>
              </w:rPr>
              <w:t xml:space="preserve"> </w:t>
            </w:r>
          </w:p>
        </w:tc>
        <w:bookmarkStart w:id="36" w:name="_MON_1848837221"/>
        <w:bookmarkEnd w:id="36"/>
        <w:tc>
          <w:tcPr>
            <w:tcW w:w="3526" w:type="dxa"/>
            <w:tcBorders>
              <w:top w:val="single" w:sz="4" w:space="0" w:color="000000"/>
              <w:left w:val="single" w:sz="4" w:space="0" w:color="000000"/>
              <w:bottom w:val="single" w:sz="4" w:space="0" w:color="000000"/>
              <w:right w:val="single" w:sz="4" w:space="0" w:color="000000"/>
            </w:tcBorders>
            <w:vAlign w:val="bottom"/>
          </w:tcPr>
          <w:p>
            <w:pPr>
              <w:spacing w:after="60" w:line="259" w:lineRule="auto"/>
              <w:ind w:left="1520"/>
            </w:pPr>
            <w:r>
              <w:rPr>
                <w:rFonts w:ascii="Marianne" w:eastAsiaTheme="minorHAnsi" w:hAnsi="Marianne"/>
                <w:sz w:val="20"/>
                <w:lang w:eastAsia="en-US"/>
              </w:rPr>
              <w:object w:dxaOrig="1504" w:dyaOrig="981">
                <v:shape id="_x0000_i1026" type="#_x0000_t75" style="width:74.85pt;height:48.85pt" o:ole="">
                  <v:imagedata r:id="rId29" o:title=""/>
                </v:shape>
                <o:OLEObject Type="Embed" ProgID="Word.Document.8" ShapeID="_x0000_i1026" DrawAspect="Icon" ObjectID="_1849329724" r:id="rId30">
                  <o:FieldCodes>\s</o:FieldCodes>
                </o:OLEObject>
              </w:object>
            </w:r>
          </w:p>
        </w:tc>
      </w:tr>
    </w:tbl>
    <w:p>
      <w:pPr>
        <w:jc w:val="both"/>
        <w:rPr>
          <w:sz w:val="24"/>
          <w:szCs w:val="24"/>
        </w:rPr>
      </w:pPr>
    </w:p>
    <w:p>
      <w:pPr>
        <w:jc w:val="both"/>
        <w:rPr>
          <w:sz w:val="24"/>
          <w:szCs w:val="24"/>
        </w:rPr>
      </w:pPr>
      <w:r>
        <w:rPr>
          <w:sz w:val="24"/>
          <w:szCs w:val="24"/>
        </w:rPr>
        <w:t>Etape 5 :</w:t>
      </w:r>
    </w:p>
    <w:p>
      <w:pPr>
        <w:ind w:left="-3" w:right="52"/>
        <w:jc w:val="both"/>
        <w:rPr>
          <w:sz w:val="22"/>
          <w:szCs w:val="24"/>
        </w:rPr>
      </w:pPr>
      <w:r>
        <w:rPr>
          <w:sz w:val="22"/>
          <w:szCs w:val="24"/>
        </w:rPr>
        <w:t xml:space="preserve">Modèles de convention de rupture conventionnelle pour les fonctionnaires (Annexe 1 de l’arrêté du 6 août 2026 fixant les modèles de convention de rupture conventionnelle prévus par le décret n°2019-1593 du 31 décembre 2019 relatif à la procédure de rupture conventionnelle dans la fonction publique) : </w:t>
      </w:r>
      <w:hyperlink r:id="rId31" w:history="1">
        <w:r>
          <w:rPr>
            <w:rStyle w:val="Lienhypertexte"/>
            <w:sz w:val="22"/>
            <w:szCs w:val="24"/>
          </w:rPr>
          <w:t>lien</w:t>
        </w:r>
      </w:hyperlink>
    </w:p>
    <w:tbl>
      <w:tblPr>
        <w:tblStyle w:val="TableGrid"/>
        <w:tblW w:w="9426" w:type="dxa"/>
        <w:tblInd w:w="5" w:type="dxa"/>
        <w:tblCellMar>
          <w:bottom w:w="81" w:type="dxa"/>
          <w:right w:w="115" w:type="dxa"/>
        </w:tblCellMar>
        <w:tblLook w:val="04A0" w:firstRow="1" w:lastRow="0" w:firstColumn="1" w:lastColumn="0" w:noHBand="0" w:noVBand="1"/>
      </w:tblPr>
      <w:tblGrid>
        <w:gridCol w:w="470"/>
        <w:gridCol w:w="5430"/>
        <w:gridCol w:w="3526"/>
      </w:tblGrid>
      <w:tr>
        <w:trPr>
          <w:trHeight w:val="1181"/>
        </w:trPr>
        <w:tc>
          <w:tcPr>
            <w:tcW w:w="470" w:type="dxa"/>
            <w:tcBorders>
              <w:top w:val="single" w:sz="4" w:space="0" w:color="000000"/>
              <w:left w:val="single" w:sz="4" w:space="0" w:color="000000"/>
              <w:bottom w:val="single" w:sz="4" w:space="0" w:color="000000"/>
              <w:right w:val="nil"/>
            </w:tcBorders>
            <w:vAlign w:val="center"/>
          </w:tcPr>
          <w:p>
            <w:pPr>
              <w:spacing w:line="259" w:lineRule="auto"/>
              <w:ind w:left="110"/>
            </w:pPr>
            <w:proofErr w:type="gramStart"/>
            <w:r>
              <w:rPr>
                <w:rFonts w:ascii="Courier New" w:eastAsia="Courier New" w:hAnsi="Courier New" w:cs="Courier New"/>
              </w:rPr>
              <w:t>o</w:t>
            </w:r>
            <w:proofErr w:type="gramEnd"/>
            <w:r>
              <w:t xml:space="preserve"> </w:t>
            </w:r>
          </w:p>
        </w:tc>
        <w:tc>
          <w:tcPr>
            <w:tcW w:w="5430" w:type="dxa"/>
            <w:tcBorders>
              <w:top w:val="single" w:sz="4" w:space="0" w:color="000000"/>
              <w:left w:val="nil"/>
              <w:bottom w:val="single" w:sz="4" w:space="0" w:color="000000"/>
              <w:right w:val="single" w:sz="4" w:space="0" w:color="000000"/>
            </w:tcBorders>
            <w:vAlign w:val="center"/>
          </w:tcPr>
          <w:p>
            <w:pPr>
              <w:spacing w:line="259" w:lineRule="auto"/>
            </w:pPr>
            <w:r>
              <w:t xml:space="preserve">Annexe 1 </w:t>
            </w:r>
            <w:r>
              <w:rPr>
                <w:b/>
              </w:rPr>
              <w:t xml:space="preserve"> </w:t>
            </w:r>
          </w:p>
        </w:tc>
        <w:bookmarkStart w:id="37" w:name="_MON_1848839330"/>
        <w:bookmarkEnd w:id="37"/>
        <w:tc>
          <w:tcPr>
            <w:tcW w:w="3526" w:type="dxa"/>
            <w:tcBorders>
              <w:top w:val="single" w:sz="4" w:space="0" w:color="000000"/>
              <w:left w:val="single" w:sz="4" w:space="0" w:color="000000"/>
              <w:bottom w:val="single" w:sz="4" w:space="0" w:color="000000"/>
              <w:right w:val="single" w:sz="4" w:space="0" w:color="000000"/>
            </w:tcBorders>
            <w:vAlign w:val="bottom"/>
          </w:tcPr>
          <w:p>
            <w:pPr>
              <w:spacing w:line="259" w:lineRule="auto"/>
              <w:jc w:val="center"/>
            </w:pPr>
            <w:r>
              <w:rPr>
                <w:rFonts w:ascii="Marianne" w:eastAsiaTheme="minorHAnsi" w:hAnsi="Marianne"/>
                <w:sz w:val="20"/>
                <w:lang w:eastAsia="en-US"/>
              </w:rPr>
              <w:object w:dxaOrig="1504" w:dyaOrig="981">
                <v:shape id="_x0000_i1027" type="#_x0000_t75" style="width:74.85pt;height:48.85pt" o:ole="">
                  <v:imagedata r:id="rId32" o:title=""/>
                </v:shape>
                <o:OLEObject Type="Embed" ProgID="Word.Document.12" ShapeID="_x0000_i1027" DrawAspect="Icon" ObjectID="_1849329725" r:id="rId33">
                  <o:FieldCodes>\s</o:FieldCodes>
                </o:OLEObject>
              </w:object>
            </w:r>
          </w:p>
          <w:p>
            <w:pPr>
              <w:spacing w:line="259" w:lineRule="auto"/>
              <w:jc w:val="center"/>
              <w:rPr>
                <w:i/>
                <w:iCs/>
              </w:rPr>
            </w:pPr>
            <w:r>
              <w:rPr>
                <w:i/>
                <w:iCs/>
                <w:sz w:val="20"/>
                <w:szCs w:val="20"/>
              </w:rPr>
              <w:t>Annexe 1 - Fonctionnaires</w:t>
            </w:r>
          </w:p>
        </w:tc>
      </w:tr>
    </w:tbl>
    <w:p>
      <w:pPr>
        <w:jc w:val="both"/>
        <w:rPr>
          <w:sz w:val="26"/>
          <w:szCs w:val="28"/>
        </w:rPr>
      </w:pPr>
      <w:r>
        <w:rPr>
          <w:sz w:val="22"/>
          <w:szCs w:val="24"/>
        </w:rPr>
        <w:t>Remarque : les modèles de l’arrêté décrivent une ancienneté en année et mois. Pour le calcul du montant de l’indemnité seules les années complètes seront retenues</w:t>
      </w:r>
    </w:p>
    <w:p>
      <w:pPr>
        <w:ind w:left="-3" w:right="52"/>
        <w:rPr>
          <w:sz w:val="22"/>
          <w:szCs w:val="24"/>
        </w:rPr>
      </w:pPr>
      <w:r>
        <w:rPr>
          <w:sz w:val="22"/>
          <w:szCs w:val="24"/>
        </w:rPr>
        <w:t xml:space="preserve">Modèle convention de rupture conventionnelle pour les contractuels en CDI (Annexe 2 de l’arrêté du 6 août 2026) </w:t>
      </w:r>
    </w:p>
    <w:tbl>
      <w:tblPr>
        <w:tblStyle w:val="TableGrid"/>
        <w:tblW w:w="9426" w:type="dxa"/>
        <w:tblInd w:w="5" w:type="dxa"/>
        <w:tblCellMar>
          <w:bottom w:w="81" w:type="dxa"/>
          <w:right w:w="115" w:type="dxa"/>
        </w:tblCellMar>
        <w:tblLook w:val="04A0" w:firstRow="1" w:lastRow="0" w:firstColumn="1" w:lastColumn="0" w:noHBand="0" w:noVBand="1"/>
      </w:tblPr>
      <w:tblGrid>
        <w:gridCol w:w="470"/>
        <w:gridCol w:w="5430"/>
        <w:gridCol w:w="3526"/>
      </w:tblGrid>
      <w:tr>
        <w:trPr>
          <w:trHeight w:val="1121"/>
        </w:trPr>
        <w:tc>
          <w:tcPr>
            <w:tcW w:w="470" w:type="dxa"/>
            <w:tcBorders>
              <w:top w:val="single" w:sz="4" w:space="0" w:color="000000"/>
              <w:left w:val="single" w:sz="4" w:space="0" w:color="000000"/>
              <w:bottom w:val="single" w:sz="4" w:space="0" w:color="000000"/>
              <w:right w:val="nil"/>
            </w:tcBorders>
            <w:vAlign w:val="center"/>
          </w:tcPr>
          <w:p>
            <w:pPr>
              <w:spacing w:line="259" w:lineRule="auto"/>
              <w:ind w:left="110"/>
            </w:pPr>
            <w:proofErr w:type="gramStart"/>
            <w:r>
              <w:rPr>
                <w:rFonts w:ascii="Courier New" w:eastAsia="Courier New" w:hAnsi="Courier New" w:cs="Courier New"/>
              </w:rPr>
              <w:t>o</w:t>
            </w:r>
            <w:proofErr w:type="gramEnd"/>
            <w:r>
              <w:t xml:space="preserve"> </w:t>
            </w:r>
          </w:p>
        </w:tc>
        <w:tc>
          <w:tcPr>
            <w:tcW w:w="5430" w:type="dxa"/>
            <w:tcBorders>
              <w:top w:val="single" w:sz="4" w:space="0" w:color="000000"/>
              <w:left w:val="nil"/>
              <w:bottom w:val="single" w:sz="4" w:space="0" w:color="000000"/>
              <w:right w:val="single" w:sz="4" w:space="0" w:color="000000"/>
            </w:tcBorders>
            <w:vAlign w:val="center"/>
          </w:tcPr>
          <w:p>
            <w:pPr>
              <w:spacing w:line="259" w:lineRule="auto"/>
            </w:pPr>
            <w:r>
              <w:t xml:space="preserve">Annexe 2 </w:t>
            </w:r>
            <w:r>
              <w:rPr>
                <w:b/>
              </w:rPr>
              <w:t xml:space="preserve"> </w:t>
            </w:r>
          </w:p>
        </w:tc>
        <w:bookmarkStart w:id="38" w:name="_MON_1848839357"/>
        <w:bookmarkEnd w:id="38"/>
        <w:tc>
          <w:tcPr>
            <w:tcW w:w="3526" w:type="dxa"/>
            <w:tcBorders>
              <w:top w:val="single" w:sz="4" w:space="0" w:color="000000"/>
              <w:left w:val="single" w:sz="4" w:space="0" w:color="000000"/>
              <w:bottom w:val="single" w:sz="4" w:space="0" w:color="000000"/>
              <w:right w:val="single" w:sz="4" w:space="0" w:color="000000"/>
            </w:tcBorders>
            <w:vAlign w:val="bottom"/>
          </w:tcPr>
          <w:p>
            <w:pPr>
              <w:spacing w:after="59" w:line="259" w:lineRule="auto"/>
              <w:jc w:val="center"/>
            </w:pPr>
            <w:r>
              <w:rPr>
                <w:rFonts w:ascii="Marianne" w:eastAsiaTheme="minorHAnsi" w:hAnsi="Marianne"/>
                <w:sz w:val="20"/>
                <w:lang w:eastAsia="en-US"/>
              </w:rPr>
              <w:object w:dxaOrig="1504" w:dyaOrig="981">
                <v:shape id="_x0000_i1028" type="#_x0000_t75" style="width:74.85pt;height:48.85pt" o:ole="">
                  <v:imagedata r:id="rId34" o:title=""/>
                </v:shape>
                <o:OLEObject Type="Embed" ProgID="Word.Document.12" ShapeID="_x0000_i1028" DrawAspect="Icon" ObjectID="_1849329726" r:id="rId35">
                  <o:FieldCodes>\s</o:FieldCodes>
                </o:OLEObject>
              </w:object>
            </w:r>
          </w:p>
          <w:p>
            <w:pPr>
              <w:spacing w:after="59" w:line="259" w:lineRule="auto"/>
              <w:jc w:val="center"/>
            </w:pPr>
            <w:r>
              <w:rPr>
                <w:i/>
                <w:iCs/>
                <w:sz w:val="20"/>
                <w:szCs w:val="20"/>
              </w:rPr>
              <w:t>Annexe 2 - Contractuels</w:t>
            </w:r>
          </w:p>
        </w:tc>
      </w:tr>
    </w:tbl>
    <w:p>
      <w:pPr>
        <w:jc w:val="both"/>
        <w:rPr>
          <w:sz w:val="24"/>
          <w:szCs w:val="24"/>
        </w:rPr>
      </w:pPr>
    </w:p>
    <w:p>
      <w:pPr>
        <w:jc w:val="both"/>
        <w:rPr>
          <w:sz w:val="22"/>
          <w:szCs w:val="24"/>
        </w:rPr>
      </w:pPr>
      <w:r>
        <w:rPr>
          <w:sz w:val="22"/>
          <w:szCs w:val="24"/>
        </w:rPr>
        <w:t>Modèle convention de rupture conventionnelle pour les ouvriers d’Etat (Annexe 3 de l’arrêté du 6 août 2026)</w:t>
      </w:r>
    </w:p>
    <w:tbl>
      <w:tblPr>
        <w:tblStyle w:val="TableGrid"/>
        <w:tblW w:w="9428" w:type="dxa"/>
        <w:tblInd w:w="4" w:type="dxa"/>
        <w:tblCellMar>
          <w:top w:w="9" w:type="dxa"/>
          <w:bottom w:w="81" w:type="dxa"/>
        </w:tblCellMar>
        <w:tblLook w:val="04A0" w:firstRow="1" w:lastRow="0" w:firstColumn="1" w:lastColumn="0" w:noHBand="0" w:noVBand="1"/>
      </w:tblPr>
      <w:tblGrid>
        <w:gridCol w:w="5902"/>
        <w:gridCol w:w="3526"/>
      </w:tblGrid>
      <w:tr>
        <w:trPr>
          <w:trHeight w:val="1121"/>
        </w:trPr>
        <w:tc>
          <w:tcPr>
            <w:tcW w:w="5901" w:type="dxa"/>
            <w:tcBorders>
              <w:top w:val="single" w:sz="4" w:space="0" w:color="000000"/>
              <w:left w:val="single" w:sz="4" w:space="0" w:color="000000"/>
              <w:bottom w:val="single" w:sz="4" w:space="0" w:color="000000"/>
              <w:right w:val="single" w:sz="4" w:space="0" w:color="000000"/>
            </w:tcBorders>
            <w:vAlign w:val="center"/>
          </w:tcPr>
          <w:p>
            <w:pPr>
              <w:spacing w:line="259" w:lineRule="auto"/>
              <w:ind w:left="112"/>
            </w:pPr>
            <w:proofErr w:type="gramStart"/>
            <w:r>
              <w:rPr>
                <w:rFonts w:ascii="Courier New" w:eastAsia="Courier New" w:hAnsi="Courier New" w:cs="Courier New"/>
              </w:rPr>
              <w:t xml:space="preserve">o </w:t>
            </w:r>
            <w:r>
              <w:t xml:space="preserve"> Annexe</w:t>
            </w:r>
            <w:proofErr w:type="gramEnd"/>
            <w:r>
              <w:t xml:space="preserve"> 3 </w:t>
            </w:r>
            <w:r>
              <w:rPr>
                <w:b/>
              </w:rPr>
              <w:t xml:space="preserve"> </w:t>
            </w:r>
          </w:p>
        </w:tc>
        <w:bookmarkStart w:id="39" w:name="_MON_1848839380"/>
        <w:bookmarkEnd w:id="39"/>
        <w:tc>
          <w:tcPr>
            <w:tcW w:w="3526" w:type="dxa"/>
            <w:tcBorders>
              <w:top w:val="single" w:sz="4" w:space="0" w:color="000000"/>
              <w:left w:val="single" w:sz="4" w:space="0" w:color="000000"/>
              <w:bottom w:val="single" w:sz="4" w:space="0" w:color="000000"/>
              <w:right w:val="single" w:sz="4" w:space="0" w:color="000000"/>
            </w:tcBorders>
            <w:vAlign w:val="bottom"/>
          </w:tcPr>
          <w:p>
            <w:pPr>
              <w:spacing w:line="259" w:lineRule="auto"/>
              <w:ind w:right="937"/>
              <w:jc w:val="center"/>
              <w:rPr>
                <w:i/>
                <w:iCs/>
                <w:sz w:val="20"/>
                <w:szCs w:val="20"/>
              </w:rPr>
            </w:pPr>
            <w:r>
              <w:rPr>
                <w:rFonts w:ascii="Marianne" w:eastAsiaTheme="minorHAnsi" w:hAnsi="Marianne"/>
                <w:i/>
                <w:iCs/>
                <w:sz w:val="20"/>
                <w:szCs w:val="20"/>
                <w:lang w:eastAsia="en-US"/>
              </w:rPr>
              <w:object w:dxaOrig="1504" w:dyaOrig="981">
                <v:shape id="_x0000_i1029" type="#_x0000_t75" style="width:74.85pt;height:48.85pt" o:ole="">
                  <v:imagedata r:id="rId36" o:title=""/>
                </v:shape>
                <o:OLEObject Type="Embed" ProgID="Word.Document.12" ShapeID="_x0000_i1029" DrawAspect="Icon" ObjectID="_1849329727" r:id="rId37">
                  <o:FieldCodes>\s</o:FieldCodes>
                </o:OLEObject>
              </w:object>
            </w:r>
          </w:p>
          <w:p>
            <w:pPr>
              <w:spacing w:line="259" w:lineRule="auto"/>
              <w:ind w:right="937"/>
              <w:jc w:val="center"/>
            </w:pPr>
            <w:r>
              <w:rPr>
                <w:i/>
                <w:iCs/>
                <w:sz w:val="20"/>
                <w:szCs w:val="20"/>
              </w:rPr>
              <w:t>Annexe 3 – Ouvriers d’Etat</w:t>
            </w:r>
          </w:p>
        </w:tc>
      </w:tr>
    </w:tbl>
    <w:p>
      <w:pPr>
        <w:jc w:val="both"/>
        <w:rPr>
          <w:sz w:val="26"/>
          <w:szCs w:val="28"/>
        </w:rPr>
      </w:pPr>
    </w:p>
    <w:p>
      <w:pPr>
        <w:spacing w:after="120" w:line="100" w:lineRule="atLeast"/>
        <w:jc w:val="both"/>
        <w:rPr>
          <w:sz w:val="22"/>
          <w:szCs w:val="24"/>
        </w:rPr>
      </w:pPr>
      <w:r>
        <w:rPr>
          <w:sz w:val="22"/>
          <w:szCs w:val="24"/>
        </w:rPr>
        <w:t>Modèles arrêté radiation des cadres rupture conventionnelle :</w:t>
      </w:r>
    </w:p>
    <w:tbl>
      <w:tblPr>
        <w:tblStyle w:val="TableGrid"/>
        <w:tblW w:w="9428" w:type="dxa"/>
        <w:tblInd w:w="4" w:type="dxa"/>
        <w:tblCellMar>
          <w:top w:w="9" w:type="dxa"/>
          <w:bottom w:w="81" w:type="dxa"/>
        </w:tblCellMar>
        <w:tblLook w:val="04A0" w:firstRow="1" w:lastRow="0" w:firstColumn="1" w:lastColumn="0" w:noHBand="0" w:noVBand="1"/>
      </w:tblPr>
      <w:tblGrid>
        <w:gridCol w:w="5902"/>
        <w:gridCol w:w="3526"/>
      </w:tblGrid>
      <w:tr>
        <w:trPr>
          <w:trHeight w:val="1121"/>
        </w:trPr>
        <w:tc>
          <w:tcPr>
            <w:tcW w:w="5901" w:type="dxa"/>
            <w:tcBorders>
              <w:top w:val="single" w:sz="4" w:space="0" w:color="000000"/>
              <w:left w:val="single" w:sz="4" w:space="0" w:color="000000"/>
              <w:bottom w:val="single" w:sz="4" w:space="0" w:color="000000"/>
              <w:right w:val="single" w:sz="4" w:space="0" w:color="000000"/>
            </w:tcBorders>
            <w:vAlign w:val="center"/>
          </w:tcPr>
          <w:p>
            <w:pPr>
              <w:spacing w:line="259" w:lineRule="auto"/>
              <w:ind w:left="112"/>
            </w:pPr>
            <w:proofErr w:type="gramStart"/>
            <w:r>
              <w:rPr>
                <w:rFonts w:ascii="Courier New" w:eastAsia="Courier New" w:hAnsi="Courier New" w:cs="Courier New"/>
              </w:rPr>
              <w:t>o</w:t>
            </w:r>
            <w:proofErr w:type="gramEnd"/>
            <w:r>
              <w:t xml:space="preserve"> Arrêté BDA radiation des cadres (Titulaires)</w:t>
            </w:r>
            <w:r>
              <w:rPr>
                <w:b/>
              </w:rPr>
              <w:t xml:space="preserve"> </w:t>
            </w:r>
          </w:p>
        </w:tc>
        <w:bookmarkStart w:id="40" w:name="_MON_1661171656"/>
        <w:bookmarkEnd w:id="40"/>
        <w:tc>
          <w:tcPr>
            <w:tcW w:w="3526" w:type="dxa"/>
            <w:tcBorders>
              <w:top w:val="single" w:sz="4" w:space="0" w:color="000000"/>
              <w:left w:val="single" w:sz="4" w:space="0" w:color="000000"/>
              <w:bottom w:val="single" w:sz="4" w:space="0" w:color="000000"/>
              <w:right w:val="single" w:sz="4" w:space="0" w:color="000000"/>
            </w:tcBorders>
            <w:vAlign w:val="bottom"/>
          </w:tcPr>
          <w:p>
            <w:pPr>
              <w:spacing w:line="259" w:lineRule="auto"/>
              <w:jc w:val="center"/>
            </w:pPr>
            <w:r>
              <w:rPr>
                <w:rFonts w:ascii="Marianne" w:eastAsiaTheme="minorHAnsi" w:hAnsi="Marianne" w:cs="Arial"/>
                <w:b/>
                <w:sz w:val="20"/>
                <w:lang w:eastAsia="en-US"/>
              </w:rPr>
              <w:object w:dxaOrig="1531" w:dyaOrig="991">
                <v:shape id="_x0000_i1030" type="#_x0000_t75" style="width:76.65pt;height:49.55pt" o:ole="">
                  <v:imagedata r:id="rId38" o:title=""/>
                </v:shape>
                <o:OLEObject Type="Embed" ProgID="Word.Document.8" ShapeID="_x0000_i1030" DrawAspect="Icon" ObjectID="_1849329728" r:id="rId39">
                  <o:FieldCodes>\s</o:FieldCodes>
                </o:OLEObject>
              </w:object>
            </w:r>
          </w:p>
        </w:tc>
      </w:tr>
    </w:tbl>
    <w:p>
      <w:pPr>
        <w:spacing w:after="120" w:line="100" w:lineRule="atLeast"/>
        <w:jc w:val="both"/>
        <w:rPr>
          <w:sz w:val="24"/>
          <w:szCs w:val="24"/>
        </w:rPr>
      </w:pPr>
    </w:p>
    <w:p>
      <w:pPr>
        <w:spacing w:after="120" w:line="100" w:lineRule="atLeast"/>
        <w:jc w:val="both"/>
        <w:rPr>
          <w:sz w:val="22"/>
        </w:rPr>
      </w:pPr>
    </w:p>
    <w:p>
      <w:pPr>
        <w:spacing w:after="120" w:line="100" w:lineRule="atLeast"/>
        <w:jc w:val="both"/>
      </w:pPr>
    </w:p>
    <w:p>
      <w:pPr>
        <w:pStyle w:val="Style2"/>
        <w:ind w:left="567"/>
      </w:pPr>
      <w:bookmarkStart w:id="41" w:name="_Toc237958331"/>
      <w:r>
        <w:rPr>
          <w:noProof/>
        </w:rPr>
        <mc:AlternateContent>
          <mc:Choice Requires="wps">
            <w:drawing>
              <wp:anchor distT="0" distB="0" distL="114300" distR="114300" simplePos="0" relativeHeight="252080128" behindDoc="0" locked="0" layoutInCell="1" allowOverlap="1">
                <wp:simplePos x="0" y="0"/>
                <wp:positionH relativeFrom="column">
                  <wp:posOffset>-295275</wp:posOffset>
                </wp:positionH>
                <wp:positionV relativeFrom="paragraph">
                  <wp:posOffset>3810</wp:posOffset>
                </wp:positionV>
                <wp:extent cx="550684" cy="576000"/>
                <wp:effectExtent l="19050" t="0" r="1905" b="14605"/>
                <wp:wrapNone/>
                <wp:docPr id="19" name="Larm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9" o:spid="_x0000_s1026" alt="&quot;&quot;" style="position:absolute;margin-left:-23.25pt;margin-top:.3pt;width:43.35pt;height:45.35pt;rotation:180;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5.3 Impacts / Impacts en gestion / Impacts en paye / Impacts sur la carrière ou la rémunération, etc…</w:t>
      </w:r>
      <w:bookmarkEnd w:id="41"/>
    </w:p>
    <w:p>
      <w:pPr>
        <w:jc w:val="both"/>
      </w:pPr>
    </w:p>
    <w:p>
      <w:pPr>
        <w:spacing w:after="204"/>
        <w:ind w:left="-3" w:right="52"/>
        <w:jc w:val="both"/>
        <w:rPr>
          <w:sz w:val="22"/>
          <w:szCs w:val="24"/>
        </w:rPr>
      </w:pPr>
      <w:r>
        <w:rPr>
          <w:sz w:val="22"/>
          <w:szCs w:val="24"/>
        </w:rPr>
        <w:t xml:space="preserve">La procédure de mise en paiement de l’ISRC, une fois le délai de rétractation dépassé par les deux parties (agent et administration), nécessite que le gestionnaire demande l’arrêt de la paie dans le fichier GEST. </w:t>
      </w:r>
    </w:p>
    <w:p>
      <w:pPr>
        <w:spacing w:after="201"/>
        <w:ind w:left="-3" w:right="52"/>
        <w:jc w:val="both"/>
        <w:rPr>
          <w:sz w:val="22"/>
          <w:szCs w:val="24"/>
        </w:rPr>
      </w:pPr>
      <w:r>
        <w:rPr>
          <w:sz w:val="22"/>
          <w:szCs w:val="24"/>
        </w:rPr>
        <w:t xml:space="preserve">Cet arrêt se réalise avec le motif </w:t>
      </w:r>
      <w:r>
        <w:rPr>
          <w:i/>
          <w:sz w:val="22"/>
          <w:szCs w:val="24"/>
        </w:rPr>
        <w:t>FW-Rupture conventionnelle</w:t>
      </w:r>
      <w:r>
        <w:rPr>
          <w:sz w:val="22"/>
          <w:szCs w:val="24"/>
        </w:rPr>
        <w:t xml:space="preserve"> dans la zone </w:t>
      </w:r>
      <w:r>
        <w:rPr>
          <w:i/>
          <w:sz w:val="22"/>
          <w:szCs w:val="24"/>
        </w:rPr>
        <w:t>motif de fin</w:t>
      </w:r>
      <w:r>
        <w:rPr>
          <w:sz w:val="22"/>
          <w:szCs w:val="24"/>
        </w:rPr>
        <w:t xml:space="preserve"> du mouvement 02. La date d’interruption du versement de la rémunération intervient au lendemain de la date de cessation définitive de fonctions ou de la date de fin de contrat ou de la date de fin d’engagement (premier jour non rémunéré), avec un régime de rémunération (</w:t>
      </w:r>
      <w:r>
        <w:rPr>
          <w:i/>
          <w:sz w:val="22"/>
          <w:szCs w:val="24"/>
        </w:rPr>
        <w:t>REM 90</w:t>
      </w:r>
      <w:r>
        <w:rPr>
          <w:sz w:val="22"/>
          <w:szCs w:val="24"/>
        </w:rPr>
        <w:t xml:space="preserve">). La mise en paiement de l’ISRC ne peut avoir lieu que si la paie de l’agent est définitivement arrêtée. </w:t>
      </w:r>
    </w:p>
    <w:p>
      <w:pPr>
        <w:spacing w:after="207"/>
        <w:ind w:left="-3" w:right="52"/>
        <w:jc w:val="both"/>
        <w:rPr>
          <w:sz w:val="22"/>
          <w:szCs w:val="24"/>
        </w:rPr>
      </w:pPr>
      <w:r>
        <w:rPr>
          <w:sz w:val="22"/>
          <w:szCs w:val="24"/>
        </w:rPr>
        <w:t xml:space="preserve">Pour les fonctionnaires un arrêté de radiation des cadres devra être établi.  </w:t>
      </w:r>
    </w:p>
    <w:p>
      <w:pPr>
        <w:spacing w:after="199"/>
        <w:ind w:left="-3" w:right="52"/>
        <w:jc w:val="both"/>
        <w:rPr>
          <w:sz w:val="22"/>
          <w:szCs w:val="24"/>
        </w:rPr>
      </w:pPr>
      <w:r>
        <w:rPr>
          <w:sz w:val="22"/>
          <w:szCs w:val="24"/>
        </w:rPr>
        <w:t xml:space="preserve">Un arrêté de radiation des cadres portant visa de la convention devra être transmis au Service des Retraites de l’Etat. </w:t>
      </w:r>
    </w:p>
    <w:p>
      <w:pPr>
        <w:spacing w:after="241"/>
        <w:ind w:left="-3" w:right="52"/>
        <w:jc w:val="both"/>
        <w:rPr>
          <w:sz w:val="22"/>
          <w:szCs w:val="24"/>
        </w:rPr>
      </w:pPr>
      <w:r>
        <w:rPr>
          <w:sz w:val="22"/>
          <w:szCs w:val="24"/>
        </w:rPr>
        <w:t xml:space="preserve">Pièces-justificatives à transmettre au comptable : </w:t>
      </w:r>
    </w:p>
    <w:p>
      <w:pPr>
        <w:spacing w:after="241"/>
        <w:ind w:left="-3" w:right="52"/>
        <w:jc w:val="both"/>
        <w:rPr>
          <w:sz w:val="24"/>
          <w:szCs w:val="28"/>
        </w:rPr>
      </w:pPr>
      <w:r>
        <w:rPr>
          <w:sz w:val="22"/>
          <w:szCs w:val="24"/>
        </w:rPr>
        <w:t>Les pièces transmises au comptable assignataire sont celles qui sont jointes à l’appui des données relatives au versement de l’ISRC via le fichier GEST.</w:t>
      </w:r>
    </w:p>
    <w:tbl>
      <w:tblPr>
        <w:tblStyle w:val="TableGrid"/>
        <w:tblW w:w="9426" w:type="dxa"/>
        <w:tblInd w:w="5" w:type="dxa"/>
        <w:tblCellMar>
          <w:left w:w="110" w:type="dxa"/>
          <w:bottom w:w="81" w:type="dxa"/>
          <w:right w:w="51" w:type="dxa"/>
        </w:tblCellMar>
        <w:tblLook w:val="04A0" w:firstRow="1" w:lastRow="0" w:firstColumn="1" w:lastColumn="0" w:noHBand="0" w:noVBand="1"/>
      </w:tblPr>
      <w:tblGrid>
        <w:gridCol w:w="3109"/>
        <w:gridCol w:w="2977"/>
        <w:gridCol w:w="3340"/>
      </w:tblGrid>
      <w:tr>
        <w:trPr>
          <w:trHeight w:val="1107"/>
        </w:trPr>
        <w:tc>
          <w:tcPr>
            <w:tcW w:w="3109" w:type="dxa"/>
            <w:tcBorders>
              <w:top w:val="single" w:sz="4" w:space="0" w:color="000000"/>
              <w:left w:val="single" w:sz="4" w:space="0" w:color="000000"/>
              <w:bottom w:val="single" w:sz="4" w:space="0" w:color="000000"/>
              <w:right w:val="nil"/>
            </w:tcBorders>
            <w:vAlign w:val="center"/>
          </w:tcPr>
          <w:p>
            <w:pPr>
              <w:spacing w:line="259" w:lineRule="auto"/>
            </w:pPr>
            <w:r>
              <w:t>Le gestionnaire devra ainsi joindre un état liquidatif pour le versement de l’ISRC :</w:t>
            </w:r>
            <w:r>
              <w:rPr>
                <w:rFonts w:ascii="Courier New" w:eastAsia="Courier New" w:hAnsi="Courier New" w:cs="Courier New"/>
              </w:rPr>
              <w:t>o</w:t>
            </w:r>
            <w:r>
              <w:t xml:space="preserve"> </w:t>
            </w:r>
          </w:p>
        </w:tc>
        <w:tc>
          <w:tcPr>
            <w:tcW w:w="2977" w:type="dxa"/>
            <w:tcBorders>
              <w:top w:val="single" w:sz="4" w:space="0" w:color="000000"/>
              <w:left w:val="nil"/>
              <w:bottom w:val="single" w:sz="4" w:space="0" w:color="000000"/>
              <w:right w:val="single" w:sz="4" w:space="0" w:color="000000"/>
            </w:tcBorders>
            <w:vAlign w:val="center"/>
          </w:tcPr>
          <w:p>
            <w:pPr>
              <w:spacing w:line="259" w:lineRule="auto"/>
              <w:ind w:left="5"/>
            </w:pPr>
            <w:r>
              <w:t xml:space="preserve">Modèle état liquidatif ISRC </w:t>
            </w:r>
            <w:r>
              <w:rPr>
                <w:b/>
              </w:rPr>
              <w:t xml:space="preserve"> </w:t>
            </w:r>
          </w:p>
        </w:tc>
        <w:bookmarkStart w:id="42" w:name="_MON_1658747186"/>
        <w:bookmarkEnd w:id="42"/>
        <w:tc>
          <w:tcPr>
            <w:tcW w:w="3340" w:type="dxa"/>
            <w:tcBorders>
              <w:top w:val="single" w:sz="4" w:space="0" w:color="000000"/>
              <w:left w:val="single" w:sz="4" w:space="0" w:color="000000"/>
              <w:bottom w:val="single" w:sz="4" w:space="0" w:color="000000"/>
              <w:right w:val="single" w:sz="4" w:space="0" w:color="000000"/>
            </w:tcBorders>
            <w:vAlign w:val="bottom"/>
          </w:tcPr>
          <w:p>
            <w:pPr>
              <w:spacing w:line="259" w:lineRule="auto"/>
              <w:jc w:val="center"/>
            </w:pPr>
            <w:r>
              <w:rPr>
                <w:rFonts w:ascii="Marianne" w:eastAsiaTheme="minorHAnsi" w:hAnsi="Marianne" w:cs="Arial"/>
                <w:b/>
                <w:sz w:val="20"/>
                <w:lang w:eastAsia="en-US"/>
              </w:rPr>
              <w:object w:dxaOrig="1632" w:dyaOrig="1056">
                <v:shape id="_x0000_i1031" type="#_x0000_t75" style="width:81.6pt;height:52.05pt" o:ole="">
                  <v:imagedata r:id="rId40" o:title=""/>
                </v:shape>
                <o:OLEObject Type="Embed" ProgID="Excel.Sheet.8" ShapeID="_x0000_i1031" DrawAspect="Icon" ObjectID="_1849329729" r:id="rId41"/>
              </w:object>
            </w:r>
          </w:p>
        </w:tc>
      </w:tr>
    </w:tbl>
    <w:p>
      <w:pPr>
        <w:spacing w:after="231"/>
        <w:ind w:left="-3" w:right="52"/>
        <w:rPr>
          <w:rFonts w:ascii="Courier New" w:eastAsia="Courier New" w:hAnsi="Courier New" w:cs="Courier New"/>
          <w:sz w:val="22"/>
          <w:szCs w:val="24"/>
        </w:rPr>
      </w:pPr>
    </w:p>
    <w:p>
      <w:pPr>
        <w:spacing w:after="231"/>
        <w:ind w:left="-3" w:right="52"/>
        <w:rPr>
          <w:sz w:val="22"/>
          <w:szCs w:val="24"/>
        </w:rPr>
      </w:pPr>
      <w:proofErr w:type="gramStart"/>
      <w:r>
        <w:rPr>
          <w:rFonts w:ascii="Courier New" w:eastAsia="Courier New" w:hAnsi="Courier New" w:cs="Courier New"/>
          <w:sz w:val="22"/>
          <w:szCs w:val="24"/>
        </w:rPr>
        <w:t>o</w:t>
      </w:r>
      <w:proofErr w:type="gramEnd"/>
      <w:r>
        <w:rPr>
          <w:sz w:val="22"/>
          <w:szCs w:val="24"/>
        </w:rPr>
        <w:t xml:space="preserve"> une copie de la convention de rupture conventionnelle signée par l’agent et l’administration </w:t>
      </w:r>
    </w:p>
    <w:p>
      <w:pPr>
        <w:spacing w:after="231"/>
        <w:ind w:left="-3" w:right="52"/>
        <w:rPr>
          <w:sz w:val="22"/>
          <w:szCs w:val="24"/>
        </w:rPr>
      </w:pPr>
      <w:proofErr w:type="gramStart"/>
      <w:r>
        <w:rPr>
          <w:rFonts w:ascii="Courier New" w:eastAsia="Courier New" w:hAnsi="Courier New" w:cs="Courier New"/>
          <w:sz w:val="22"/>
          <w:szCs w:val="24"/>
        </w:rPr>
        <w:t>o</w:t>
      </w:r>
      <w:proofErr w:type="gramEnd"/>
      <w:r>
        <w:rPr>
          <w:sz w:val="22"/>
          <w:szCs w:val="24"/>
        </w:rPr>
        <w:t xml:space="preserve"> un certificat administratif indiquant si l’agent est ou non en droit de bénéficier d’une pension de retraite à d’un régime légalement obligatoire au sens de l’article 80 </w:t>
      </w:r>
      <w:r>
        <w:rPr>
          <w:i/>
          <w:sz w:val="22"/>
          <w:szCs w:val="24"/>
        </w:rPr>
        <w:t>duodecies, 6°</w:t>
      </w:r>
      <w:r>
        <w:rPr>
          <w:sz w:val="22"/>
          <w:szCs w:val="24"/>
        </w:rPr>
        <w:t xml:space="preserve"> du Code général des impôts. </w:t>
      </w:r>
    </w:p>
    <w:p>
      <w:pPr>
        <w:spacing w:after="195"/>
        <w:ind w:left="-3" w:right="52"/>
        <w:rPr>
          <w:sz w:val="22"/>
          <w:szCs w:val="24"/>
        </w:rPr>
      </w:pPr>
      <w:r>
        <w:rPr>
          <w:sz w:val="22"/>
          <w:szCs w:val="24"/>
        </w:rPr>
        <w:t xml:space="preserve">Nota Bene : Le certificat administratif n’est pas à produire lorsque l’information est portée sur l’état liquidatif. </w:t>
      </w:r>
    </w:p>
    <w:p>
      <w:pPr>
        <w:jc w:val="both"/>
      </w:pPr>
      <w:r>
        <w:rPr>
          <w:noProof/>
        </w:rPr>
        <mc:AlternateContent>
          <mc:Choice Requires="wps">
            <w:drawing>
              <wp:anchor distT="0" distB="0" distL="114300" distR="114300" simplePos="0" relativeHeight="252092416"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8"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6" alt="&quot;&quot;" style="position:absolute;margin-left:-1.95pt;margin-top:21.2pt;width:477.75pt;height:30pt;z-index:-2512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" fillcolor="#5770be" stroked="f" strokeweight="1pt"/>
            </w:pict>
          </mc:Fallback>
        </mc:AlternateContent>
      </w:r>
    </w:p>
    <w:p>
      <w:pPr>
        <w:pStyle w:val="Style3"/>
      </w:pPr>
      <w:bookmarkStart w:id="43" w:name="_Toc237958332"/>
      <w:r>
        <w:rPr>
          <w:b w:val="0"/>
          <w:bCs/>
        </w:rPr>
        <w:t>5.3.1. Modalités de liquidation</w:t>
      </w:r>
      <w:bookmarkEnd w:id="43"/>
    </w:p>
    <w:p>
      <w:pPr>
        <w:spacing w:after="120" w:line="100" w:lineRule="atLeast"/>
        <w:jc w:val="both"/>
        <w:rPr>
          <w:sz w:val="24"/>
          <w:szCs w:val="24"/>
        </w:rPr>
      </w:pPr>
    </w:p>
    <w:p>
      <w:pPr>
        <w:jc w:val="both"/>
      </w:pPr>
    </w:p>
    <w:p>
      <w:pPr>
        <w:jc w:val="both"/>
        <w:rPr>
          <w:sz w:val="22"/>
          <w:szCs w:val="24"/>
        </w:rPr>
      </w:pPr>
      <w:r>
        <w:rPr>
          <w:sz w:val="22"/>
          <w:szCs w:val="24"/>
        </w:rPr>
        <w:t>L’ISRC est liquidée suivant un ou plusieurs codes indemnités dédiés selon la situation de l’agent, avec le cas échéant des régularisations sur les cotisations CSG et CRDS.</w:t>
      </w:r>
    </w:p>
    <w:tbl>
      <w:tblPr>
        <w:tblStyle w:val="TableGrid"/>
        <w:tblW w:w="9366" w:type="dxa"/>
        <w:tblInd w:w="-163" w:type="dxa"/>
        <w:tblCellMar>
          <w:top w:w="47" w:type="dxa"/>
          <w:left w:w="130" w:type="dxa"/>
          <w:right w:w="68" w:type="dxa"/>
        </w:tblCellMar>
        <w:tblLook w:val="04A0" w:firstRow="1" w:lastRow="0" w:firstColumn="1" w:lastColumn="0" w:noHBand="0" w:noVBand="1"/>
      </w:tblPr>
      <w:tblGrid>
        <w:gridCol w:w="1861"/>
        <w:gridCol w:w="2981"/>
        <w:gridCol w:w="1273"/>
        <w:gridCol w:w="1416"/>
        <w:gridCol w:w="1825"/>
        <w:gridCol w:w="10"/>
      </w:tblGrid>
      <w:tr>
        <w:trPr>
          <w:trHeight w:val="1250"/>
        </w:trPr>
        <w:tc>
          <w:tcPr>
            <w:tcW w:w="9366" w:type="dxa"/>
            <w:gridSpan w:val="6"/>
            <w:tcBorders>
              <w:top w:val="single" w:sz="17" w:space="0" w:color="FF9900"/>
              <w:left w:val="single" w:sz="17" w:space="0" w:color="FF9900"/>
              <w:bottom w:val="single" w:sz="17" w:space="0" w:color="FF9900"/>
              <w:right w:val="single" w:sz="17" w:space="0" w:color="FF9900"/>
            </w:tcBorders>
          </w:tcPr>
          <w:p>
            <w:pPr>
              <w:spacing w:line="259" w:lineRule="auto"/>
            </w:pPr>
            <w:r>
              <w:rPr>
                <w:color w:val="FF0000"/>
              </w:rPr>
              <w:t xml:space="preserve">ATTENTION : </w:t>
            </w:r>
            <w:r>
              <w:t xml:space="preserve">Selon le cas et son montant, une ISRC peut être payée sur plusieurs tranches, chacune pour son montant respectif et son code afférent. Ainsi, par exemple, pour payer une ISRC de 100 000 € à un agent relevant de la situation « ISRC inférieure à 10 fois le PASS », il conviendra de payer 82 272 € sous le code PAY 0077, et 17 728 € sous le code 0758. </w:t>
            </w:r>
          </w:p>
        </w:tc>
      </w:tr>
      <w:tr>
        <w:tblPrEx>
          <w:tblCellMar>
            <w:top w:w="43" w:type="dxa"/>
            <w:left w:w="108" w:type="dxa"/>
            <w:right w:w="49" w:type="dxa"/>
          </w:tblCellMar>
        </w:tblPrEx>
        <w:trPr>
          <w:gridAfter w:val="1"/>
          <w:wAfter w:w="10" w:type="dxa"/>
          <w:trHeight w:val="590"/>
        </w:trPr>
        <w:tc>
          <w:tcPr>
            <w:tcW w:w="9356" w:type="dxa"/>
            <w:gridSpan w:val="5"/>
            <w:tcBorders>
              <w:top w:val="single" w:sz="17" w:space="0" w:color="000000"/>
              <w:left w:val="single" w:sz="17" w:space="0" w:color="000000"/>
              <w:bottom w:val="single" w:sz="17" w:space="0" w:color="000000"/>
              <w:right w:val="single" w:sz="17" w:space="0" w:color="000000"/>
            </w:tcBorders>
          </w:tcPr>
          <w:p>
            <w:pPr>
              <w:spacing w:line="259" w:lineRule="auto"/>
              <w:jc w:val="center"/>
            </w:pPr>
            <w:r>
              <w:rPr>
                <w:rFonts w:ascii="Calibri" w:eastAsia="Calibri" w:hAnsi="Calibri" w:cs="Calibri"/>
                <w:b/>
              </w:rPr>
              <w:t>L’agent n’a pas droit à une pension de retraite au sens de l’article 80 duodecies, 6° du Code général des impôts</w:t>
            </w:r>
            <w:r>
              <w:t xml:space="preserve"> </w:t>
            </w:r>
          </w:p>
        </w:tc>
      </w:tr>
      <w:tr>
        <w:tblPrEx>
          <w:tblCellMar>
            <w:top w:w="43" w:type="dxa"/>
            <w:left w:w="108" w:type="dxa"/>
            <w:right w:w="49" w:type="dxa"/>
          </w:tblCellMar>
        </w:tblPrEx>
        <w:trPr>
          <w:gridAfter w:val="1"/>
          <w:wAfter w:w="10" w:type="dxa"/>
          <w:trHeight w:val="555"/>
        </w:trPr>
        <w:tc>
          <w:tcPr>
            <w:tcW w:w="1861" w:type="dxa"/>
            <w:vMerge w:val="restart"/>
            <w:tcBorders>
              <w:top w:val="single" w:sz="17" w:space="0" w:color="000000"/>
              <w:left w:val="single" w:sz="17" w:space="0" w:color="000000"/>
              <w:bottom w:val="single" w:sz="17" w:space="0" w:color="000000"/>
              <w:right w:val="single" w:sz="2" w:space="0" w:color="000000"/>
            </w:tcBorders>
            <w:shd w:val="clear" w:color="auto" w:fill="DBE5F1"/>
            <w:vAlign w:val="center"/>
          </w:tcPr>
          <w:p>
            <w:pPr>
              <w:spacing w:line="259" w:lineRule="auto"/>
              <w:jc w:val="center"/>
            </w:pPr>
            <w:r>
              <w:rPr>
                <w:rFonts w:ascii="Calibri" w:eastAsia="Calibri" w:hAnsi="Calibri" w:cs="Calibri"/>
                <w:b/>
              </w:rPr>
              <w:t xml:space="preserve">ISRC inférieure à 10 fois le PASS </w:t>
            </w:r>
          </w:p>
        </w:tc>
        <w:tc>
          <w:tcPr>
            <w:tcW w:w="2981" w:type="dxa"/>
            <w:tcBorders>
              <w:top w:val="single" w:sz="17" w:space="0" w:color="000000"/>
              <w:left w:val="single" w:sz="2" w:space="0" w:color="000000"/>
              <w:bottom w:val="single" w:sz="2" w:space="0" w:color="000000"/>
              <w:right w:val="single" w:sz="2" w:space="0" w:color="000000"/>
            </w:tcBorders>
            <w:shd w:val="clear" w:color="auto" w:fill="B8CCE4"/>
          </w:tcPr>
          <w:p>
            <w:pPr>
              <w:spacing w:line="259" w:lineRule="auto"/>
              <w:ind w:right="59"/>
              <w:jc w:val="center"/>
            </w:pPr>
            <w:r>
              <w:rPr>
                <w:rFonts w:ascii="Calibri" w:eastAsia="Calibri" w:hAnsi="Calibri" w:cs="Calibri"/>
                <w:b/>
              </w:rPr>
              <w:t xml:space="preserve">Tranches de l’ISRC </w:t>
            </w:r>
          </w:p>
        </w:tc>
        <w:tc>
          <w:tcPr>
            <w:tcW w:w="1273" w:type="dxa"/>
            <w:tcBorders>
              <w:top w:val="single" w:sz="17" w:space="0" w:color="000000"/>
              <w:left w:val="single" w:sz="2" w:space="0" w:color="000000"/>
              <w:bottom w:val="single" w:sz="2" w:space="0" w:color="000000"/>
              <w:right w:val="single" w:sz="2" w:space="0" w:color="000000"/>
            </w:tcBorders>
            <w:shd w:val="clear" w:color="auto" w:fill="B8CCE4"/>
          </w:tcPr>
          <w:p>
            <w:pPr>
              <w:spacing w:line="259" w:lineRule="auto"/>
              <w:jc w:val="center"/>
            </w:pPr>
            <w:r>
              <w:rPr>
                <w:rFonts w:ascii="Calibri" w:eastAsia="Calibri" w:hAnsi="Calibri" w:cs="Calibri"/>
                <w:b/>
              </w:rPr>
              <w:t xml:space="preserve">Code PAY à utiliser </w:t>
            </w:r>
          </w:p>
        </w:tc>
        <w:tc>
          <w:tcPr>
            <w:tcW w:w="1416" w:type="dxa"/>
            <w:tcBorders>
              <w:top w:val="single" w:sz="17" w:space="0" w:color="000000"/>
              <w:left w:val="single" w:sz="2" w:space="0" w:color="000000"/>
              <w:bottom w:val="single" w:sz="2" w:space="0" w:color="000000"/>
              <w:right w:val="single" w:sz="2" w:space="0" w:color="000000"/>
            </w:tcBorders>
            <w:shd w:val="clear" w:color="auto" w:fill="B8CCE4"/>
          </w:tcPr>
          <w:p>
            <w:pPr>
              <w:spacing w:line="259" w:lineRule="auto"/>
            </w:pPr>
            <w:r>
              <w:rPr>
                <w:rFonts w:ascii="Calibri" w:eastAsia="Calibri" w:hAnsi="Calibri" w:cs="Calibri"/>
                <w:b/>
              </w:rPr>
              <w:t xml:space="preserve">Régime fiscal </w:t>
            </w:r>
          </w:p>
        </w:tc>
        <w:tc>
          <w:tcPr>
            <w:tcW w:w="1825" w:type="dxa"/>
            <w:tcBorders>
              <w:top w:val="single" w:sz="17" w:space="0" w:color="000000"/>
              <w:left w:val="single" w:sz="2" w:space="0" w:color="000000"/>
              <w:bottom w:val="single" w:sz="2" w:space="0" w:color="000000"/>
              <w:right w:val="single" w:sz="17" w:space="0" w:color="000000"/>
            </w:tcBorders>
            <w:shd w:val="clear" w:color="auto" w:fill="B8CCE4"/>
          </w:tcPr>
          <w:p>
            <w:pPr>
              <w:spacing w:line="259" w:lineRule="auto"/>
              <w:ind w:left="43"/>
            </w:pPr>
            <w:r>
              <w:rPr>
                <w:rFonts w:ascii="Calibri" w:eastAsia="Calibri" w:hAnsi="Calibri" w:cs="Calibri"/>
                <w:b/>
              </w:rPr>
              <w:t xml:space="preserve">Régime social </w:t>
            </w:r>
          </w:p>
        </w:tc>
      </w:tr>
      <w:tr>
        <w:tblPrEx>
          <w:tblCellMar>
            <w:top w:w="43" w:type="dxa"/>
            <w:left w:w="108" w:type="dxa"/>
            <w:right w:w="49" w:type="dxa"/>
          </w:tblCellMar>
        </w:tblPrEx>
        <w:trPr>
          <w:gridAfter w:val="1"/>
          <w:wAfter w:w="10" w:type="dxa"/>
          <w:trHeight w:val="544"/>
        </w:trPr>
        <w:tc>
          <w:tcPr>
            <w:tcW w:w="1861" w:type="dxa"/>
            <w:vMerge/>
            <w:tcBorders>
              <w:top w:val="nil"/>
              <w:left w:val="single" w:sz="17" w:space="0" w:color="000000"/>
              <w:bottom w:val="nil"/>
              <w:right w:val="single" w:sz="2" w:space="0" w:color="000000"/>
            </w:tcBorders>
          </w:tcPr>
          <w:p>
            <w:pPr>
              <w:spacing w:after="160" w:line="259" w:lineRule="auto"/>
            </w:pPr>
          </w:p>
        </w:tc>
        <w:tc>
          <w:tcPr>
            <w:tcW w:w="2981" w:type="dxa"/>
            <w:tcBorders>
              <w:top w:val="single" w:sz="2" w:space="0" w:color="000000"/>
              <w:left w:val="single" w:sz="2" w:space="0" w:color="000000"/>
              <w:bottom w:val="single" w:sz="2" w:space="0" w:color="000000"/>
              <w:right w:val="single" w:sz="2" w:space="0" w:color="000000"/>
            </w:tcBorders>
          </w:tcPr>
          <w:p>
            <w:pPr>
              <w:spacing w:line="259" w:lineRule="auto"/>
            </w:pPr>
            <w:r>
              <w:rPr>
                <w:rFonts w:ascii="Calibri" w:eastAsia="Calibri" w:hAnsi="Calibri" w:cs="Calibri"/>
              </w:rPr>
              <w:t>Tranche de l’ISRC dont le montant est inférieur à 2 PASS</w:t>
            </w:r>
            <w: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pPr>
              <w:spacing w:line="259" w:lineRule="auto"/>
              <w:ind w:right="60"/>
              <w:jc w:val="center"/>
            </w:pPr>
            <w:r>
              <w:rPr>
                <w:rFonts w:ascii="Calibri" w:eastAsia="Calibri" w:hAnsi="Calibri" w:cs="Calibri"/>
                <w:sz w:val="24"/>
              </w:rPr>
              <w:t xml:space="preserve">0077 </w:t>
            </w:r>
          </w:p>
        </w:tc>
        <w:tc>
          <w:tcPr>
            <w:tcW w:w="1416" w:type="dxa"/>
            <w:tcBorders>
              <w:top w:val="single" w:sz="2" w:space="0" w:color="000000"/>
              <w:left w:val="single" w:sz="2" w:space="0" w:color="000000"/>
              <w:bottom w:val="single" w:sz="2" w:space="0" w:color="000000"/>
              <w:right w:val="single" w:sz="2" w:space="0" w:color="000000"/>
            </w:tcBorders>
            <w:vAlign w:val="center"/>
          </w:tcPr>
          <w:p>
            <w:pPr>
              <w:spacing w:line="259" w:lineRule="auto"/>
              <w:ind w:left="7"/>
            </w:pPr>
            <w:proofErr w:type="gramStart"/>
            <w:r>
              <w:rPr>
                <w:rFonts w:ascii="Calibri" w:eastAsia="Calibri" w:hAnsi="Calibri" w:cs="Calibri"/>
                <w:color w:val="0000FF"/>
                <w:sz w:val="24"/>
              </w:rPr>
              <w:t>exonération</w:t>
            </w:r>
            <w:proofErr w:type="gramEnd"/>
            <w:r>
              <w:rPr>
                <w:rFonts w:ascii="Calibri" w:eastAsia="Calibri" w:hAnsi="Calibri" w:cs="Calibri"/>
                <w:sz w:val="24"/>
              </w:rPr>
              <w:t xml:space="preserve"> </w:t>
            </w:r>
          </w:p>
        </w:tc>
        <w:tc>
          <w:tcPr>
            <w:tcW w:w="1825" w:type="dxa"/>
            <w:tcBorders>
              <w:top w:val="single" w:sz="2" w:space="0" w:color="000000"/>
              <w:left w:val="single" w:sz="2" w:space="0" w:color="000000"/>
              <w:bottom w:val="single" w:sz="2" w:space="0" w:color="000000"/>
              <w:right w:val="single" w:sz="17" w:space="0" w:color="000000"/>
            </w:tcBorders>
            <w:vAlign w:val="center"/>
          </w:tcPr>
          <w:p>
            <w:pPr>
              <w:spacing w:line="259" w:lineRule="auto"/>
              <w:ind w:left="77"/>
            </w:pPr>
            <w:proofErr w:type="gramStart"/>
            <w:r>
              <w:rPr>
                <w:rFonts w:ascii="Calibri" w:eastAsia="Calibri" w:hAnsi="Calibri" w:cs="Calibri"/>
                <w:color w:val="0000FF"/>
                <w:sz w:val="24"/>
              </w:rPr>
              <w:t>exonération</w:t>
            </w:r>
            <w:proofErr w:type="gramEnd"/>
            <w:r>
              <w:rPr>
                <w:rFonts w:ascii="Calibri" w:eastAsia="Calibri" w:hAnsi="Calibri" w:cs="Calibri"/>
                <w:sz w:val="24"/>
              </w:rPr>
              <w:t xml:space="preserve"> </w:t>
            </w:r>
          </w:p>
        </w:tc>
      </w:tr>
      <w:tr>
        <w:tblPrEx>
          <w:tblCellMar>
            <w:top w:w="43" w:type="dxa"/>
            <w:left w:w="108" w:type="dxa"/>
            <w:right w:w="49" w:type="dxa"/>
          </w:tblCellMar>
        </w:tblPrEx>
        <w:trPr>
          <w:gridAfter w:val="1"/>
          <w:wAfter w:w="10" w:type="dxa"/>
          <w:trHeight w:val="811"/>
        </w:trPr>
        <w:tc>
          <w:tcPr>
            <w:tcW w:w="1861" w:type="dxa"/>
            <w:vMerge/>
            <w:tcBorders>
              <w:top w:val="nil"/>
              <w:left w:val="single" w:sz="17" w:space="0" w:color="000000"/>
              <w:bottom w:val="nil"/>
              <w:right w:val="single" w:sz="2" w:space="0" w:color="000000"/>
            </w:tcBorders>
          </w:tcPr>
          <w:p>
            <w:pPr>
              <w:spacing w:after="160" w:line="259" w:lineRule="auto"/>
            </w:pPr>
          </w:p>
        </w:tc>
        <w:tc>
          <w:tcPr>
            <w:tcW w:w="2981" w:type="dxa"/>
            <w:tcBorders>
              <w:top w:val="single" w:sz="2" w:space="0" w:color="000000"/>
              <w:left w:val="single" w:sz="2" w:space="0" w:color="000000"/>
              <w:bottom w:val="single" w:sz="2" w:space="0" w:color="000000"/>
              <w:right w:val="single" w:sz="2" w:space="0" w:color="000000"/>
            </w:tcBorders>
          </w:tcPr>
          <w:p>
            <w:pPr>
              <w:spacing w:line="259" w:lineRule="auto"/>
              <w:ind w:right="58"/>
            </w:pPr>
            <w:r>
              <w:rPr>
                <w:rFonts w:ascii="Calibri" w:eastAsia="Calibri" w:hAnsi="Calibri" w:cs="Calibri"/>
              </w:rPr>
              <w:t>Tranche de l’ISRC dont le montant est compris entre 2 PASS et 6 PASS</w:t>
            </w:r>
            <w: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pPr>
              <w:spacing w:line="259" w:lineRule="auto"/>
              <w:ind w:right="60"/>
              <w:jc w:val="center"/>
            </w:pPr>
            <w:r>
              <w:rPr>
                <w:rFonts w:ascii="Calibri" w:eastAsia="Calibri" w:hAnsi="Calibri" w:cs="Calibri"/>
                <w:sz w:val="24"/>
              </w:rPr>
              <w:t xml:space="preserve">0758 </w:t>
            </w:r>
          </w:p>
        </w:tc>
        <w:tc>
          <w:tcPr>
            <w:tcW w:w="1416" w:type="dxa"/>
            <w:tcBorders>
              <w:top w:val="single" w:sz="2" w:space="0" w:color="000000"/>
              <w:left w:val="single" w:sz="2" w:space="0" w:color="000000"/>
              <w:bottom w:val="single" w:sz="2" w:space="0" w:color="000000"/>
              <w:right w:val="single" w:sz="2" w:space="0" w:color="000000"/>
            </w:tcBorders>
            <w:vAlign w:val="center"/>
          </w:tcPr>
          <w:p>
            <w:pPr>
              <w:spacing w:line="259" w:lineRule="auto"/>
              <w:ind w:left="7"/>
            </w:pPr>
            <w:proofErr w:type="gramStart"/>
            <w:r>
              <w:rPr>
                <w:rFonts w:ascii="Calibri" w:eastAsia="Calibri" w:hAnsi="Calibri" w:cs="Calibri"/>
                <w:color w:val="0000FF"/>
                <w:sz w:val="24"/>
              </w:rPr>
              <w:t>exonération</w:t>
            </w:r>
            <w:proofErr w:type="gramEnd"/>
            <w:r>
              <w:rPr>
                <w:rFonts w:ascii="Calibri" w:eastAsia="Calibri" w:hAnsi="Calibri" w:cs="Calibri"/>
                <w:sz w:val="24"/>
              </w:rPr>
              <w:t xml:space="preserve"> </w:t>
            </w:r>
          </w:p>
        </w:tc>
        <w:tc>
          <w:tcPr>
            <w:tcW w:w="1825" w:type="dxa"/>
            <w:tcBorders>
              <w:top w:val="single" w:sz="2" w:space="0" w:color="000000"/>
              <w:left w:val="single" w:sz="2" w:space="0" w:color="000000"/>
              <w:bottom w:val="single" w:sz="2" w:space="0" w:color="000000"/>
              <w:right w:val="single" w:sz="17" w:space="0" w:color="000000"/>
            </w:tcBorders>
            <w:vAlign w:val="center"/>
          </w:tcPr>
          <w:p>
            <w:pPr>
              <w:spacing w:line="259" w:lineRule="auto"/>
              <w:ind w:right="52"/>
              <w:jc w:val="center"/>
            </w:pPr>
            <w:r>
              <w:rPr>
                <w:rFonts w:ascii="Calibri" w:eastAsia="Calibri" w:hAnsi="Calibri" w:cs="Calibri"/>
                <w:sz w:val="24"/>
              </w:rPr>
              <w:t xml:space="preserve">CSG / CRDS </w:t>
            </w:r>
          </w:p>
        </w:tc>
      </w:tr>
      <w:tr>
        <w:tblPrEx>
          <w:tblCellMar>
            <w:top w:w="43" w:type="dxa"/>
            <w:left w:w="108" w:type="dxa"/>
            <w:right w:w="49" w:type="dxa"/>
          </w:tblCellMar>
        </w:tblPrEx>
        <w:trPr>
          <w:gridAfter w:val="1"/>
          <w:wAfter w:w="10" w:type="dxa"/>
          <w:trHeight w:val="831"/>
        </w:trPr>
        <w:tc>
          <w:tcPr>
            <w:tcW w:w="1861" w:type="dxa"/>
            <w:vMerge/>
            <w:tcBorders>
              <w:top w:val="nil"/>
              <w:left w:val="single" w:sz="17" w:space="0" w:color="000000"/>
              <w:bottom w:val="single" w:sz="17" w:space="0" w:color="000000"/>
              <w:right w:val="single" w:sz="2" w:space="0" w:color="000000"/>
            </w:tcBorders>
          </w:tcPr>
          <w:p>
            <w:pPr>
              <w:spacing w:after="160" w:line="259" w:lineRule="auto"/>
            </w:pPr>
          </w:p>
        </w:tc>
        <w:tc>
          <w:tcPr>
            <w:tcW w:w="2981" w:type="dxa"/>
            <w:tcBorders>
              <w:top w:val="single" w:sz="2" w:space="0" w:color="000000"/>
              <w:left w:val="single" w:sz="2" w:space="0" w:color="000000"/>
              <w:bottom w:val="single" w:sz="17" w:space="0" w:color="000000"/>
              <w:right w:val="single" w:sz="2" w:space="0" w:color="000000"/>
            </w:tcBorders>
          </w:tcPr>
          <w:p>
            <w:pPr>
              <w:spacing w:line="259" w:lineRule="auto"/>
              <w:ind w:right="58"/>
            </w:pPr>
            <w:r>
              <w:rPr>
                <w:rFonts w:ascii="Calibri" w:eastAsia="Calibri" w:hAnsi="Calibri" w:cs="Calibri"/>
              </w:rPr>
              <w:t>Tranche de l’ISRC dont le montant est compris entre 6 PASS et 10 PASS</w:t>
            </w:r>
            <w:r>
              <w:t xml:space="preserve"> </w:t>
            </w:r>
          </w:p>
        </w:tc>
        <w:tc>
          <w:tcPr>
            <w:tcW w:w="1273" w:type="dxa"/>
            <w:tcBorders>
              <w:top w:val="single" w:sz="2" w:space="0" w:color="000000"/>
              <w:left w:val="single" w:sz="2" w:space="0" w:color="000000"/>
              <w:bottom w:val="single" w:sz="17" w:space="0" w:color="000000"/>
              <w:right w:val="single" w:sz="2" w:space="0" w:color="000000"/>
            </w:tcBorders>
            <w:vAlign w:val="center"/>
          </w:tcPr>
          <w:p>
            <w:pPr>
              <w:spacing w:line="259" w:lineRule="auto"/>
              <w:ind w:right="60"/>
              <w:jc w:val="center"/>
            </w:pPr>
            <w:r>
              <w:rPr>
                <w:rFonts w:ascii="Calibri" w:eastAsia="Calibri" w:hAnsi="Calibri" w:cs="Calibri"/>
                <w:sz w:val="24"/>
              </w:rPr>
              <w:t xml:space="preserve">2284 </w:t>
            </w:r>
          </w:p>
        </w:tc>
        <w:tc>
          <w:tcPr>
            <w:tcW w:w="1416" w:type="dxa"/>
            <w:tcBorders>
              <w:top w:val="single" w:sz="2" w:space="0" w:color="000000"/>
              <w:left w:val="single" w:sz="2" w:space="0" w:color="000000"/>
              <w:bottom w:val="single" w:sz="17" w:space="0" w:color="000000"/>
              <w:right w:val="single" w:sz="2" w:space="0" w:color="000000"/>
            </w:tcBorders>
            <w:vAlign w:val="center"/>
          </w:tcPr>
          <w:p>
            <w:pPr>
              <w:spacing w:line="259" w:lineRule="auto"/>
              <w:jc w:val="center"/>
            </w:pPr>
            <w:r>
              <w:rPr>
                <w:rFonts w:ascii="Calibri" w:eastAsia="Calibri" w:hAnsi="Calibri" w:cs="Calibri"/>
                <w:sz w:val="24"/>
              </w:rPr>
              <w:t xml:space="preserve">Imposable à l’IRPP </w:t>
            </w:r>
          </w:p>
        </w:tc>
        <w:tc>
          <w:tcPr>
            <w:tcW w:w="1825" w:type="dxa"/>
            <w:tcBorders>
              <w:top w:val="single" w:sz="2" w:space="0" w:color="000000"/>
              <w:left w:val="single" w:sz="2" w:space="0" w:color="000000"/>
              <w:bottom w:val="single" w:sz="17" w:space="0" w:color="000000"/>
              <w:right w:val="single" w:sz="17" w:space="0" w:color="000000"/>
            </w:tcBorders>
            <w:vAlign w:val="center"/>
          </w:tcPr>
          <w:p>
            <w:pPr>
              <w:spacing w:line="259" w:lineRule="auto"/>
              <w:ind w:right="52"/>
              <w:jc w:val="center"/>
            </w:pPr>
            <w:r>
              <w:rPr>
                <w:rFonts w:ascii="Calibri" w:eastAsia="Calibri" w:hAnsi="Calibri" w:cs="Calibri"/>
                <w:sz w:val="24"/>
              </w:rPr>
              <w:t xml:space="preserve">CSG / CRDS </w:t>
            </w:r>
          </w:p>
        </w:tc>
      </w:tr>
      <w:tr>
        <w:tblPrEx>
          <w:tblCellMar>
            <w:top w:w="43" w:type="dxa"/>
            <w:left w:w="108" w:type="dxa"/>
            <w:right w:w="49" w:type="dxa"/>
          </w:tblCellMar>
        </w:tblPrEx>
        <w:trPr>
          <w:gridAfter w:val="1"/>
          <w:wAfter w:w="10" w:type="dxa"/>
          <w:trHeight w:val="562"/>
        </w:trPr>
        <w:tc>
          <w:tcPr>
            <w:tcW w:w="1861" w:type="dxa"/>
            <w:vMerge w:val="restart"/>
            <w:tcBorders>
              <w:top w:val="single" w:sz="17" w:space="0" w:color="000000"/>
              <w:left w:val="single" w:sz="17" w:space="0" w:color="000000"/>
              <w:bottom w:val="single" w:sz="17" w:space="0" w:color="000000"/>
              <w:right w:val="single" w:sz="4" w:space="0" w:color="000000"/>
            </w:tcBorders>
            <w:shd w:val="clear" w:color="auto" w:fill="DBE5F1"/>
            <w:vAlign w:val="center"/>
          </w:tcPr>
          <w:p>
            <w:pPr>
              <w:spacing w:line="259" w:lineRule="auto"/>
              <w:ind w:left="15" w:right="30"/>
              <w:jc w:val="center"/>
            </w:pPr>
            <w:r>
              <w:rPr>
                <w:rFonts w:ascii="Calibri" w:eastAsia="Calibri" w:hAnsi="Calibri" w:cs="Calibri"/>
                <w:b/>
              </w:rPr>
              <w:t xml:space="preserve">ISRC supérieure à 10 fois le PASS </w:t>
            </w:r>
          </w:p>
        </w:tc>
        <w:tc>
          <w:tcPr>
            <w:tcW w:w="2981" w:type="dxa"/>
            <w:tcBorders>
              <w:top w:val="single" w:sz="17" w:space="0" w:color="000000"/>
              <w:left w:val="single" w:sz="4" w:space="0" w:color="000000"/>
              <w:bottom w:val="single" w:sz="4" w:space="0" w:color="000000"/>
              <w:right w:val="single" w:sz="4" w:space="0" w:color="000000"/>
            </w:tcBorders>
            <w:shd w:val="clear" w:color="auto" w:fill="B8CCE4"/>
          </w:tcPr>
          <w:p>
            <w:pPr>
              <w:spacing w:line="259" w:lineRule="auto"/>
              <w:ind w:right="59"/>
              <w:jc w:val="center"/>
            </w:pPr>
            <w:r>
              <w:rPr>
                <w:rFonts w:ascii="Calibri" w:eastAsia="Calibri" w:hAnsi="Calibri" w:cs="Calibri"/>
                <w:b/>
              </w:rPr>
              <w:t>Tranches de l’ISRC</w:t>
            </w:r>
            <w:r>
              <w:rPr>
                <w:b/>
              </w:rPr>
              <w:t xml:space="preserve"> </w:t>
            </w:r>
          </w:p>
        </w:tc>
        <w:tc>
          <w:tcPr>
            <w:tcW w:w="1273" w:type="dxa"/>
            <w:tcBorders>
              <w:top w:val="single" w:sz="17" w:space="0" w:color="000000"/>
              <w:left w:val="single" w:sz="4" w:space="0" w:color="000000"/>
              <w:bottom w:val="single" w:sz="4" w:space="0" w:color="000000"/>
              <w:right w:val="single" w:sz="4" w:space="0" w:color="000000"/>
            </w:tcBorders>
            <w:shd w:val="clear" w:color="auto" w:fill="B8CCE4"/>
          </w:tcPr>
          <w:p>
            <w:pPr>
              <w:spacing w:after="9" w:line="259" w:lineRule="auto"/>
            </w:pPr>
            <w:r>
              <w:rPr>
                <w:rFonts w:ascii="Calibri" w:eastAsia="Calibri" w:hAnsi="Calibri" w:cs="Calibri"/>
                <w:b/>
              </w:rPr>
              <w:t xml:space="preserve">Code PAY à </w:t>
            </w:r>
          </w:p>
          <w:p>
            <w:pPr>
              <w:spacing w:line="259" w:lineRule="auto"/>
            </w:pPr>
            <w:proofErr w:type="gramStart"/>
            <w:r>
              <w:rPr>
                <w:rFonts w:ascii="Calibri" w:eastAsia="Calibri" w:hAnsi="Calibri" w:cs="Calibri"/>
                <w:b/>
              </w:rPr>
              <w:t>utiliser</w:t>
            </w:r>
            <w:proofErr w:type="gramEnd"/>
            <w:r>
              <w:rPr>
                <w:b/>
              </w:rPr>
              <w:t xml:space="preserve"> </w:t>
            </w:r>
          </w:p>
        </w:tc>
        <w:tc>
          <w:tcPr>
            <w:tcW w:w="1416" w:type="dxa"/>
            <w:tcBorders>
              <w:top w:val="single" w:sz="17" w:space="0" w:color="000000"/>
              <w:left w:val="single" w:sz="4" w:space="0" w:color="000000"/>
              <w:bottom w:val="single" w:sz="4" w:space="0" w:color="000000"/>
              <w:right w:val="single" w:sz="4" w:space="0" w:color="000000"/>
            </w:tcBorders>
            <w:shd w:val="clear" w:color="auto" w:fill="B8CCE4"/>
          </w:tcPr>
          <w:p>
            <w:pPr>
              <w:spacing w:line="259" w:lineRule="auto"/>
            </w:pPr>
            <w:r>
              <w:rPr>
                <w:rFonts w:ascii="Calibri" w:eastAsia="Calibri" w:hAnsi="Calibri" w:cs="Calibri"/>
                <w:b/>
              </w:rPr>
              <w:t>Régime fiscal</w:t>
            </w:r>
            <w:r>
              <w:rPr>
                <w:b/>
              </w:rPr>
              <w:t xml:space="preserve"> </w:t>
            </w:r>
          </w:p>
        </w:tc>
        <w:tc>
          <w:tcPr>
            <w:tcW w:w="1825" w:type="dxa"/>
            <w:tcBorders>
              <w:top w:val="single" w:sz="17" w:space="0" w:color="000000"/>
              <w:left w:val="single" w:sz="4" w:space="0" w:color="000000"/>
              <w:bottom w:val="single" w:sz="4" w:space="0" w:color="000000"/>
              <w:right w:val="single" w:sz="17" w:space="0" w:color="000000"/>
            </w:tcBorders>
            <w:shd w:val="clear" w:color="auto" w:fill="B8CCE4"/>
          </w:tcPr>
          <w:p>
            <w:pPr>
              <w:spacing w:line="259" w:lineRule="auto"/>
            </w:pPr>
            <w:r>
              <w:rPr>
                <w:rFonts w:ascii="Calibri" w:eastAsia="Calibri" w:hAnsi="Calibri" w:cs="Calibri"/>
                <w:b/>
              </w:rPr>
              <w:t>Régime social</w:t>
            </w:r>
            <w:r>
              <w:rPr>
                <w:b/>
              </w:rPr>
              <w:t xml:space="preserve"> </w:t>
            </w:r>
          </w:p>
        </w:tc>
      </w:tr>
      <w:tr>
        <w:tblPrEx>
          <w:tblCellMar>
            <w:top w:w="43" w:type="dxa"/>
            <w:left w:w="108" w:type="dxa"/>
            <w:right w:w="49" w:type="dxa"/>
          </w:tblCellMar>
        </w:tblPrEx>
        <w:trPr>
          <w:gridAfter w:val="1"/>
          <w:wAfter w:w="10" w:type="dxa"/>
          <w:trHeight w:val="548"/>
        </w:trPr>
        <w:tc>
          <w:tcPr>
            <w:tcW w:w="1861" w:type="dxa"/>
            <w:vMerge/>
            <w:tcBorders>
              <w:top w:val="nil"/>
              <w:left w:val="single" w:sz="17" w:space="0" w:color="000000"/>
              <w:bottom w:val="nil"/>
              <w:right w:val="single" w:sz="4" w:space="0" w:color="000000"/>
            </w:tcBorders>
          </w:tcPr>
          <w:p>
            <w:pPr>
              <w:spacing w:after="160" w:line="259" w:lineRule="auto"/>
            </w:pPr>
          </w:p>
        </w:tc>
        <w:tc>
          <w:tcPr>
            <w:tcW w:w="2981" w:type="dxa"/>
            <w:tcBorders>
              <w:top w:val="single" w:sz="4" w:space="0" w:color="000000"/>
              <w:left w:val="single" w:sz="4" w:space="0" w:color="000000"/>
              <w:bottom w:val="single" w:sz="4" w:space="0" w:color="000000"/>
              <w:right w:val="single" w:sz="4" w:space="0" w:color="000000"/>
            </w:tcBorders>
          </w:tcPr>
          <w:p>
            <w:pPr>
              <w:spacing w:line="259" w:lineRule="auto"/>
            </w:pPr>
            <w:r>
              <w:rPr>
                <w:rFonts w:ascii="Calibri" w:eastAsia="Calibri" w:hAnsi="Calibri" w:cs="Calibri"/>
              </w:rPr>
              <w:t>Tranche de l’ISRC dont le montant est inférieur à 6 PASS</w:t>
            </w:r>
            <w:r>
              <w:t xml:space="preserve"> </w:t>
            </w:r>
          </w:p>
        </w:tc>
        <w:tc>
          <w:tcPr>
            <w:tcW w:w="1273" w:type="dxa"/>
            <w:tcBorders>
              <w:top w:val="single" w:sz="4" w:space="0" w:color="000000"/>
              <w:left w:val="single" w:sz="4" w:space="0" w:color="000000"/>
              <w:bottom w:val="single" w:sz="4" w:space="0" w:color="000000"/>
              <w:right w:val="single" w:sz="4" w:space="0" w:color="000000"/>
            </w:tcBorders>
            <w:vAlign w:val="center"/>
          </w:tcPr>
          <w:p>
            <w:pPr>
              <w:spacing w:line="259" w:lineRule="auto"/>
              <w:ind w:right="59"/>
              <w:jc w:val="center"/>
            </w:pPr>
            <w:r>
              <w:t xml:space="preserve">0758 </w:t>
            </w:r>
          </w:p>
        </w:tc>
        <w:tc>
          <w:tcPr>
            <w:tcW w:w="1416" w:type="dxa"/>
            <w:tcBorders>
              <w:top w:val="single" w:sz="4" w:space="0" w:color="000000"/>
              <w:left w:val="single" w:sz="4" w:space="0" w:color="000000"/>
              <w:bottom w:val="single" w:sz="4" w:space="0" w:color="000000"/>
              <w:right w:val="single" w:sz="4" w:space="0" w:color="000000"/>
            </w:tcBorders>
            <w:vAlign w:val="center"/>
          </w:tcPr>
          <w:p>
            <w:pPr>
              <w:spacing w:line="259" w:lineRule="auto"/>
              <w:ind w:left="7"/>
            </w:pPr>
            <w:proofErr w:type="gramStart"/>
            <w:r>
              <w:rPr>
                <w:rFonts w:ascii="Calibri" w:eastAsia="Calibri" w:hAnsi="Calibri" w:cs="Calibri"/>
                <w:color w:val="002060"/>
                <w:sz w:val="24"/>
              </w:rPr>
              <w:t>e</w:t>
            </w:r>
            <w:r>
              <w:rPr>
                <w:rFonts w:ascii="Calibri" w:eastAsia="Calibri" w:hAnsi="Calibri" w:cs="Calibri"/>
                <w:color w:val="0000FF"/>
                <w:sz w:val="24"/>
              </w:rPr>
              <w:t>xonération</w:t>
            </w:r>
            <w:proofErr w:type="gramEnd"/>
            <w:r>
              <w:t xml:space="preserve"> </w:t>
            </w:r>
          </w:p>
        </w:tc>
        <w:tc>
          <w:tcPr>
            <w:tcW w:w="1825" w:type="dxa"/>
            <w:tcBorders>
              <w:top w:val="single" w:sz="4" w:space="0" w:color="000000"/>
              <w:left w:val="single" w:sz="4" w:space="0" w:color="000000"/>
              <w:bottom w:val="single" w:sz="4" w:space="0" w:color="000000"/>
              <w:right w:val="single" w:sz="17" w:space="0" w:color="000000"/>
            </w:tcBorders>
            <w:vAlign w:val="center"/>
          </w:tcPr>
          <w:p>
            <w:pPr>
              <w:spacing w:line="259" w:lineRule="auto"/>
              <w:ind w:right="52"/>
              <w:jc w:val="center"/>
            </w:pPr>
            <w:r>
              <w:rPr>
                <w:rFonts w:ascii="Calibri" w:eastAsia="Calibri" w:hAnsi="Calibri" w:cs="Calibri"/>
                <w:sz w:val="24"/>
              </w:rPr>
              <w:t>CSG / CRDS</w:t>
            </w:r>
            <w:r>
              <w:t xml:space="preserve"> </w:t>
            </w:r>
          </w:p>
        </w:tc>
      </w:tr>
      <w:tr>
        <w:tblPrEx>
          <w:tblCellMar>
            <w:top w:w="43" w:type="dxa"/>
            <w:left w:w="108" w:type="dxa"/>
            <w:right w:w="49" w:type="dxa"/>
          </w:tblCellMar>
        </w:tblPrEx>
        <w:trPr>
          <w:gridAfter w:val="1"/>
          <w:wAfter w:w="10" w:type="dxa"/>
          <w:trHeight w:val="607"/>
        </w:trPr>
        <w:tc>
          <w:tcPr>
            <w:tcW w:w="1861" w:type="dxa"/>
            <w:vMerge/>
            <w:tcBorders>
              <w:top w:val="nil"/>
              <w:left w:val="single" w:sz="17" w:space="0" w:color="000000"/>
              <w:bottom w:val="single" w:sz="17" w:space="0" w:color="000000"/>
              <w:right w:val="single" w:sz="4" w:space="0" w:color="000000"/>
            </w:tcBorders>
          </w:tcPr>
          <w:p>
            <w:pPr>
              <w:spacing w:after="160" w:line="259" w:lineRule="auto"/>
            </w:pPr>
          </w:p>
        </w:tc>
        <w:tc>
          <w:tcPr>
            <w:tcW w:w="2981" w:type="dxa"/>
            <w:tcBorders>
              <w:top w:val="single" w:sz="4" w:space="0" w:color="000000"/>
              <w:left w:val="single" w:sz="4" w:space="0" w:color="000000"/>
              <w:bottom w:val="single" w:sz="17" w:space="0" w:color="000000"/>
              <w:right w:val="single" w:sz="4" w:space="0" w:color="000000"/>
            </w:tcBorders>
          </w:tcPr>
          <w:p>
            <w:pPr>
              <w:spacing w:line="259" w:lineRule="auto"/>
            </w:pPr>
            <w:r>
              <w:rPr>
                <w:rFonts w:ascii="Calibri" w:eastAsia="Calibri" w:hAnsi="Calibri" w:cs="Calibri"/>
              </w:rPr>
              <w:t>Tranche de l’ISRC supérieure à 6 PASS</w:t>
            </w:r>
            <w:r>
              <w:t xml:space="preserve"> </w:t>
            </w:r>
          </w:p>
        </w:tc>
        <w:tc>
          <w:tcPr>
            <w:tcW w:w="1273" w:type="dxa"/>
            <w:tcBorders>
              <w:top w:val="single" w:sz="4" w:space="0" w:color="000000"/>
              <w:left w:val="single" w:sz="4" w:space="0" w:color="000000"/>
              <w:bottom w:val="single" w:sz="17" w:space="0" w:color="000000"/>
              <w:right w:val="single" w:sz="4" w:space="0" w:color="000000"/>
            </w:tcBorders>
            <w:vAlign w:val="center"/>
          </w:tcPr>
          <w:p>
            <w:pPr>
              <w:spacing w:line="259" w:lineRule="auto"/>
              <w:ind w:right="59"/>
              <w:jc w:val="center"/>
            </w:pPr>
            <w:r>
              <w:t xml:space="preserve">2285 </w:t>
            </w:r>
          </w:p>
        </w:tc>
        <w:tc>
          <w:tcPr>
            <w:tcW w:w="1416" w:type="dxa"/>
            <w:tcBorders>
              <w:top w:val="single" w:sz="4" w:space="0" w:color="000000"/>
              <w:left w:val="single" w:sz="4" w:space="0" w:color="000000"/>
              <w:bottom w:val="single" w:sz="17" w:space="0" w:color="000000"/>
              <w:right w:val="single" w:sz="4" w:space="0" w:color="000000"/>
            </w:tcBorders>
          </w:tcPr>
          <w:p>
            <w:pPr>
              <w:spacing w:line="259" w:lineRule="auto"/>
              <w:jc w:val="center"/>
            </w:pPr>
            <w:r>
              <w:rPr>
                <w:rFonts w:ascii="Calibri" w:eastAsia="Calibri" w:hAnsi="Calibri" w:cs="Calibri"/>
                <w:sz w:val="24"/>
              </w:rPr>
              <w:t>Imposable à l’IRPP</w:t>
            </w:r>
            <w:r>
              <w:t xml:space="preserve"> </w:t>
            </w:r>
          </w:p>
        </w:tc>
        <w:tc>
          <w:tcPr>
            <w:tcW w:w="1825" w:type="dxa"/>
            <w:tcBorders>
              <w:top w:val="single" w:sz="4" w:space="0" w:color="000000"/>
              <w:left w:val="single" w:sz="4" w:space="0" w:color="000000"/>
              <w:bottom w:val="single" w:sz="17" w:space="0" w:color="000000"/>
              <w:right w:val="single" w:sz="17" w:space="0" w:color="000000"/>
            </w:tcBorders>
            <w:vAlign w:val="center"/>
          </w:tcPr>
          <w:p>
            <w:pPr>
              <w:spacing w:line="259" w:lineRule="auto"/>
              <w:ind w:right="52"/>
              <w:jc w:val="center"/>
            </w:pPr>
            <w:r>
              <w:rPr>
                <w:rFonts w:ascii="Calibri" w:eastAsia="Calibri" w:hAnsi="Calibri" w:cs="Calibri"/>
                <w:sz w:val="24"/>
              </w:rPr>
              <w:t>CSG / CRDS</w:t>
            </w:r>
            <w:r>
              <w:t xml:space="preserve"> </w:t>
            </w:r>
          </w:p>
        </w:tc>
      </w:tr>
    </w:tbl>
    <w:p>
      <w:pPr>
        <w:spacing w:after="0"/>
      </w:pPr>
      <w:r>
        <w:t xml:space="preserve"> </w:t>
      </w:r>
    </w:p>
    <w:tbl>
      <w:tblPr>
        <w:tblStyle w:val="TableGrid"/>
        <w:tblW w:w="9356" w:type="dxa"/>
        <w:tblInd w:w="-163" w:type="dxa"/>
        <w:tblCellMar>
          <w:top w:w="43" w:type="dxa"/>
          <w:left w:w="108" w:type="dxa"/>
          <w:right w:w="49" w:type="dxa"/>
        </w:tblCellMar>
        <w:tblLook w:val="04A0" w:firstRow="1" w:lastRow="0" w:firstColumn="1" w:lastColumn="0" w:noHBand="0" w:noVBand="1"/>
      </w:tblPr>
      <w:tblGrid>
        <w:gridCol w:w="1991"/>
        <w:gridCol w:w="2981"/>
        <w:gridCol w:w="1273"/>
        <w:gridCol w:w="1416"/>
        <w:gridCol w:w="1695"/>
      </w:tblGrid>
      <w:tr>
        <w:trPr>
          <w:trHeight w:val="587"/>
        </w:trPr>
        <w:tc>
          <w:tcPr>
            <w:tcW w:w="9356" w:type="dxa"/>
            <w:gridSpan w:val="5"/>
            <w:tcBorders>
              <w:top w:val="single" w:sz="17" w:space="0" w:color="000000"/>
              <w:left w:val="single" w:sz="17" w:space="0" w:color="000000"/>
              <w:bottom w:val="single" w:sz="17" w:space="0" w:color="000000"/>
              <w:right w:val="single" w:sz="17" w:space="0" w:color="000000"/>
            </w:tcBorders>
          </w:tcPr>
          <w:p>
            <w:pPr>
              <w:spacing w:line="259" w:lineRule="auto"/>
              <w:ind w:right="7"/>
              <w:jc w:val="center"/>
            </w:pPr>
            <w:r>
              <w:rPr>
                <w:rFonts w:ascii="Calibri" w:eastAsia="Calibri" w:hAnsi="Calibri" w:cs="Calibri"/>
                <w:b/>
              </w:rPr>
              <w:t>L’agent a droit à une pension de retraite au sens de l’article 80 duodecies, 6° du Code général des impôts</w:t>
            </w:r>
            <w:r>
              <w:t xml:space="preserve"> </w:t>
            </w:r>
          </w:p>
        </w:tc>
      </w:tr>
      <w:tr>
        <w:trPr>
          <w:trHeight w:val="557"/>
        </w:trPr>
        <w:tc>
          <w:tcPr>
            <w:tcW w:w="1991" w:type="dxa"/>
            <w:vMerge w:val="restart"/>
            <w:tcBorders>
              <w:top w:val="single" w:sz="17" w:space="0" w:color="000000"/>
              <w:left w:val="single" w:sz="17" w:space="0" w:color="000000"/>
              <w:bottom w:val="single" w:sz="17" w:space="0" w:color="000000"/>
              <w:right w:val="single" w:sz="2" w:space="0" w:color="000000"/>
            </w:tcBorders>
            <w:shd w:val="clear" w:color="auto" w:fill="DBE5F1"/>
            <w:vAlign w:val="center"/>
          </w:tcPr>
          <w:p>
            <w:pPr>
              <w:spacing w:line="259" w:lineRule="auto"/>
              <w:jc w:val="center"/>
            </w:pPr>
            <w:r>
              <w:rPr>
                <w:rFonts w:ascii="Calibri" w:eastAsia="Calibri" w:hAnsi="Calibri" w:cs="Calibri"/>
                <w:b/>
              </w:rPr>
              <w:t xml:space="preserve">ISRC inférieure à 10 fois le PASS </w:t>
            </w:r>
          </w:p>
        </w:tc>
        <w:tc>
          <w:tcPr>
            <w:tcW w:w="2981" w:type="dxa"/>
            <w:tcBorders>
              <w:top w:val="single" w:sz="17" w:space="0" w:color="000000"/>
              <w:left w:val="single" w:sz="2" w:space="0" w:color="000000"/>
              <w:bottom w:val="single" w:sz="2" w:space="0" w:color="000000"/>
              <w:right w:val="single" w:sz="2" w:space="0" w:color="000000"/>
            </w:tcBorders>
            <w:shd w:val="clear" w:color="auto" w:fill="B8CCE4"/>
          </w:tcPr>
          <w:p>
            <w:pPr>
              <w:spacing w:line="259" w:lineRule="auto"/>
              <w:ind w:right="59"/>
              <w:jc w:val="center"/>
            </w:pPr>
            <w:r>
              <w:rPr>
                <w:rFonts w:ascii="Calibri" w:eastAsia="Calibri" w:hAnsi="Calibri" w:cs="Calibri"/>
                <w:b/>
              </w:rPr>
              <w:t xml:space="preserve">Tranches de l’ISRC </w:t>
            </w:r>
          </w:p>
        </w:tc>
        <w:tc>
          <w:tcPr>
            <w:tcW w:w="1273" w:type="dxa"/>
            <w:tcBorders>
              <w:top w:val="single" w:sz="2" w:space="0" w:color="B8CCE4"/>
              <w:left w:val="single" w:sz="2" w:space="0" w:color="000000"/>
              <w:bottom w:val="single" w:sz="2" w:space="0" w:color="000000"/>
              <w:right w:val="single" w:sz="2" w:space="0" w:color="000000"/>
            </w:tcBorders>
            <w:shd w:val="clear" w:color="auto" w:fill="B8CCE4"/>
          </w:tcPr>
          <w:p>
            <w:pPr>
              <w:spacing w:line="259" w:lineRule="auto"/>
              <w:jc w:val="center"/>
            </w:pPr>
            <w:r>
              <w:rPr>
                <w:rFonts w:ascii="Calibri" w:eastAsia="Calibri" w:hAnsi="Calibri" w:cs="Calibri"/>
                <w:b/>
              </w:rPr>
              <w:t xml:space="preserve">Code PAY à utiliser </w:t>
            </w:r>
          </w:p>
        </w:tc>
        <w:tc>
          <w:tcPr>
            <w:tcW w:w="1416" w:type="dxa"/>
            <w:tcBorders>
              <w:top w:val="single" w:sz="2" w:space="0" w:color="B8CCE4"/>
              <w:left w:val="single" w:sz="2" w:space="0" w:color="000000"/>
              <w:bottom w:val="single" w:sz="2" w:space="0" w:color="000000"/>
              <w:right w:val="single" w:sz="2" w:space="0" w:color="000000"/>
            </w:tcBorders>
            <w:shd w:val="clear" w:color="auto" w:fill="B8CCE4"/>
          </w:tcPr>
          <w:p>
            <w:pPr>
              <w:spacing w:line="259" w:lineRule="auto"/>
            </w:pPr>
            <w:r>
              <w:rPr>
                <w:rFonts w:ascii="Calibri" w:eastAsia="Calibri" w:hAnsi="Calibri" w:cs="Calibri"/>
                <w:b/>
              </w:rPr>
              <w:t xml:space="preserve">Régime fiscal </w:t>
            </w:r>
          </w:p>
        </w:tc>
        <w:tc>
          <w:tcPr>
            <w:tcW w:w="1695" w:type="dxa"/>
            <w:tcBorders>
              <w:top w:val="single" w:sz="2" w:space="0" w:color="B8CCE4"/>
              <w:left w:val="single" w:sz="2" w:space="0" w:color="000000"/>
              <w:bottom w:val="single" w:sz="2" w:space="0" w:color="000000"/>
              <w:right w:val="single" w:sz="17" w:space="0" w:color="000000"/>
            </w:tcBorders>
            <w:shd w:val="clear" w:color="auto" w:fill="B8CCE4"/>
          </w:tcPr>
          <w:p>
            <w:pPr>
              <w:spacing w:line="259" w:lineRule="auto"/>
              <w:ind w:left="43"/>
            </w:pPr>
            <w:r>
              <w:rPr>
                <w:rFonts w:ascii="Calibri" w:eastAsia="Calibri" w:hAnsi="Calibri" w:cs="Calibri"/>
                <w:b/>
              </w:rPr>
              <w:t xml:space="preserve">Régime social </w:t>
            </w:r>
          </w:p>
        </w:tc>
      </w:tr>
      <w:tr>
        <w:trPr>
          <w:trHeight w:val="591"/>
        </w:trPr>
        <w:tc>
          <w:tcPr>
            <w:tcW w:w="1991" w:type="dxa"/>
            <w:vMerge/>
            <w:tcBorders>
              <w:top w:val="nil"/>
              <w:left w:val="single" w:sz="17" w:space="0" w:color="000000"/>
              <w:bottom w:val="nil"/>
              <w:right w:val="single" w:sz="2" w:space="0" w:color="000000"/>
            </w:tcBorders>
          </w:tcPr>
          <w:p>
            <w:pPr>
              <w:spacing w:after="160" w:line="259" w:lineRule="auto"/>
            </w:pPr>
          </w:p>
        </w:tc>
        <w:tc>
          <w:tcPr>
            <w:tcW w:w="2981" w:type="dxa"/>
            <w:tcBorders>
              <w:top w:val="single" w:sz="2" w:space="0" w:color="000000"/>
              <w:left w:val="single" w:sz="2" w:space="0" w:color="000000"/>
              <w:bottom w:val="single" w:sz="2" w:space="0" w:color="000000"/>
              <w:right w:val="single" w:sz="2" w:space="0" w:color="000000"/>
            </w:tcBorders>
          </w:tcPr>
          <w:p>
            <w:pPr>
              <w:spacing w:line="259" w:lineRule="auto"/>
            </w:pPr>
            <w:r>
              <w:rPr>
                <w:rFonts w:ascii="Calibri" w:eastAsia="Calibri" w:hAnsi="Calibri" w:cs="Calibri"/>
              </w:rPr>
              <w:t>Tranche de l’ISRC dont le montant est inférieur à 2 PASS</w:t>
            </w:r>
            <w: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pPr>
              <w:spacing w:line="259" w:lineRule="auto"/>
              <w:ind w:right="60"/>
              <w:jc w:val="center"/>
            </w:pPr>
            <w:r>
              <w:rPr>
                <w:rFonts w:ascii="Calibri" w:eastAsia="Calibri" w:hAnsi="Calibri" w:cs="Calibri"/>
                <w:sz w:val="24"/>
              </w:rPr>
              <w:t xml:space="preserve">2298 </w:t>
            </w:r>
          </w:p>
        </w:tc>
        <w:tc>
          <w:tcPr>
            <w:tcW w:w="1416" w:type="dxa"/>
            <w:tcBorders>
              <w:top w:val="single" w:sz="2" w:space="0" w:color="000000"/>
              <w:left w:val="single" w:sz="2" w:space="0" w:color="000000"/>
              <w:bottom w:val="single" w:sz="2" w:space="0" w:color="000000"/>
              <w:right w:val="single" w:sz="2" w:space="0" w:color="000000"/>
            </w:tcBorders>
          </w:tcPr>
          <w:p>
            <w:pPr>
              <w:spacing w:line="259" w:lineRule="auto"/>
              <w:jc w:val="center"/>
            </w:pPr>
            <w:r>
              <w:rPr>
                <w:rFonts w:ascii="Calibri" w:eastAsia="Calibri" w:hAnsi="Calibri" w:cs="Calibri"/>
                <w:sz w:val="24"/>
              </w:rPr>
              <w:t xml:space="preserve">Imposable à l’IRPP </w:t>
            </w:r>
          </w:p>
        </w:tc>
        <w:tc>
          <w:tcPr>
            <w:tcW w:w="1695" w:type="dxa"/>
            <w:tcBorders>
              <w:top w:val="single" w:sz="2" w:space="0" w:color="000000"/>
              <w:left w:val="single" w:sz="2" w:space="0" w:color="000000"/>
              <w:bottom w:val="single" w:sz="2" w:space="0" w:color="000000"/>
              <w:right w:val="single" w:sz="17" w:space="0" w:color="000000"/>
            </w:tcBorders>
            <w:vAlign w:val="center"/>
          </w:tcPr>
          <w:p>
            <w:pPr>
              <w:spacing w:line="259" w:lineRule="auto"/>
              <w:ind w:left="77"/>
            </w:pPr>
            <w:proofErr w:type="gramStart"/>
            <w:r>
              <w:rPr>
                <w:rFonts w:ascii="Calibri" w:eastAsia="Calibri" w:hAnsi="Calibri" w:cs="Calibri"/>
                <w:color w:val="0000FF"/>
                <w:sz w:val="24"/>
              </w:rPr>
              <w:t>exonération</w:t>
            </w:r>
            <w:proofErr w:type="gramEnd"/>
            <w:r>
              <w:rPr>
                <w:rFonts w:ascii="Calibri" w:eastAsia="Calibri" w:hAnsi="Calibri" w:cs="Calibri"/>
                <w:sz w:val="24"/>
              </w:rPr>
              <w:t xml:space="preserve"> </w:t>
            </w:r>
          </w:p>
        </w:tc>
      </w:tr>
      <w:tr>
        <w:trPr>
          <w:trHeight w:val="832"/>
        </w:trPr>
        <w:tc>
          <w:tcPr>
            <w:tcW w:w="1991" w:type="dxa"/>
            <w:vMerge/>
            <w:tcBorders>
              <w:top w:val="nil"/>
              <w:left w:val="single" w:sz="17" w:space="0" w:color="000000"/>
              <w:bottom w:val="single" w:sz="17" w:space="0" w:color="000000"/>
              <w:right w:val="single" w:sz="2" w:space="0" w:color="000000"/>
            </w:tcBorders>
          </w:tcPr>
          <w:p>
            <w:pPr>
              <w:spacing w:after="160" w:line="259" w:lineRule="auto"/>
            </w:pPr>
          </w:p>
        </w:tc>
        <w:tc>
          <w:tcPr>
            <w:tcW w:w="2981" w:type="dxa"/>
            <w:tcBorders>
              <w:top w:val="single" w:sz="2" w:space="0" w:color="000000"/>
              <w:left w:val="single" w:sz="2" w:space="0" w:color="000000"/>
              <w:bottom w:val="single" w:sz="17" w:space="0" w:color="000000"/>
              <w:right w:val="single" w:sz="2" w:space="0" w:color="000000"/>
            </w:tcBorders>
          </w:tcPr>
          <w:p>
            <w:pPr>
              <w:spacing w:line="259" w:lineRule="auto"/>
              <w:ind w:right="58"/>
            </w:pPr>
            <w:r>
              <w:rPr>
                <w:rFonts w:ascii="Calibri" w:eastAsia="Calibri" w:hAnsi="Calibri" w:cs="Calibri"/>
              </w:rPr>
              <w:t>Tranche de l’ISRC dont le montant est compris entre 2 PASS et 10 PASS</w:t>
            </w:r>
            <w:r>
              <w:t xml:space="preserve"> </w:t>
            </w:r>
          </w:p>
        </w:tc>
        <w:tc>
          <w:tcPr>
            <w:tcW w:w="1273" w:type="dxa"/>
            <w:tcBorders>
              <w:top w:val="single" w:sz="2" w:space="0" w:color="000000"/>
              <w:left w:val="single" w:sz="2" w:space="0" w:color="000000"/>
              <w:bottom w:val="single" w:sz="18" w:space="0" w:color="000000"/>
              <w:right w:val="single" w:sz="2" w:space="0" w:color="000000"/>
            </w:tcBorders>
            <w:vAlign w:val="center"/>
          </w:tcPr>
          <w:p>
            <w:pPr>
              <w:spacing w:line="259" w:lineRule="auto"/>
              <w:ind w:right="60"/>
              <w:jc w:val="center"/>
            </w:pPr>
            <w:r>
              <w:rPr>
                <w:rFonts w:ascii="Calibri" w:eastAsia="Calibri" w:hAnsi="Calibri" w:cs="Calibri"/>
                <w:sz w:val="24"/>
              </w:rPr>
              <w:t xml:space="preserve">2284 </w:t>
            </w:r>
          </w:p>
        </w:tc>
        <w:tc>
          <w:tcPr>
            <w:tcW w:w="1416" w:type="dxa"/>
            <w:tcBorders>
              <w:top w:val="single" w:sz="2" w:space="0" w:color="000000"/>
              <w:left w:val="single" w:sz="2" w:space="0" w:color="000000"/>
              <w:bottom w:val="single" w:sz="18" w:space="0" w:color="000000"/>
              <w:right w:val="single" w:sz="2" w:space="0" w:color="000000"/>
            </w:tcBorders>
            <w:vAlign w:val="center"/>
          </w:tcPr>
          <w:p>
            <w:pPr>
              <w:spacing w:line="259" w:lineRule="auto"/>
              <w:jc w:val="center"/>
            </w:pPr>
            <w:r>
              <w:rPr>
                <w:rFonts w:ascii="Calibri" w:eastAsia="Calibri" w:hAnsi="Calibri" w:cs="Calibri"/>
                <w:sz w:val="24"/>
              </w:rPr>
              <w:t xml:space="preserve">Imposable à l’IRPP </w:t>
            </w:r>
          </w:p>
        </w:tc>
        <w:tc>
          <w:tcPr>
            <w:tcW w:w="1695" w:type="dxa"/>
            <w:tcBorders>
              <w:top w:val="single" w:sz="2" w:space="0" w:color="000000"/>
              <w:left w:val="single" w:sz="2" w:space="0" w:color="000000"/>
              <w:bottom w:val="single" w:sz="18" w:space="0" w:color="000000"/>
              <w:right w:val="single" w:sz="17" w:space="0" w:color="000000"/>
            </w:tcBorders>
            <w:vAlign w:val="center"/>
          </w:tcPr>
          <w:p>
            <w:pPr>
              <w:spacing w:line="259" w:lineRule="auto"/>
              <w:ind w:right="52"/>
              <w:jc w:val="center"/>
            </w:pPr>
            <w:r>
              <w:rPr>
                <w:rFonts w:ascii="Calibri" w:eastAsia="Calibri" w:hAnsi="Calibri" w:cs="Calibri"/>
                <w:sz w:val="24"/>
              </w:rPr>
              <w:t xml:space="preserve">CSG / CRDS </w:t>
            </w:r>
          </w:p>
        </w:tc>
      </w:tr>
      <w:tr>
        <w:trPr>
          <w:trHeight w:val="562"/>
        </w:trPr>
        <w:tc>
          <w:tcPr>
            <w:tcW w:w="1991" w:type="dxa"/>
            <w:vMerge w:val="restart"/>
            <w:tcBorders>
              <w:top w:val="single" w:sz="17" w:space="0" w:color="000000"/>
              <w:left w:val="single" w:sz="17" w:space="0" w:color="000000"/>
              <w:bottom w:val="single" w:sz="4" w:space="0" w:color="000000"/>
              <w:right w:val="single" w:sz="4" w:space="0" w:color="000000"/>
            </w:tcBorders>
            <w:shd w:val="clear" w:color="auto" w:fill="DBE5F1"/>
            <w:vAlign w:val="center"/>
          </w:tcPr>
          <w:p>
            <w:pPr>
              <w:spacing w:line="259" w:lineRule="auto"/>
              <w:ind w:left="15" w:right="29"/>
              <w:jc w:val="center"/>
            </w:pPr>
            <w:r>
              <w:rPr>
                <w:rFonts w:ascii="Calibri" w:eastAsia="Calibri" w:hAnsi="Calibri" w:cs="Calibri"/>
                <w:b/>
              </w:rPr>
              <w:t xml:space="preserve">ISRC supérieure à 10 fois le PASS </w:t>
            </w:r>
          </w:p>
        </w:tc>
        <w:tc>
          <w:tcPr>
            <w:tcW w:w="2981" w:type="dxa"/>
            <w:tcBorders>
              <w:top w:val="single" w:sz="17" w:space="0" w:color="000000"/>
              <w:left w:val="single" w:sz="4" w:space="0" w:color="000000"/>
              <w:bottom w:val="single" w:sz="4" w:space="0" w:color="000000"/>
              <w:right w:val="single" w:sz="4" w:space="0" w:color="000000"/>
            </w:tcBorders>
            <w:shd w:val="clear" w:color="auto" w:fill="B8CCE4"/>
          </w:tcPr>
          <w:p>
            <w:pPr>
              <w:spacing w:line="259" w:lineRule="auto"/>
              <w:ind w:right="59"/>
              <w:jc w:val="center"/>
            </w:pPr>
            <w:r>
              <w:rPr>
                <w:rFonts w:ascii="Calibri" w:eastAsia="Calibri" w:hAnsi="Calibri" w:cs="Calibri"/>
                <w:b/>
              </w:rPr>
              <w:t>Tranches de l’ISRC</w:t>
            </w:r>
            <w:r>
              <w:rPr>
                <w:b/>
              </w:rPr>
              <w:t xml:space="preserve"> </w:t>
            </w:r>
          </w:p>
        </w:tc>
        <w:tc>
          <w:tcPr>
            <w:tcW w:w="1273" w:type="dxa"/>
            <w:tcBorders>
              <w:top w:val="single" w:sz="18" w:space="0" w:color="000000"/>
              <w:left w:val="single" w:sz="4" w:space="0" w:color="000000"/>
              <w:bottom w:val="single" w:sz="4" w:space="0" w:color="000000"/>
              <w:right w:val="single" w:sz="4" w:space="0" w:color="000000"/>
            </w:tcBorders>
            <w:shd w:val="clear" w:color="auto" w:fill="B8CCE4"/>
          </w:tcPr>
          <w:p>
            <w:pPr>
              <w:spacing w:line="259" w:lineRule="auto"/>
              <w:ind w:right="59"/>
              <w:jc w:val="center"/>
              <w:rPr>
                <w:rFonts w:ascii="Calibri" w:eastAsia="Calibri" w:hAnsi="Calibri" w:cs="Calibri"/>
                <w:b/>
              </w:rPr>
            </w:pPr>
            <w:r>
              <w:rPr>
                <w:rFonts w:ascii="Calibri" w:eastAsia="Calibri" w:hAnsi="Calibri" w:cs="Calibri"/>
                <w:b/>
              </w:rPr>
              <w:t xml:space="preserve">Code PAY à </w:t>
            </w:r>
          </w:p>
          <w:p>
            <w:pPr>
              <w:spacing w:line="259" w:lineRule="auto"/>
              <w:ind w:right="59"/>
              <w:jc w:val="center"/>
              <w:rPr>
                <w:rFonts w:ascii="Calibri" w:eastAsia="Calibri" w:hAnsi="Calibri" w:cs="Calibri"/>
                <w:b/>
              </w:rPr>
            </w:pPr>
            <w:proofErr w:type="gramStart"/>
            <w:r>
              <w:rPr>
                <w:rFonts w:ascii="Calibri" w:eastAsia="Calibri" w:hAnsi="Calibri" w:cs="Calibri"/>
                <w:b/>
              </w:rPr>
              <w:t>utiliser</w:t>
            </w:r>
            <w:proofErr w:type="gramEnd"/>
            <w:r>
              <w:rPr>
                <w:rFonts w:ascii="Calibri" w:eastAsia="Calibri" w:hAnsi="Calibri" w:cs="Calibri"/>
                <w:b/>
              </w:rPr>
              <w:t xml:space="preserve"> </w:t>
            </w:r>
          </w:p>
        </w:tc>
        <w:tc>
          <w:tcPr>
            <w:tcW w:w="1416" w:type="dxa"/>
            <w:tcBorders>
              <w:top w:val="single" w:sz="18" w:space="0" w:color="000000"/>
              <w:left w:val="single" w:sz="4" w:space="0" w:color="000000"/>
              <w:bottom w:val="single" w:sz="4" w:space="0" w:color="000000"/>
              <w:right w:val="single" w:sz="4" w:space="0" w:color="000000"/>
            </w:tcBorders>
            <w:shd w:val="clear" w:color="auto" w:fill="B8CCE4"/>
          </w:tcPr>
          <w:p>
            <w:pPr>
              <w:spacing w:line="259" w:lineRule="auto"/>
              <w:ind w:right="59"/>
              <w:jc w:val="center"/>
              <w:rPr>
                <w:rFonts w:ascii="Calibri" w:eastAsia="Calibri" w:hAnsi="Calibri" w:cs="Calibri"/>
                <w:b/>
              </w:rPr>
            </w:pPr>
            <w:r>
              <w:rPr>
                <w:rFonts w:ascii="Calibri" w:eastAsia="Calibri" w:hAnsi="Calibri" w:cs="Calibri"/>
                <w:b/>
              </w:rPr>
              <w:t xml:space="preserve">Régime fiscal </w:t>
            </w:r>
          </w:p>
        </w:tc>
        <w:tc>
          <w:tcPr>
            <w:tcW w:w="1695" w:type="dxa"/>
            <w:tcBorders>
              <w:top w:val="single" w:sz="18" w:space="0" w:color="000000"/>
              <w:left w:val="single" w:sz="4" w:space="0" w:color="000000"/>
              <w:bottom w:val="single" w:sz="4" w:space="0" w:color="000000"/>
              <w:right w:val="single" w:sz="18" w:space="0" w:color="000000"/>
            </w:tcBorders>
            <w:shd w:val="clear" w:color="auto" w:fill="B8CCE4"/>
          </w:tcPr>
          <w:p>
            <w:pPr>
              <w:spacing w:line="259" w:lineRule="auto"/>
              <w:ind w:right="59"/>
              <w:jc w:val="center"/>
              <w:rPr>
                <w:rFonts w:ascii="Calibri" w:eastAsia="Calibri" w:hAnsi="Calibri" w:cs="Calibri"/>
                <w:b/>
              </w:rPr>
            </w:pPr>
            <w:r>
              <w:rPr>
                <w:rFonts w:ascii="Calibri" w:eastAsia="Calibri" w:hAnsi="Calibri" w:cs="Calibri"/>
                <w:b/>
              </w:rPr>
              <w:t xml:space="preserve">Régime social </w:t>
            </w:r>
          </w:p>
        </w:tc>
      </w:tr>
      <w:tr>
        <w:trPr>
          <w:trHeight w:val="598"/>
        </w:trPr>
        <w:tc>
          <w:tcPr>
            <w:tcW w:w="1991" w:type="dxa"/>
            <w:vMerge/>
            <w:tcBorders>
              <w:top w:val="nil"/>
              <w:left w:val="single" w:sz="17" w:space="0" w:color="000000"/>
              <w:bottom w:val="single" w:sz="18" w:space="0" w:color="000000"/>
              <w:right w:val="single" w:sz="4" w:space="0" w:color="000000"/>
            </w:tcBorders>
          </w:tcPr>
          <w:p>
            <w:pPr>
              <w:spacing w:after="160" w:line="259" w:lineRule="auto"/>
            </w:pPr>
          </w:p>
        </w:tc>
        <w:tc>
          <w:tcPr>
            <w:tcW w:w="2981" w:type="dxa"/>
            <w:tcBorders>
              <w:top w:val="single" w:sz="4" w:space="0" w:color="000000"/>
              <w:left w:val="single" w:sz="4" w:space="0" w:color="000000"/>
              <w:bottom w:val="single" w:sz="18" w:space="0" w:color="000000"/>
              <w:right w:val="single" w:sz="4" w:space="0" w:color="000000"/>
            </w:tcBorders>
          </w:tcPr>
          <w:p>
            <w:pPr>
              <w:spacing w:line="259" w:lineRule="auto"/>
            </w:pPr>
            <w:r>
              <w:rPr>
                <w:rFonts w:ascii="Calibri" w:eastAsia="Calibri" w:hAnsi="Calibri" w:cs="Calibri"/>
              </w:rPr>
              <w:t xml:space="preserve">Totalité de l’ISRC </w:t>
            </w:r>
            <w:r>
              <w:t xml:space="preserve"> </w:t>
            </w:r>
          </w:p>
        </w:tc>
        <w:tc>
          <w:tcPr>
            <w:tcW w:w="1273" w:type="dxa"/>
            <w:tcBorders>
              <w:top w:val="single" w:sz="4" w:space="0" w:color="000000"/>
              <w:left w:val="single" w:sz="4" w:space="0" w:color="000000"/>
              <w:bottom w:val="single" w:sz="18" w:space="0" w:color="000000"/>
              <w:right w:val="single" w:sz="4" w:space="0" w:color="000000"/>
            </w:tcBorders>
            <w:vAlign w:val="center"/>
          </w:tcPr>
          <w:p>
            <w:pPr>
              <w:spacing w:line="259" w:lineRule="auto"/>
              <w:ind w:right="58"/>
              <w:jc w:val="center"/>
            </w:pPr>
            <w:r>
              <w:t xml:space="preserve">2285 </w:t>
            </w:r>
          </w:p>
        </w:tc>
        <w:tc>
          <w:tcPr>
            <w:tcW w:w="1416" w:type="dxa"/>
            <w:tcBorders>
              <w:top w:val="single" w:sz="4" w:space="0" w:color="000000"/>
              <w:left w:val="single" w:sz="4" w:space="0" w:color="000000"/>
              <w:bottom w:val="single" w:sz="18" w:space="0" w:color="000000"/>
              <w:right w:val="single" w:sz="4" w:space="0" w:color="000000"/>
            </w:tcBorders>
          </w:tcPr>
          <w:p>
            <w:pPr>
              <w:spacing w:line="259" w:lineRule="auto"/>
              <w:jc w:val="center"/>
            </w:pPr>
            <w:r>
              <w:rPr>
                <w:rFonts w:ascii="Calibri" w:eastAsia="Calibri" w:hAnsi="Calibri" w:cs="Calibri"/>
                <w:sz w:val="24"/>
              </w:rPr>
              <w:t>Imposable à l’IRPP</w:t>
            </w:r>
            <w:r>
              <w:t xml:space="preserve"> </w:t>
            </w:r>
          </w:p>
        </w:tc>
        <w:tc>
          <w:tcPr>
            <w:tcW w:w="1695" w:type="dxa"/>
            <w:tcBorders>
              <w:top w:val="single" w:sz="4" w:space="0" w:color="000000"/>
              <w:left w:val="single" w:sz="4" w:space="0" w:color="000000"/>
              <w:bottom w:val="single" w:sz="18" w:space="0" w:color="000000"/>
              <w:right w:val="single" w:sz="17" w:space="0" w:color="000000"/>
            </w:tcBorders>
            <w:vAlign w:val="center"/>
          </w:tcPr>
          <w:p>
            <w:pPr>
              <w:spacing w:line="259" w:lineRule="auto"/>
              <w:ind w:right="52"/>
              <w:jc w:val="center"/>
            </w:pPr>
            <w:r>
              <w:rPr>
                <w:rFonts w:ascii="Calibri" w:eastAsia="Calibri" w:hAnsi="Calibri" w:cs="Calibri"/>
                <w:sz w:val="24"/>
              </w:rPr>
              <w:t>CSG / CRDS</w:t>
            </w:r>
            <w:r>
              <w:t xml:space="preserve"> </w:t>
            </w:r>
          </w:p>
        </w:tc>
      </w:tr>
    </w:tbl>
    <w:p>
      <w:pPr>
        <w:spacing w:after="250"/>
      </w:pPr>
      <w:r>
        <w:t xml:space="preserve"> </w:t>
      </w:r>
    </w:p>
    <w:p>
      <w:pPr>
        <w:jc w:val="both"/>
        <w:rPr>
          <w:sz w:val="24"/>
          <w:szCs w:val="28"/>
        </w:rPr>
      </w:pPr>
      <w:r>
        <w:rPr>
          <w:sz w:val="22"/>
          <w:szCs w:val="24"/>
        </w:rPr>
        <w:t>Nota Bene : s’agissant des tranches de l’ISRC soumises à la fois à l’IRPP et aux cotisations sociales le code 2285 est réservé aux ISRC dont le montant excède 10 PASS, le code 2284 étant utilisé pour les ISRC ne dépassant pas 10 PASS.</w:t>
      </w:r>
    </w:p>
    <w:p>
      <w:pPr>
        <w:spacing w:after="234" w:line="239" w:lineRule="auto"/>
        <w:ind w:left="-5" w:right="50"/>
        <w:rPr>
          <w:sz w:val="22"/>
          <w:szCs w:val="24"/>
        </w:rPr>
      </w:pPr>
      <w:r>
        <w:rPr>
          <w:b/>
          <w:i/>
          <w:sz w:val="22"/>
          <w:szCs w:val="24"/>
        </w:rPr>
        <w:t xml:space="preserve">Agent ne pouvant pas bénéficier d’une retraite au sens de l’article 80 duodecies, 6° du Code général des impôts </w:t>
      </w:r>
    </w:p>
    <w:p>
      <w:pPr>
        <w:spacing w:after="0"/>
        <w:ind w:left="2"/>
        <w:rPr>
          <w:sz w:val="22"/>
        </w:rPr>
      </w:pPr>
    </w:p>
    <w:p>
      <w:pPr>
        <w:shd w:val="clear" w:color="auto" w:fill="C6D5A3"/>
        <w:spacing w:after="120" w:line="100" w:lineRule="atLeast"/>
        <w:jc w:val="both"/>
        <w:rPr>
          <w:sz w:val="22"/>
        </w:rPr>
      </w:pPr>
      <w:r>
        <w:rPr>
          <w:b/>
          <w:bCs/>
          <w:sz w:val="22"/>
          <w:u w:val="single"/>
        </w:rPr>
        <w:t xml:space="preserve">Exemple </w:t>
      </w:r>
      <w:r>
        <w:rPr>
          <w:sz w:val="22"/>
        </w:rPr>
        <w:t>:</w:t>
      </w:r>
    </w:p>
    <w:p>
      <w:pPr>
        <w:spacing w:after="3" w:line="284" w:lineRule="auto"/>
        <w:ind w:left="-3"/>
        <w:jc w:val="both"/>
        <w:rPr>
          <w:sz w:val="22"/>
          <w:szCs w:val="24"/>
        </w:rPr>
      </w:pPr>
      <w:r>
        <w:rPr>
          <w:sz w:val="22"/>
          <w:szCs w:val="24"/>
        </w:rPr>
        <w:t xml:space="preserve">Un contractuel sans droit à retraite au sens de l’article 80 duodecies, 6° du Code général des impôts perçoit 5 368 € bruts mensuels et a 24 ans d’ancienneté. Une ISRC de 50 460 € d’ISRC (montant plancher) est versée à l’agent.  </w:t>
      </w:r>
    </w:p>
    <w:p>
      <w:pPr>
        <w:spacing w:after="27"/>
        <w:rPr>
          <w:sz w:val="22"/>
          <w:szCs w:val="24"/>
        </w:rPr>
      </w:pPr>
      <w:r>
        <w:rPr>
          <w:sz w:val="22"/>
          <w:szCs w:val="24"/>
        </w:rPr>
        <w:t xml:space="preserve"> </w:t>
      </w:r>
    </w:p>
    <w:p>
      <w:pPr>
        <w:ind w:left="-3" w:right="52"/>
        <w:rPr>
          <w:sz w:val="22"/>
          <w:szCs w:val="24"/>
        </w:rPr>
      </w:pPr>
      <w:r>
        <w:rPr>
          <w:sz w:val="22"/>
          <w:szCs w:val="24"/>
        </w:rPr>
        <w:t xml:space="preserve">L’ISRC est liquidée sous le code indemnité 0077 avec le montant de 50 460 € (le code 0077 concernera a priori la grande majorité des cas de liquidation de l’ISRC). </w:t>
      </w:r>
    </w:p>
    <w:p>
      <w:pPr>
        <w:spacing w:after="16"/>
        <w:rPr>
          <w:sz w:val="22"/>
          <w:szCs w:val="24"/>
        </w:rPr>
      </w:pPr>
      <w:r>
        <w:rPr>
          <w:sz w:val="22"/>
          <w:szCs w:val="24"/>
        </w:rPr>
        <w:t xml:space="preserve"> </w:t>
      </w:r>
    </w:p>
    <w:p>
      <w:pPr>
        <w:jc w:val="both"/>
        <w:rPr>
          <w:sz w:val="24"/>
          <w:szCs w:val="28"/>
        </w:rPr>
      </w:pPr>
      <w:r>
        <w:rPr>
          <w:b/>
          <w:i/>
          <w:sz w:val="22"/>
          <w:szCs w:val="24"/>
        </w:rPr>
        <w:t xml:space="preserve">Agents pouvant bénéficier d’une retraite au sens de l’article 80 duodecies, 6° du Code général </w:t>
      </w:r>
      <w:proofErr w:type="gramStart"/>
      <w:r>
        <w:rPr>
          <w:b/>
          <w:i/>
          <w:sz w:val="22"/>
          <w:szCs w:val="24"/>
        </w:rPr>
        <w:t>des  impôts</w:t>
      </w:r>
      <w:proofErr w:type="gramEnd"/>
      <w:r>
        <w:rPr>
          <w:b/>
          <w:i/>
          <w:sz w:val="22"/>
          <w:szCs w:val="24"/>
        </w:rPr>
        <w:t xml:space="preserve"> :</w:t>
      </w:r>
    </w:p>
    <w:p>
      <w:pPr>
        <w:shd w:val="clear" w:color="auto" w:fill="C6D5A3"/>
        <w:spacing w:after="120" w:line="100" w:lineRule="atLeast"/>
        <w:jc w:val="both"/>
        <w:rPr>
          <w:sz w:val="22"/>
        </w:rPr>
      </w:pPr>
      <w:r>
        <w:rPr>
          <w:b/>
          <w:bCs/>
          <w:sz w:val="22"/>
          <w:u w:val="single"/>
        </w:rPr>
        <w:t xml:space="preserve">Exemple </w:t>
      </w:r>
      <w:r>
        <w:rPr>
          <w:sz w:val="22"/>
        </w:rPr>
        <w:t>:</w:t>
      </w:r>
    </w:p>
    <w:p>
      <w:pPr>
        <w:ind w:left="-3" w:right="52"/>
        <w:jc w:val="both"/>
        <w:rPr>
          <w:sz w:val="22"/>
          <w:szCs w:val="24"/>
        </w:rPr>
      </w:pPr>
      <w:r>
        <w:rPr>
          <w:sz w:val="22"/>
          <w:szCs w:val="24"/>
        </w:rPr>
        <w:t xml:space="preserve">Un contractuel avec droit à retraite au sens de l’article 80 duodecies, 6° du Code général des impôts perçoit 5 368 € bruts mensuels et a 24 ans d’ancienneté. </w:t>
      </w:r>
    </w:p>
    <w:p>
      <w:pPr>
        <w:ind w:left="-3" w:right="52"/>
        <w:rPr>
          <w:sz w:val="22"/>
          <w:szCs w:val="24"/>
        </w:rPr>
      </w:pPr>
      <w:r>
        <w:rPr>
          <w:sz w:val="22"/>
          <w:szCs w:val="24"/>
        </w:rPr>
        <w:t xml:space="preserve">Une ISRC de 128 832 € (montant plafond) est versée à l’agent. </w:t>
      </w:r>
    </w:p>
    <w:p>
      <w:pPr>
        <w:spacing w:after="0"/>
        <w:rPr>
          <w:sz w:val="22"/>
          <w:szCs w:val="24"/>
        </w:rPr>
      </w:pPr>
      <w:r>
        <w:rPr>
          <w:sz w:val="22"/>
          <w:szCs w:val="24"/>
        </w:rPr>
        <w:t xml:space="preserve"> </w:t>
      </w:r>
    </w:p>
    <w:p>
      <w:pPr>
        <w:ind w:left="-3" w:right="52"/>
        <w:rPr>
          <w:sz w:val="22"/>
          <w:szCs w:val="24"/>
        </w:rPr>
      </w:pPr>
      <w:r>
        <w:rPr>
          <w:sz w:val="22"/>
          <w:szCs w:val="24"/>
        </w:rPr>
        <w:t xml:space="preserve">L’agent est exonéré de CSG-CRDS à hauteur de 2 PASS 2023 soit 87 984 € et (128 832 € - 87 984 € = 40 848 €) soumis à CSG-CRDS. </w:t>
      </w:r>
    </w:p>
    <w:p>
      <w:pPr>
        <w:spacing w:after="19"/>
        <w:rPr>
          <w:sz w:val="22"/>
          <w:szCs w:val="24"/>
        </w:rPr>
      </w:pPr>
      <w:r>
        <w:rPr>
          <w:sz w:val="22"/>
          <w:szCs w:val="24"/>
        </w:rPr>
        <w:t xml:space="preserve"> </w:t>
      </w:r>
    </w:p>
    <w:p>
      <w:pPr>
        <w:ind w:left="-3" w:right="52"/>
        <w:rPr>
          <w:sz w:val="22"/>
          <w:szCs w:val="24"/>
        </w:rPr>
      </w:pPr>
      <w:r>
        <w:rPr>
          <w:sz w:val="22"/>
          <w:szCs w:val="24"/>
        </w:rPr>
        <w:t xml:space="preserve">Le montant de l’ISRC est totalement imposable à l’impôt sur le revenu. </w:t>
      </w:r>
    </w:p>
    <w:p>
      <w:pPr>
        <w:spacing w:after="0"/>
      </w:pPr>
      <w:r>
        <w:t xml:space="preserve"> </w:t>
      </w:r>
    </w:p>
    <w:p>
      <w:pPr>
        <w:spacing w:after="1" w:line="239" w:lineRule="auto"/>
        <w:ind w:left="-5" w:right="50"/>
      </w:pPr>
      <w:r>
        <w:rPr>
          <w:b/>
          <w:i/>
        </w:rPr>
        <w:t xml:space="preserve">Outil de calcul de l’ISRC, développé par le CISIRH, avec calcul des montants plancher et plafond et ventilation des montants à transmettre dans le fichier GEST par code indemnité : </w:t>
      </w:r>
      <w:bookmarkStart w:id="44" w:name="simulateur"/>
      <w:bookmarkEnd w:id="44"/>
      <w:r>
        <w:rPr>
          <w:sz w:val="24"/>
          <w:szCs w:val="24"/>
          <w:lang w:eastAsia="fr-FR"/>
        </w:rPr>
        <w:t>:</w:t>
      </w:r>
      <w:r>
        <w:t xml:space="preserve"> </w:t>
      </w:r>
      <w:hyperlink r:id="rId42" w:history="1">
        <w:r>
          <w:rPr>
            <w:rStyle w:val="Lienhypertexte"/>
            <w:color w:val="0000FF"/>
          </w:rPr>
          <w:t>ISRC</w:t>
        </w:r>
      </w:hyperlink>
      <w:r>
        <w:t xml:space="preserve"> </w:t>
      </w:r>
    </w:p>
    <w:p>
      <w:pPr>
        <w:spacing w:after="0"/>
        <w:rPr>
          <w:color w:val="FF0000"/>
        </w:rPr>
      </w:pPr>
    </w:p>
    <w:p>
      <w:pPr>
        <w:spacing w:after="218"/>
      </w:pPr>
      <w:r>
        <w:t xml:space="preserve">                                                                 </w:t>
      </w: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pPr>
    </w:p>
    <w:p>
      <w:pPr>
        <w:spacing w:after="218"/>
        <w:rPr>
          <w:sz w:val="14"/>
          <w:szCs w:val="16"/>
        </w:rPr>
      </w:pPr>
    </w:p>
    <w:p>
      <w:pPr>
        <w:jc w:val="both"/>
      </w:pPr>
      <w:r>
        <w:rPr>
          <w:noProof/>
        </w:rPr>
        <mc:AlternateContent>
          <mc:Choice Requires="wps">
            <w:drawing>
              <wp:anchor distT="0" distB="0" distL="114300" distR="114300" simplePos="0" relativeHeight="252094464"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11"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alt="&quot;&quot;" style="position:absolute;margin-left:-1.95pt;margin-top:21.2pt;width:477.75pt;height:30pt;z-index:-25122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" fillcolor="#5770be" stroked="f" strokeweight="1pt"/>
            </w:pict>
          </mc:Fallback>
        </mc:AlternateContent>
      </w:r>
    </w:p>
    <w:p>
      <w:pPr>
        <w:pStyle w:val="Style3"/>
      </w:pPr>
      <w:bookmarkStart w:id="45" w:name="_Toc237958333"/>
      <w:r>
        <w:rPr>
          <w:b w:val="0"/>
          <w:bCs/>
        </w:rPr>
        <w:t>5.3.2. Procédure de rupture conventionnelle</w:t>
      </w:r>
      <w:bookmarkEnd w:id="45"/>
    </w:p>
    <w:p>
      <w:pPr>
        <w:spacing w:after="120" w:line="100" w:lineRule="atLeast"/>
        <w:jc w:val="both"/>
        <w:rPr>
          <w:sz w:val="24"/>
          <w:szCs w:val="24"/>
        </w:rPr>
      </w:pPr>
    </w:p>
    <w:p>
      <w:pPr>
        <w:jc w:val="both"/>
      </w:pPr>
      <w:r>
        <w:rPr>
          <w:noProof/>
        </w:rPr>
        <w:drawing>
          <wp:inline distT="0" distB="0" distL="0" distR="0">
            <wp:extent cx="5940425" cy="7881699"/>
            <wp:effectExtent l="0" t="0" r="3175" b="5080"/>
            <wp:docPr id="40258" name="Picture 40258"/>
            <wp:cNvGraphicFramePr/>
            <a:graphic xmlns:a="http://schemas.openxmlformats.org/drawingml/2006/main">
              <a:graphicData uri="http://schemas.openxmlformats.org/drawingml/2006/picture">
                <pic:pic xmlns:pic="http://schemas.openxmlformats.org/drawingml/2006/picture">
                  <pic:nvPicPr>
                    <pic:cNvPr id="40258" name="Picture 40258"/>
                    <pic:cNvPicPr/>
                  </pic:nvPicPr>
                  <pic:blipFill>
                    <a:blip r:embed="rId43"/>
                    <a:stretch>
                      <a:fillRect/>
                    </a:stretch>
                  </pic:blipFill>
                  <pic:spPr>
                    <a:xfrm>
                      <a:off x="0" y="0"/>
                      <a:ext cx="5940425" cy="7881699"/>
                    </a:xfrm>
                    <a:prstGeom prst="rect">
                      <a:avLst/>
                    </a:prstGeom>
                  </pic:spPr>
                </pic:pic>
              </a:graphicData>
            </a:graphic>
          </wp:inline>
        </w:drawing>
      </w:r>
    </w:p>
    <w:p>
      <w:pPr>
        <w:spacing w:after="221"/>
        <w:ind w:left="-5"/>
        <w:jc w:val="center"/>
        <w:rPr>
          <w:sz w:val="22"/>
          <w:szCs w:val="24"/>
        </w:rPr>
      </w:pPr>
      <w:r>
        <w:rPr>
          <w:b/>
          <w:sz w:val="22"/>
          <w:szCs w:val="24"/>
        </w:rPr>
        <w:t>Allocation d’aide au retour à l’emploi (ARE) et ISRC</w:t>
      </w:r>
    </w:p>
    <w:p>
      <w:pPr>
        <w:spacing w:after="236"/>
        <w:ind w:left="-3" w:right="52"/>
        <w:jc w:val="both"/>
        <w:rPr>
          <w:sz w:val="22"/>
          <w:szCs w:val="24"/>
        </w:rPr>
      </w:pPr>
      <w:r>
        <w:rPr>
          <w:sz w:val="22"/>
          <w:szCs w:val="24"/>
        </w:rPr>
        <w:t xml:space="preserve">Un agent ayant quitté l’administration pour motif de rupture conventionnelle a le droit à l’aide au retour à l’emploi. </w:t>
      </w:r>
    </w:p>
    <w:p>
      <w:pPr>
        <w:spacing w:after="243"/>
        <w:ind w:left="-3" w:right="52"/>
        <w:jc w:val="both"/>
        <w:rPr>
          <w:sz w:val="22"/>
          <w:szCs w:val="24"/>
        </w:rPr>
      </w:pPr>
      <w:r>
        <w:rPr>
          <w:sz w:val="22"/>
          <w:szCs w:val="24"/>
        </w:rPr>
        <w:t xml:space="preserve">Cependant le versement de l’aide au retour à l’emploi est soumis à conditions. </w:t>
      </w:r>
    </w:p>
    <w:p>
      <w:pPr>
        <w:spacing w:after="221"/>
        <w:ind w:left="-3" w:right="52"/>
        <w:jc w:val="both"/>
        <w:rPr>
          <w:sz w:val="22"/>
          <w:szCs w:val="24"/>
        </w:rPr>
      </w:pPr>
      <w:r>
        <w:rPr>
          <w:sz w:val="22"/>
          <w:szCs w:val="24"/>
        </w:rPr>
        <w:t xml:space="preserve">Le point de départ de versement de l’ARE peut être différé en cas de versement de l’ISRC. </w:t>
      </w:r>
    </w:p>
    <w:p>
      <w:pPr>
        <w:jc w:val="both"/>
        <w:rPr>
          <w:sz w:val="22"/>
          <w:szCs w:val="24"/>
        </w:rPr>
      </w:pPr>
      <w:r>
        <w:rPr>
          <w:sz w:val="22"/>
          <w:szCs w:val="24"/>
        </w:rPr>
        <w:t>Lorsque l’ISRC dépasse le montant plancher, le versement de l’ARE peut être décalé jusqu’à 150 jours calendaires</w:t>
      </w:r>
    </w:p>
    <w:p>
      <w:pPr>
        <w:jc w:val="both"/>
        <w:rPr>
          <w:sz w:val="22"/>
          <w:szCs w:val="24"/>
        </w:rPr>
      </w:pPr>
      <w:r>
        <w:rPr>
          <w:sz w:val="22"/>
          <w:szCs w:val="24"/>
        </w:rPr>
        <w:t>En effet en plus du délai incompressible de 7 jours avant le versement de l’ARE, Pôle Emploi prend en compte la fraction supérieure au montant plancher de l’ISRC pour calculer un différé d’indemnisation spécifique, dans les conditions prévues par la réglementation d’assurance.</w:t>
      </w:r>
    </w:p>
    <w:p>
      <w:pPr>
        <w:spacing w:after="237"/>
        <w:ind w:left="-3" w:right="52"/>
        <w:jc w:val="both"/>
        <w:rPr>
          <w:sz w:val="22"/>
          <w:szCs w:val="24"/>
        </w:rPr>
      </w:pPr>
      <w:r>
        <w:rPr>
          <w:sz w:val="22"/>
          <w:szCs w:val="24"/>
        </w:rPr>
        <w:t xml:space="preserve">A titre d’exemple pour juin 2021, selon les textes en vigueur sur ce mois : elle divise ce montant par 95,8 et obtient le nombre de jours, arrondi à l’entier inférieur, pendant lequel l’ARE ne sera pas versée dans la limite de 150 jours calendaires (cf. décret n° 2019-797 du 26 juillet 2019 article 21 §1 modifié par le décret n° 2021-346 du 30 mars 2021 portant diverses mesures relatives au régime d'assurance chômage). </w:t>
      </w:r>
    </w:p>
    <w:p>
      <w:pPr>
        <w:spacing w:after="232"/>
        <w:ind w:left="-3" w:right="52"/>
        <w:jc w:val="both"/>
        <w:rPr>
          <w:sz w:val="22"/>
          <w:szCs w:val="24"/>
        </w:rPr>
      </w:pPr>
      <w:r>
        <w:rPr>
          <w:sz w:val="22"/>
          <w:szCs w:val="24"/>
        </w:rPr>
        <w:t xml:space="preserve">Dans la mesure où la réglementation d’assurance chômage est très variable, il est préconisé de se reporter au site de Pôle emploi qui est actualisé très régulièrement. </w:t>
      </w:r>
    </w:p>
    <w:p>
      <w:pPr>
        <w:jc w:val="both"/>
        <w:rPr>
          <w:sz w:val="24"/>
          <w:szCs w:val="28"/>
        </w:rPr>
      </w:pPr>
      <w:r>
        <w:rPr>
          <w:sz w:val="22"/>
          <w:szCs w:val="24"/>
        </w:rPr>
        <w:t>Le montant de l’ISRC n’est pas pris en compte dans le calcul du montant de l’ARE (comme les autres indemnités liées à la rupture de la relation de travail).</w:t>
      </w:r>
    </w:p>
    <w:p>
      <w:pPr>
        <w:rPr>
          <w:rStyle w:val="lev"/>
          <w:b w:val="0"/>
          <w:bCs w:val="0"/>
          <w:sz w:val="22"/>
        </w:rPr>
      </w:pPr>
      <w:r>
        <w:rPr>
          <w:rStyle w:val="lev"/>
          <w:b w:val="0"/>
          <w:bCs w:val="0"/>
          <w:sz w:val="22"/>
        </w:rPr>
        <w:br w:type="page"/>
      </w:r>
    </w:p>
    <w:p>
      <w:pPr>
        <w:pStyle w:val="Style1"/>
      </w:pPr>
      <w:bookmarkStart w:id="46" w:name="_Toc237958334"/>
      <w:r>
        <w:rPr>
          <w:noProof/>
          <w:szCs w:val="84"/>
        </w:rPr>
        <mc:AlternateContent>
          <mc:Choice Requires="wps">
            <w:drawing>
              <wp:anchor distT="0" distB="0" distL="114300" distR="114300" simplePos="0" relativeHeight="252076032" behindDoc="1" locked="0" layoutInCell="1" allowOverlap="1">
                <wp:simplePos x="0" y="0"/>
                <wp:positionH relativeFrom="column">
                  <wp:posOffset>-723900</wp:posOffset>
                </wp:positionH>
                <wp:positionV relativeFrom="paragraph">
                  <wp:posOffset>-899160</wp:posOffset>
                </wp:positionV>
                <wp:extent cx="7581900" cy="109061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 o:spid="_x0000_s1026" style="position:absolute;margin-left:-57pt;margin-top:-70.8pt;width:597pt;height:858.75pt;z-index:-25124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" fillcolor="#91ae4f" strokecolor="#1f3763 [1604]" strokeweight="1pt">
                <v:fill opacity="39321f"/>
              </v:rect>
            </w:pict>
          </mc:Fallback>
        </mc:AlternateContent>
      </w:r>
      <w:bookmarkEnd w:id="46"/>
    </w:p>
    <w:p>
      <w:pPr>
        <w:pStyle w:val="Style1"/>
      </w:pPr>
    </w:p>
    <w:p>
      <w:pPr>
        <w:pStyle w:val="Style1"/>
      </w:pPr>
    </w:p>
    <w:p>
      <w:pPr>
        <w:pStyle w:val="Style1"/>
        <w:jc w:val="right"/>
        <w:rPr>
          <w:rFonts w:ascii="Marianne ExtraBold" w:hAnsi="Marianne ExtraBold"/>
          <w:sz w:val="96"/>
          <w:szCs w:val="32"/>
        </w:rPr>
      </w:pPr>
      <w:bookmarkStart w:id="47" w:name="_Toc237958335"/>
      <w:r>
        <w:t>6. Mise en œuvre</w:t>
      </w:r>
      <w:r>
        <w:br/>
        <w:t>dans les SIRH</w:t>
      </w:r>
      <w:bookmarkEnd w:id="47"/>
      <w:r>
        <w:br/>
      </w:r>
      <w:r>
        <w:br w:type="page"/>
      </w:r>
    </w:p>
    <w:p>
      <w:pPr>
        <w:pStyle w:val="Style2"/>
        <w:ind w:left="567"/>
      </w:pPr>
      <w:bookmarkStart w:id="48" w:name="_Toc237958336"/>
      <w:r>
        <w:rPr>
          <w:noProof/>
        </w:rPr>
        <mc:AlternateContent>
          <mc:Choice Requires="wps">
            <w:drawing>
              <wp:anchor distT="0" distB="0" distL="114300" distR="114300" simplePos="0" relativeHeight="252100608" behindDoc="0" locked="0" layoutInCell="1" allowOverlap="1">
                <wp:simplePos x="0" y="0"/>
                <wp:positionH relativeFrom="column">
                  <wp:posOffset>-266700</wp:posOffset>
                </wp:positionH>
                <wp:positionV relativeFrom="paragraph">
                  <wp:posOffset>104775</wp:posOffset>
                </wp:positionV>
                <wp:extent cx="550545" cy="575945"/>
                <wp:effectExtent l="19050" t="0" r="1905" b="14605"/>
                <wp:wrapNone/>
                <wp:docPr id="17" name="Larm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545" cy="575945"/>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7" o:spid="_x0000_s1026" alt="&quot;&quot;" style="position:absolute;margin-left:-21pt;margin-top:8.25pt;width:43.35pt;height:45.35pt;rotation:180;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545,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" path="m,287973c,128930,123244,,275273,v92930,,185860,-1227,278790,-3680c551718,93537,550545,190755,550545,287973v,159043,-123244,287973,-275273,287973c123243,575946,-1,447016,-1,287973r1,xe" fillcolor="#466964" stroked="f" strokeweight=".26mm">
                <v:path arrowok="t" o:connecttype="custom" o:connectlocs="0,287973;275273,0;554063,-3680;550545,287973;275272,575946;-1,287973;0,287973" o:connectangles="0,0,0,0,0,0,0"/>
                <o:lock v:ext="edit" aspectratio="t"/>
              </v:shape>
            </w:pict>
          </mc:Fallback>
        </mc:AlternateContent>
      </w:r>
      <w:r>
        <w:t xml:space="preserve">6.1 </w:t>
      </w:r>
      <w:r>
        <w:rPr>
          <w:sz w:val="48"/>
          <w:szCs w:val="48"/>
        </w:rPr>
        <w:t>Mise en œuvre dans l’application PAYSAGE et dans les SI et services RH</w:t>
      </w:r>
      <w:bookmarkEnd w:id="48"/>
    </w:p>
    <w:p>
      <w:pPr>
        <w:jc w:val="both"/>
      </w:pPr>
    </w:p>
    <w:p>
      <w:pPr>
        <w:jc w:val="both"/>
      </w:pPr>
      <w:r>
        <w:rPr>
          <w:noProof/>
        </w:rPr>
        <mc:AlternateContent>
          <mc:Choice Requires="wps">
            <w:drawing>
              <wp:anchor distT="0" distB="0" distL="114300" distR="114300" simplePos="0" relativeHeight="252096512" behindDoc="1" locked="0" layoutInCell="1" allowOverlap="1">
                <wp:simplePos x="0" y="0"/>
                <wp:positionH relativeFrom="column">
                  <wp:posOffset>-24766</wp:posOffset>
                </wp:positionH>
                <wp:positionV relativeFrom="paragraph">
                  <wp:posOffset>269240</wp:posOffset>
                </wp:positionV>
                <wp:extent cx="6067425" cy="381000"/>
                <wp:effectExtent l="0" t="0" r="9525" b="0"/>
                <wp:wrapNone/>
                <wp:docPr id="46" name="Rectangle 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3810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26" alt="&quot;&quot;" style="position:absolute;margin-left:-1.95pt;margin-top:21.2pt;width:477.75pt;height:30pt;z-index:-2512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" fillcolor="#5770be" stroked="f" strokeweight="1pt"/>
            </w:pict>
          </mc:Fallback>
        </mc:AlternateContent>
      </w:r>
    </w:p>
    <w:p>
      <w:pPr>
        <w:pStyle w:val="Style3"/>
      </w:pPr>
      <w:bookmarkStart w:id="49" w:name="_Toc237958337"/>
      <w:r>
        <w:rPr>
          <w:b w:val="0"/>
          <w:bCs/>
        </w:rPr>
        <w:t>6.1.1. Mise en œuvre dans l’application PAYSAGE</w:t>
      </w:r>
      <w:bookmarkEnd w:id="49"/>
    </w:p>
    <w:p>
      <w:pPr>
        <w:spacing w:after="120" w:line="100" w:lineRule="atLeast"/>
        <w:jc w:val="both"/>
        <w:rPr>
          <w:sz w:val="24"/>
          <w:szCs w:val="24"/>
        </w:rPr>
      </w:pPr>
    </w:p>
    <w:p>
      <w:pPr>
        <w:spacing w:after="223"/>
        <w:ind w:left="-3" w:right="52"/>
        <w:jc w:val="both"/>
        <w:rPr>
          <w:rFonts w:cs="Times New Roman"/>
          <w:color w:val="000000"/>
          <w:sz w:val="22"/>
        </w:rPr>
      </w:pPr>
      <w:r>
        <w:rPr>
          <w:rFonts w:cs="Times New Roman"/>
          <w:color w:val="000000"/>
          <w:sz w:val="22"/>
        </w:rPr>
        <w:t xml:space="preserve">La mise en place de l’ISRC est effectuée via les codes indemnités prévus à cet effet : 0077, 0758, 2284, 2285 et 2298 à compter de la paie d’octobre 2020. </w:t>
      </w:r>
    </w:p>
    <w:p>
      <w:pPr>
        <w:spacing w:after="198"/>
        <w:ind w:left="-3" w:right="52"/>
        <w:jc w:val="both"/>
        <w:rPr>
          <w:rFonts w:cs="Times New Roman"/>
          <w:color w:val="000000"/>
          <w:sz w:val="22"/>
        </w:rPr>
      </w:pPr>
      <w:r>
        <w:rPr>
          <w:rFonts w:cs="Times New Roman"/>
          <w:color w:val="000000"/>
          <w:sz w:val="22"/>
        </w:rPr>
        <w:t xml:space="preserve">La liquidation de l’ISRC est prévue dans l’application PAY mais pas dans ETR (paie des agents affectés à l’étranger). </w:t>
      </w:r>
    </w:p>
    <w:p>
      <w:pPr>
        <w:spacing w:after="200"/>
        <w:ind w:left="-3" w:right="52"/>
        <w:jc w:val="both"/>
        <w:rPr>
          <w:rFonts w:cs="Times New Roman"/>
          <w:color w:val="000000"/>
          <w:sz w:val="22"/>
        </w:rPr>
      </w:pPr>
      <w:r>
        <w:rPr>
          <w:rFonts w:cs="Times New Roman"/>
          <w:color w:val="000000"/>
          <w:sz w:val="22"/>
        </w:rPr>
        <w:t xml:space="preserve">Le mouvement est à notifier par mouvement 22 avec un montant précalculé en donnée B ; la donnée A n’est pas servie. Le format de la donnée B est limité à 99999,99 euros. </w:t>
      </w:r>
    </w:p>
    <w:p>
      <w:pPr>
        <w:jc w:val="both"/>
        <w:rPr>
          <w:rFonts w:cs="Times New Roman"/>
          <w:color w:val="000000"/>
          <w:sz w:val="22"/>
        </w:rPr>
      </w:pPr>
      <w:r>
        <w:rPr>
          <w:rFonts w:cs="Times New Roman"/>
          <w:color w:val="000000"/>
          <w:sz w:val="22"/>
        </w:rPr>
        <w:t>Par conséquent, si le montant à liquider sur un code dépasse ce montant, il convient d’utiliser des numéros d’ordre supplémentaire dans la notification du mouvement 22.</w:t>
      </w:r>
    </w:p>
    <w:p>
      <w:pPr>
        <w:jc w:val="both"/>
        <w:rPr>
          <w:rFonts w:cs="Times New Roman"/>
          <w:color w:val="000000"/>
          <w:sz w:val="22"/>
        </w:rPr>
      </w:pPr>
      <w:r>
        <w:rPr>
          <w:rFonts w:cs="Times New Roman"/>
          <w:color w:val="000000"/>
          <w:sz w:val="22"/>
        </w:rPr>
        <w:t>Par exemple, si l’ISRC s’élève à 450 000 € (cas d’une ISRC dont le montant est supérieure 10 PASS), il conviendra d’utiliser sous le code 2285, en mouvement 22, la donnée B 99999,99 € sous les numéros d’ordre 00, 01, 02, 03 (soit 4 x 99 9999,99 = 399 999,96 €) et, sous le numéro d’ordre 04 la différence soit le montant de 50 000,04 €.</w:t>
      </w:r>
    </w:p>
    <w:p>
      <w:pPr>
        <w:spacing w:after="202"/>
        <w:ind w:left="-3" w:right="52"/>
        <w:jc w:val="both"/>
        <w:rPr>
          <w:rFonts w:cs="Times New Roman"/>
          <w:color w:val="000000"/>
          <w:sz w:val="22"/>
        </w:rPr>
      </w:pPr>
      <w:r>
        <w:rPr>
          <w:rFonts w:cs="Times New Roman"/>
          <w:color w:val="000000"/>
          <w:sz w:val="22"/>
        </w:rPr>
        <w:t xml:space="preserve">Comme il s’agit d’un versement ponctuel, la date d’effet doit être au premier du dernier mois payé en entier avant la date de la fin de fonction. </w:t>
      </w:r>
    </w:p>
    <w:p>
      <w:pPr>
        <w:spacing w:after="240"/>
        <w:ind w:left="-3" w:right="52"/>
        <w:jc w:val="both"/>
        <w:rPr>
          <w:rFonts w:cs="Times New Roman"/>
          <w:color w:val="000000"/>
          <w:sz w:val="22"/>
        </w:rPr>
      </w:pPr>
      <w:r>
        <w:rPr>
          <w:rFonts w:cs="Times New Roman"/>
          <w:color w:val="000000"/>
          <w:sz w:val="22"/>
        </w:rPr>
        <w:t xml:space="preserve">Pour les dossiers des agents qui sont déjà en fin de fonctions pour mise en disponibilité, la date d’effet du mouvement 22 doit être le premier du dernier mois rémunéré qui ne peut pas correspondre au mois au cours duquel la convention a été signée. </w:t>
      </w:r>
    </w:p>
    <w:p>
      <w:pPr>
        <w:spacing w:after="228"/>
        <w:ind w:left="-3" w:right="52"/>
        <w:jc w:val="both"/>
        <w:rPr>
          <w:rFonts w:cs="Times New Roman"/>
          <w:color w:val="000000"/>
          <w:sz w:val="22"/>
        </w:rPr>
      </w:pPr>
      <w:r>
        <w:rPr>
          <w:rFonts w:cs="Times New Roman"/>
          <w:color w:val="000000"/>
          <w:sz w:val="22"/>
        </w:rPr>
        <w:t xml:space="preserve">La mise en paiement ne peut intervenir qu’une fois le délai de rétraction dépassé. </w:t>
      </w:r>
    </w:p>
    <w:p>
      <w:pPr>
        <w:spacing w:after="215"/>
        <w:ind w:left="-3" w:right="52"/>
        <w:jc w:val="both"/>
        <w:rPr>
          <w:rFonts w:cs="Times New Roman"/>
          <w:color w:val="000000"/>
          <w:sz w:val="22"/>
        </w:rPr>
      </w:pPr>
      <w:r>
        <w:rPr>
          <w:rFonts w:cs="Times New Roman"/>
          <w:color w:val="000000"/>
          <w:sz w:val="22"/>
        </w:rPr>
        <w:t xml:space="preserve">Le bureau 2FCE-2A a diffusé le 2 septembre 2020 les modalités d’usage dans la note de maintenance « Fiche codes PAY paiement ISRC 2020 ». </w:t>
      </w:r>
    </w:p>
    <w:p>
      <w:pPr>
        <w:spacing w:after="222"/>
        <w:ind w:left="-5"/>
        <w:rPr>
          <w:sz w:val="22"/>
          <w:szCs w:val="24"/>
        </w:rPr>
      </w:pPr>
      <w:r>
        <w:rPr>
          <w:b/>
          <w:sz w:val="22"/>
          <w:szCs w:val="24"/>
          <w:u w:val="single" w:color="000000"/>
        </w:rPr>
        <w:t xml:space="preserve">Codes éléments BJ utilisés sur le bulletin de paie pour </w:t>
      </w:r>
      <w:proofErr w:type="gramStart"/>
      <w:r>
        <w:rPr>
          <w:b/>
          <w:sz w:val="22"/>
          <w:szCs w:val="24"/>
          <w:u w:val="single" w:color="000000"/>
        </w:rPr>
        <w:t>l’ISRC:</w:t>
      </w:r>
      <w:proofErr w:type="gramEnd"/>
      <w:r>
        <w:rPr>
          <w:b/>
          <w:sz w:val="22"/>
          <w:szCs w:val="24"/>
        </w:rPr>
        <w:t xml:space="preserve"> </w:t>
      </w:r>
    </w:p>
    <w:p>
      <w:pPr>
        <w:spacing w:after="0"/>
        <w:ind w:left="-3" w:right="52"/>
        <w:rPr>
          <w:sz w:val="22"/>
          <w:szCs w:val="24"/>
        </w:rPr>
      </w:pPr>
      <w:r>
        <w:rPr>
          <w:sz w:val="22"/>
          <w:szCs w:val="24"/>
        </w:rPr>
        <w:t xml:space="preserve">200077 IND. SPECIF. RUPT. CONV.  </w:t>
      </w:r>
    </w:p>
    <w:p>
      <w:pPr>
        <w:spacing w:after="0"/>
        <w:ind w:left="-3" w:right="52"/>
        <w:rPr>
          <w:sz w:val="22"/>
          <w:szCs w:val="24"/>
        </w:rPr>
      </w:pPr>
      <w:r>
        <w:rPr>
          <w:sz w:val="22"/>
          <w:szCs w:val="24"/>
        </w:rPr>
        <w:t xml:space="preserve">200758 IND. SPECIF. RUPT. CONV. </w:t>
      </w:r>
    </w:p>
    <w:p>
      <w:pPr>
        <w:spacing w:after="0"/>
        <w:ind w:left="-3" w:right="52"/>
        <w:rPr>
          <w:sz w:val="22"/>
          <w:szCs w:val="24"/>
        </w:rPr>
      </w:pPr>
      <w:r>
        <w:rPr>
          <w:sz w:val="22"/>
          <w:szCs w:val="24"/>
        </w:rPr>
        <w:t xml:space="preserve">202284 IND. SPECIF. RUPT. CONV. </w:t>
      </w:r>
    </w:p>
    <w:p>
      <w:pPr>
        <w:spacing w:after="0"/>
        <w:ind w:left="-3" w:right="52"/>
        <w:rPr>
          <w:sz w:val="22"/>
          <w:szCs w:val="24"/>
        </w:rPr>
      </w:pPr>
      <w:r>
        <w:rPr>
          <w:sz w:val="22"/>
          <w:szCs w:val="24"/>
        </w:rPr>
        <w:t xml:space="preserve">202285 IND. SPECIF. RUPT. CONV. </w:t>
      </w:r>
    </w:p>
    <w:p>
      <w:pPr>
        <w:spacing w:after="0"/>
        <w:ind w:left="-3" w:right="52"/>
        <w:rPr>
          <w:sz w:val="22"/>
          <w:szCs w:val="24"/>
        </w:rPr>
      </w:pPr>
      <w:r>
        <w:rPr>
          <w:sz w:val="22"/>
          <w:szCs w:val="24"/>
        </w:rPr>
        <w:t xml:space="preserve">202298 IND. SPECIF. RUPT. CONV. </w:t>
      </w:r>
    </w:p>
    <w:p>
      <w:pPr>
        <w:jc w:val="both"/>
        <w:rPr>
          <w:sz w:val="22"/>
        </w:rPr>
      </w:pPr>
    </w:p>
    <w:p>
      <w:pPr>
        <w:jc w:val="both"/>
      </w:pPr>
      <w:r>
        <w:rPr>
          <w:noProof/>
        </w:rPr>
        <mc:AlternateContent>
          <mc:Choice Requires="wps">
            <w:drawing>
              <wp:anchor distT="0" distB="0" distL="114300" distR="114300" simplePos="0" relativeHeight="252098560" behindDoc="1" locked="0" layoutInCell="1" allowOverlap="1">
                <wp:simplePos x="0" y="0"/>
                <wp:positionH relativeFrom="column">
                  <wp:posOffset>-24765</wp:posOffset>
                </wp:positionH>
                <wp:positionV relativeFrom="paragraph">
                  <wp:posOffset>272415</wp:posOffset>
                </wp:positionV>
                <wp:extent cx="6067425" cy="609600"/>
                <wp:effectExtent l="0" t="0" r="9525" b="0"/>
                <wp:wrapNone/>
                <wp:docPr id="47" name="Rectangle 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7425" cy="609600"/>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26" alt="&quot;&quot;" style="position:absolute;margin-left:-1.95pt;margin-top:21.45pt;width:477.75pt;height:48pt;z-index:-25121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" fillcolor="#5770be" stroked="f" strokeweight="1pt"/>
            </w:pict>
          </mc:Fallback>
        </mc:AlternateContent>
      </w:r>
    </w:p>
    <w:p>
      <w:pPr>
        <w:pStyle w:val="Style3"/>
        <w:rPr>
          <w:sz w:val="24"/>
        </w:rPr>
      </w:pPr>
      <w:bookmarkStart w:id="50" w:name="_Toc237958338"/>
      <w:r>
        <w:rPr>
          <w:b w:val="0"/>
          <w:bCs/>
        </w:rPr>
        <w:t>6.1.2. Mise en œuvre dans les systèmes d’information (SI) et services RH</w:t>
      </w:r>
      <w:bookmarkEnd w:id="50"/>
    </w:p>
    <w:p>
      <w:pPr>
        <w:jc w:val="both"/>
      </w:pPr>
    </w:p>
    <w:p>
      <w:pPr>
        <w:spacing w:after="249"/>
        <w:ind w:left="-3" w:right="52"/>
        <w:rPr>
          <w:sz w:val="22"/>
          <w:szCs w:val="24"/>
        </w:rPr>
      </w:pPr>
      <w:r>
        <w:rPr>
          <w:sz w:val="22"/>
          <w:szCs w:val="24"/>
        </w:rPr>
        <w:t xml:space="preserve">Dans le portail des SIRH, peuvent être mis à disposition : </w:t>
      </w:r>
    </w:p>
    <w:p>
      <w:pPr>
        <w:pStyle w:val="Paragraphedeliste"/>
        <w:numPr>
          <w:ilvl w:val="0"/>
          <w:numId w:val="30"/>
        </w:numPr>
        <w:spacing w:after="120" w:line="100" w:lineRule="atLeast"/>
        <w:jc w:val="both"/>
        <w:rPr>
          <w:sz w:val="22"/>
          <w:szCs w:val="24"/>
        </w:rPr>
      </w:pPr>
      <w:proofErr w:type="gramStart"/>
      <w:r>
        <w:rPr>
          <w:sz w:val="22"/>
          <w:szCs w:val="24"/>
        </w:rPr>
        <w:t>un</w:t>
      </w:r>
      <w:proofErr w:type="gramEnd"/>
      <w:r>
        <w:rPr>
          <w:sz w:val="22"/>
          <w:szCs w:val="24"/>
        </w:rPr>
        <w:t xml:space="preserve"> formulaire d’attestation sur l’honneur de non perception de l’ISRC pour les recrutements à compter de 2020,</w:t>
      </w:r>
    </w:p>
    <w:p>
      <w:pPr>
        <w:pStyle w:val="Paragraphedeliste"/>
        <w:numPr>
          <w:ilvl w:val="0"/>
          <w:numId w:val="30"/>
        </w:numPr>
        <w:spacing w:after="120" w:line="100" w:lineRule="atLeast"/>
        <w:jc w:val="both"/>
        <w:rPr>
          <w:sz w:val="22"/>
          <w:szCs w:val="24"/>
        </w:rPr>
      </w:pPr>
      <w:proofErr w:type="gramStart"/>
      <w:r>
        <w:rPr>
          <w:sz w:val="22"/>
          <w:szCs w:val="24"/>
        </w:rPr>
        <w:t>un</w:t>
      </w:r>
      <w:proofErr w:type="gramEnd"/>
      <w:r>
        <w:rPr>
          <w:sz w:val="22"/>
          <w:szCs w:val="24"/>
        </w:rPr>
        <w:t xml:space="preserve"> formulaire de demande d’entretien (agent) pour une rupture conventionnelle</w:t>
      </w:r>
    </w:p>
    <w:p>
      <w:pPr>
        <w:pStyle w:val="Paragraphedeliste"/>
        <w:numPr>
          <w:ilvl w:val="1"/>
          <w:numId w:val="30"/>
        </w:numPr>
        <w:spacing w:after="120" w:line="100" w:lineRule="atLeast"/>
        <w:jc w:val="both"/>
        <w:rPr>
          <w:sz w:val="22"/>
          <w:szCs w:val="24"/>
        </w:rPr>
      </w:pPr>
      <w:proofErr w:type="gramStart"/>
      <w:r>
        <w:rPr>
          <w:sz w:val="22"/>
          <w:szCs w:val="24"/>
        </w:rPr>
        <w:t>un</w:t>
      </w:r>
      <w:proofErr w:type="gramEnd"/>
      <w:r>
        <w:rPr>
          <w:sz w:val="22"/>
          <w:szCs w:val="24"/>
        </w:rPr>
        <w:t xml:space="preserve"> modèle de convention de rupture conventionnelle.</w:t>
      </w:r>
    </w:p>
    <w:p>
      <w:pPr>
        <w:spacing w:after="120" w:line="100" w:lineRule="atLeast"/>
        <w:jc w:val="both"/>
        <w:rPr>
          <w:sz w:val="26"/>
          <w:szCs w:val="28"/>
        </w:rPr>
      </w:pPr>
      <w:r>
        <w:rPr>
          <w:sz w:val="22"/>
          <w:szCs w:val="24"/>
        </w:rPr>
        <w:t>Ces documents, une fois renseignés, peuvent être dématérialisés dans le dossier de l’agent.</w:t>
      </w:r>
    </w:p>
    <w:p>
      <w:pPr>
        <w:spacing w:after="120" w:line="100" w:lineRule="atLeast"/>
        <w:jc w:val="both"/>
      </w:pPr>
    </w:p>
    <w:p>
      <w:pPr>
        <w:pStyle w:val="Style2"/>
        <w:ind w:left="567"/>
      </w:pPr>
      <w:bookmarkStart w:id="51" w:name="_Toc237958339"/>
      <w:r>
        <w:rPr>
          <w:noProof/>
        </w:rPr>
        <mc:AlternateContent>
          <mc:Choice Requires="wps">
            <w:drawing>
              <wp:anchor distT="0" distB="0" distL="114300" distR="114300" simplePos="0" relativeHeight="252078080" behindDoc="0" locked="0" layoutInCell="1" allowOverlap="1">
                <wp:simplePos x="0" y="0"/>
                <wp:positionH relativeFrom="column">
                  <wp:posOffset>-295275</wp:posOffset>
                </wp:positionH>
                <wp:positionV relativeFrom="paragraph">
                  <wp:posOffset>3810</wp:posOffset>
                </wp:positionV>
                <wp:extent cx="550684" cy="576000"/>
                <wp:effectExtent l="19050" t="0" r="1905" b="14605"/>
                <wp:wrapNone/>
                <wp:docPr id="18" name="Larm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8" o:spid="_x0000_s1026" alt="&quot;&quot;" style="position:absolute;margin-left:-23.25pt;margin-top:.3pt;width:43.35pt;height:45.35pt;rotation:180;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 xml:space="preserve">6.2 </w:t>
      </w:r>
      <w:r>
        <w:rPr>
          <w:sz w:val="48"/>
          <w:szCs w:val="48"/>
        </w:rPr>
        <w:t>Modélisation des données dans le noyau RH FPE</w:t>
      </w:r>
      <w:bookmarkEnd w:id="51"/>
    </w:p>
    <w:p>
      <w:pPr>
        <w:jc w:val="both"/>
      </w:pPr>
    </w:p>
    <w:p>
      <w:pPr>
        <w:jc w:val="both"/>
      </w:pPr>
      <w:r>
        <w:rPr>
          <w:sz w:val="22"/>
          <w:szCs w:val="24"/>
        </w:rPr>
        <w:t>Les données relatives à la rupture conventionnelle dans la fonction publique sont décrites dans la nomenclature « motifs de cessation de fonctions » sous le code : MC201 Rupture conventionnelle dans la fonction publique avec une date de début au 01/01/2020 pour les contractuels les ouvriers de l’Etat et les titulaires. Pour ces derniers, la date de fin est au 31/12/2025 compte tenu du caractère expérimental du dispositif pour les fonctionnaires</w:t>
      </w:r>
      <w:r>
        <w:t>.</w:t>
      </w:r>
    </w:p>
    <w:p>
      <w:pPr>
        <w:jc w:val="both"/>
        <w:rPr>
          <w:sz w:val="10"/>
          <w:szCs w:val="12"/>
        </w:rPr>
      </w:pPr>
    </w:p>
    <w:p>
      <w:pPr>
        <w:jc w:val="both"/>
      </w:pPr>
      <w:r>
        <w:rPr>
          <w:noProof/>
        </w:rPr>
        <w:drawing>
          <wp:inline distT="0" distB="0" distL="0" distR="0">
            <wp:extent cx="6171315" cy="3696192"/>
            <wp:effectExtent l="0" t="0" r="127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81571" cy="3702335"/>
                    </a:xfrm>
                    <a:prstGeom prst="rect">
                      <a:avLst/>
                    </a:prstGeom>
                  </pic:spPr>
                </pic:pic>
              </a:graphicData>
            </a:graphic>
          </wp:inline>
        </w:drawing>
      </w:r>
    </w:p>
    <w:p>
      <w:pPr>
        <w:jc w:val="both"/>
        <w:rPr>
          <w:sz w:val="22"/>
          <w:szCs w:val="24"/>
        </w:rPr>
      </w:pPr>
      <w:r>
        <w:rPr>
          <w:sz w:val="22"/>
          <w:szCs w:val="24"/>
        </w:rPr>
        <w:t>Dans les SIRH, le dossier de l’agent sera clôturé à la date de la cessation de fonctions avec le code MC201.</w:t>
      </w:r>
    </w:p>
    <w:p>
      <w:pPr>
        <w:jc w:val="both"/>
        <w:rPr>
          <w:sz w:val="22"/>
          <w:szCs w:val="24"/>
        </w:rPr>
      </w:pPr>
      <w:r>
        <w:rPr>
          <w:sz w:val="22"/>
          <w:szCs w:val="24"/>
          <w:u w:val="single"/>
        </w:rPr>
        <w:t>Point de vigilance</w:t>
      </w:r>
      <w:r>
        <w:rPr>
          <w:sz w:val="22"/>
          <w:szCs w:val="24"/>
        </w:rPr>
        <w:t> : la date de cessation de fonctions dans le noyau RH FPE et les SIRH est une date de fin qui correspond à la date du dernier jour où l’agent est en fonction au sein de l’administration. Par conséquent, cette date est à J-1 de la date mentionnée dans la convention de rupture conventionnelle qui correspond à la date à partir de laquelle l’agent cesse ses fonctions.</w:t>
      </w:r>
    </w:p>
    <w:p>
      <w:pPr>
        <w:jc w:val="both"/>
        <w:rPr>
          <w:sz w:val="22"/>
          <w:szCs w:val="24"/>
        </w:rPr>
      </w:pPr>
      <w:r>
        <w:rPr>
          <w:sz w:val="22"/>
          <w:szCs w:val="24"/>
          <w:u w:val="single"/>
        </w:rPr>
        <w:t>Pour information</w:t>
      </w:r>
      <w:r>
        <w:rPr>
          <w:sz w:val="22"/>
          <w:szCs w:val="24"/>
        </w:rPr>
        <w:t> : Pour les non titulaires de droit privé, le code MC191 Rupture conventionnelle du contrat de travail peut être employé.</w:t>
      </w:r>
    </w:p>
    <w:p>
      <w:pPr>
        <w:spacing w:after="217"/>
        <w:ind w:left="-3" w:right="52"/>
        <w:jc w:val="both"/>
        <w:rPr>
          <w:sz w:val="22"/>
        </w:rPr>
      </w:pPr>
      <w:r>
        <w:rPr>
          <w:sz w:val="22"/>
        </w:rPr>
        <w:t xml:space="preserve">Les codes PAY (sur 4 caractères) ou BJ (sur 6 car.) à utiliser pour le paiement de l’IRSC figurent dans : </w:t>
      </w:r>
    </w:p>
    <w:p>
      <w:pPr>
        <w:numPr>
          <w:ilvl w:val="0"/>
          <w:numId w:val="31"/>
        </w:numPr>
        <w:spacing w:after="171" w:line="271" w:lineRule="auto"/>
        <w:ind w:right="52" w:hanging="360"/>
        <w:jc w:val="both"/>
        <w:rPr>
          <w:sz w:val="22"/>
        </w:rPr>
      </w:pPr>
      <w:proofErr w:type="gramStart"/>
      <w:r>
        <w:rPr>
          <w:sz w:val="22"/>
        </w:rPr>
        <w:t>la</w:t>
      </w:r>
      <w:proofErr w:type="gramEnd"/>
      <w:r>
        <w:rPr>
          <w:sz w:val="22"/>
        </w:rPr>
        <w:t xml:space="preserve"> nomenclature BG_ANNEXES14_ET_15 </w:t>
      </w:r>
    </w:p>
    <w:p>
      <w:pPr>
        <w:spacing w:after="230"/>
        <w:ind w:left="1075"/>
        <w:rPr>
          <w:sz w:val="22"/>
        </w:rPr>
      </w:pPr>
      <w:r>
        <w:rPr>
          <w:sz w:val="22"/>
        </w:rPr>
        <w:t>Lien vers Portail BARRI :</w:t>
      </w:r>
      <w:hyperlink r:id="rId45">
        <w:r>
          <w:rPr>
            <w:sz w:val="22"/>
          </w:rPr>
          <w:t xml:space="preserve"> </w:t>
        </w:r>
      </w:hyperlink>
      <w:r>
        <w:rPr>
          <w:sz w:val="22"/>
        </w:rPr>
        <w:t xml:space="preserve"> </w:t>
      </w:r>
      <w:hyperlink w:history="1"/>
      <w:hyperlink r:id="rId46" w:anchor="/6._NOMENCLATURES_ET_AUTRES_REFERENTIELS?id=gest" w:history="1">
        <w:r>
          <w:rPr>
            <w:rStyle w:val="Lienhypertexte"/>
            <w:color w:val="0070C0"/>
            <w:sz w:val="22"/>
          </w:rPr>
          <w:t>Nomenclatures   PAYE_GEST_BG_ANNEXES14_ET_15_0_25.10.00_25.00.00</w:t>
        </w:r>
      </w:hyperlink>
      <w:hyperlink r:id="rId47">
        <w:r>
          <w:rPr>
            <w:sz w:val="22"/>
          </w:rPr>
          <w:t xml:space="preserve"> </w:t>
        </w:r>
      </w:hyperlink>
    </w:p>
    <w:p>
      <w:pPr>
        <w:numPr>
          <w:ilvl w:val="0"/>
          <w:numId w:val="31"/>
        </w:numPr>
        <w:spacing w:after="171" w:line="271" w:lineRule="auto"/>
        <w:ind w:right="52" w:hanging="360"/>
        <w:jc w:val="both"/>
        <w:rPr>
          <w:sz w:val="22"/>
        </w:rPr>
      </w:pPr>
      <w:proofErr w:type="gramStart"/>
      <w:r>
        <w:rPr>
          <w:sz w:val="22"/>
        </w:rPr>
        <w:t>la</w:t>
      </w:r>
      <w:proofErr w:type="gramEnd"/>
      <w:r>
        <w:rPr>
          <w:sz w:val="22"/>
        </w:rPr>
        <w:t xml:space="preserve"> nomenclature BG_CODES_BJ </w:t>
      </w:r>
    </w:p>
    <w:p>
      <w:pPr>
        <w:spacing w:after="171" w:line="271" w:lineRule="auto"/>
        <w:ind w:left="1080" w:right="52"/>
        <w:jc w:val="both"/>
        <w:rPr>
          <w:rStyle w:val="Lienhypertexte"/>
          <w:color w:val="0070C0"/>
          <w:sz w:val="22"/>
        </w:rPr>
      </w:pPr>
      <w:r>
        <w:rPr>
          <w:sz w:val="22"/>
        </w:rPr>
        <w:t xml:space="preserve">Lien vers Ingres : </w:t>
      </w:r>
      <w:r>
        <w:rPr>
          <w:rStyle w:val="Lienhypertexte"/>
          <w:color w:val="0070C0"/>
          <w:sz w:val="22"/>
        </w:rPr>
        <w:t>Nomenclatures PAYE_GEST_BG_CODE_BJ_0_25.10.00_25.00.00</w:t>
      </w:r>
    </w:p>
    <w:p>
      <w:pPr>
        <w:spacing w:after="0" w:line="271" w:lineRule="auto"/>
        <w:ind w:left="1080" w:right="52"/>
        <w:jc w:val="both"/>
        <w:rPr>
          <w:color w:val="0070C0"/>
          <w:u w:val="single"/>
        </w:rPr>
      </w:pPr>
    </w:p>
    <w:p>
      <w:pPr>
        <w:numPr>
          <w:ilvl w:val="0"/>
          <w:numId w:val="31"/>
        </w:numPr>
        <w:spacing w:after="171" w:line="271" w:lineRule="auto"/>
        <w:ind w:right="52" w:hanging="360"/>
        <w:jc w:val="both"/>
        <w:rPr>
          <w:sz w:val="22"/>
        </w:rPr>
      </w:pPr>
      <w:proofErr w:type="gramStart"/>
      <w:r>
        <w:rPr>
          <w:sz w:val="22"/>
        </w:rPr>
        <w:t>la</w:t>
      </w:r>
      <w:proofErr w:type="gramEnd"/>
      <w:r>
        <w:rPr>
          <w:sz w:val="22"/>
        </w:rPr>
        <w:t xml:space="preserve"> nomenclature motifs de cessation définitive de fonctions</w:t>
      </w:r>
    </w:p>
    <w:p>
      <w:pPr>
        <w:spacing w:line="470" w:lineRule="auto"/>
        <w:ind w:left="1080" w:right="2153" w:hanging="720"/>
        <w:rPr>
          <w:sz w:val="22"/>
        </w:rPr>
      </w:pPr>
      <w:r>
        <w:rPr>
          <w:sz w:val="22"/>
        </w:rPr>
        <w:t xml:space="preserve">MC201 - Rupture conventionnelle dans la fonction publique </w:t>
      </w:r>
    </w:p>
    <w:p>
      <w:pPr>
        <w:spacing w:after="171" w:line="271" w:lineRule="auto"/>
        <w:ind w:left="1080" w:right="52"/>
        <w:jc w:val="both"/>
        <w:rPr>
          <w:rStyle w:val="Lienhypertexte"/>
          <w:color w:val="0070C0"/>
          <w:sz w:val="22"/>
        </w:rPr>
      </w:pPr>
      <w:r>
        <w:rPr>
          <w:sz w:val="22"/>
        </w:rPr>
        <w:t xml:space="preserve">Lien vers Ingres : </w:t>
      </w:r>
      <w:hyperlink r:id="rId48" w:history="1">
        <w:r>
          <w:rPr>
            <w:rStyle w:val="Lienhypertexte"/>
            <w:color w:val="0070C0"/>
          </w:rPr>
          <w:t>https://ingres.cisirh.rie.gouv.fr/nob/MC201</w:t>
        </w:r>
      </w:hyperlink>
    </w:p>
    <w:p>
      <w:pPr>
        <w:spacing w:after="202"/>
        <w:ind w:left="-3" w:right="52"/>
        <w:jc w:val="both"/>
        <w:rPr>
          <w:sz w:val="22"/>
        </w:rPr>
      </w:pPr>
      <w:r>
        <w:rPr>
          <w:sz w:val="22"/>
        </w:rPr>
        <w:t xml:space="preserve">La table de correspondance BG_TRSC_FIN_SITU permet l’alimentation automatique du fichier GEST pour le cas de la rupture conventionnelle fonction publique </w:t>
      </w:r>
    </w:p>
    <w:p>
      <w:pPr>
        <w:spacing w:after="230"/>
        <w:ind w:left="1075"/>
        <w:rPr>
          <w:color w:val="0070C0"/>
          <w:u w:val="single" w:color="0000FF"/>
        </w:rPr>
      </w:pPr>
      <w:r>
        <w:rPr>
          <w:sz w:val="22"/>
        </w:rPr>
        <w:t>Lien vers Ingres</w:t>
      </w:r>
      <w:r>
        <w:t xml:space="preserve"> : </w:t>
      </w:r>
      <w:hyperlink r:id="rId49" w:history="1">
        <w:r>
          <w:rPr>
            <w:color w:val="0070C0"/>
            <w:u w:color="0000FF"/>
          </w:rPr>
          <w:t>https://CISIRH/espace-noyau/Noyau/Nomenclatures/GEST/BG_TRSC_REMU_25.10.00</w:t>
        </w:r>
      </w:hyperlink>
    </w:p>
    <w:p>
      <w:pPr>
        <w:spacing w:after="120" w:line="100" w:lineRule="atLeast"/>
        <w:jc w:val="both"/>
      </w:pPr>
    </w:p>
    <w:p>
      <w:pPr>
        <w:spacing w:after="120" w:line="100" w:lineRule="atLeast"/>
        <w:jc w:val="both"/>
      </w:pPr>
    </w:p>
    <w:p>
      <w:pPr>
        <w:pStyle w:val="Style2"/>
        <w:ind w:left="567"/>
      </w:pPr>
      <w:bookmarkStart w:id="52" w:name="_Toc237958340"/>
      <w:r>
        <w:rPr>
          <w:noProof/>
        </w:rPr>
        <mc:AlternateContent>
          <mc:Choice Requires="wps">
            <w:drawing>
              <wp:anchor distT="0" distB="0" distL="114300" distR="114300" simplePos="0" relativeHeight="252082176" behindDoc="0" locked="0" layoutInCell="1" allowOverlap="1">
                <wp:simplePos x="0" y="0"/>
                <wp:positionH relativeFrom="column">
                  <wp:posOffset>-295275</wp:posOffset>
                </wp:positionH>
                <wp:positionV relativeFrom="paragraph">
                  <wp:posOffset>3810</wp:posOffset>
                </wp:positionV>
                <wp:extent cx="550684" cy="576000"/>
                <wp:effectExtent l="19050" t="0" r="1905" b="14605"/>
                <wp:wrapNone/>
                <wp:docPr id="20" name="Larm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0" o:spid="_x0000_s1026" alt="&quot;&quot;" style="position:absolute;margin-left:-23.25pt;margin-top:.3pt;width:43.35pt;height:45.35pt;rotation:180;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 xml:space="preserve">6.3 </w:t>
      </w:r>
      <w:r>
        <w:rPr>
          <w:sz w:val="48"/>
          <w:szCs w:val="48"/>
        </w:rPr>
        <w:t>Sélection des règles de gestion des RH</w:t>
      </w:r>
      <w:bookmarkEnd w:id="52"/>
    </w:p>
    <w:p>
      <w:pPr>
        <w:jc w:val="both"/>
      </w:pPr>
    </w:p>
    <w:p>
      <w:pPr>
        <w:spacing w:after="246"/>
        <w:ind w:left="-3" w:right="52"/>
        <w:jc w:val="both"/>
        <w:rPr>
          <w:sz w:val="22"/>
          <w:szCs w:val="24"/>
        </w:rPr>
      </w:pPr>
      <w:r>
        <w:rPr>
          <w:sz w:val="22"/>
          <w:szCs w:val="24"/>
        </w:rPr>
        <w:t xml:space="preserve">Les règles de gestion suivantes peuvent être mises en place dans les SIRH : </w:t>
      </w:r>
    </w:p>
    <w:p>
      <w:pPr>
        <w:numPr>
          <w:ilvl w:val="0"/>
          <w:numId w:val="32"/>
        </w:numPr>
        <w:spacing w:after="4" w:line="271" w:lineRule="auto"/>
        <w:ind w:right="52" w:hanging="360"/>
        <w:jc w:val="both"/>
        <w:rPr>
          <w:sz w:val="22"/>
          <w:szCs w:val="24"/>
        </w:rPr>
      </w:pPr>
      <w:r>
        <w:rPr>
          <w:sz w:val="22"/>
          <w:szCs w:val="24"/>
        </w:rPr>
        <w:t xml:space="preserve">Eligibilité : exclusion des populations non éligibles à l’ISRC. </w:t>
      </w:r>
    </w:p>
    <w:p>
      <w:pPr>
        <w:numPr>
          <w:ilvl w:val="0"/>
          <w:numId w:val="32"/>
        </w:numPr>
        <w:spacing w:after="199" w:line="271" w:lineRule="auto"/>
        <w:ind w:right="52" w:hanging="360"/>
        <w:jc w:val="both"/>
      </w:pPr>
      <w:r>
        <w:rPr>
          <w:sz w:val="22"/>
          <w:szCs w:val="24"/>
        </w:rPr>
        <w:t xml:space="preserve">Incompatibilité : l’agent ne peut pas faire l’objet simultanément d’un licenciement et d’une rupture de conventionnelle. </w:t>
      </w:r>
    </w:p>
    <w:p>
      <w:pPr>
        <w:spacing w:after="120" w:line="100" w:lineRule="atLeast"/>
        <w:jc w:val="both"/>
      </w:pPr>
    </w:p>
    <w:p>
      <w:pPr>
        <w:pStyle w:val="Style2"/>
        <w:ind w:left="567"/>
      </w:pPr>
      <w:bookmarkStart w:id="53" w:name="_Toc237958341"/>
      <w:r>
        <w:rPr>
          <w:noProof/>
        </w:rPr>
        <mc:AlternateContent>
          <mc:Choice Requires="wps">
            <w:drawing>
              <wp:anchor distT="0" distB="0" distL="114300" distR="114300" simplePos="0" relativeHeight="252084224" behindDoc="0" locked="0" layoutInCell="1" allowOverlap="1">
                <wp:simplePos x="0" y="0"/>
                <wp:positionH relativeFrom="column">
                  <wp:posOffset>-295275</wp:posOffset>
                </wp:positionH>
                <wp:positionV relativeFrom="paragraph">
                  <wp:posOffset>3810</wp:posOffset>
                </wp:positionV>
                <wp:extent cx="550684" cy="576000"/>
                <wp:effectExtent l="19050" t="0" r="1905" b="14605"/>
                <wp:wrapNone/>
                <wp:docPr id="21" name="Larm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1" o:spid="_x0000_s1026" alt="&quot;&quot;" style="position:absolute;margin-left:-23.25pt;margin-top:.3pt;width:43.35pt;height:45.35pt;rotation:180;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 xml:space="preserve">6.4 </w:t>
      </w:r>
      <w:r>
        <w:rPr>
          <w:sz w:val="48"/>
          <w:szCs w:val="48"/>
        </w:rPr>
        <w:t>Choix des modèles d’actes</w:t>
      </w:r>
      <w:bookmarkEnd w:id="53"/>
    </w:p>
    <w:p>
      <w:pPr>
        <w:jc w:val="both"/>
      </w:pPr>
    </w:p>
    <w:p>
      <w:pPr>
        <w:spacing w:after="205"/>
        <w:ind w:left="-3" w:right="52"/>
        <w:jc w:val="both"/>
      </w:pPr>
      <w:r>
        <w:rPr>
          <w:sz w:val="22"/>
          <w:szCs w:val="24"/>
        </w:rPr>
        <w:t xml:space="preserve">Un acte de fin de contrat et un acte de radiation des cadres, pour rupture conventionnelle (cf. ci-dessus) sont disponibles dans la bibliothèque des actes du CISIRH. </w:t>
      </w:r>
      <w:r>
        <w:t xml:space="preserve"> </w:t>
      </w:r>
    </w:p>
    <w:p>
      <w:pPr>
        <w:jc w:val="both"/>
      </w:pPr>
    </w:p>
    <w:sectPr>
      <w:footerReference w:type="default" r:id="rId50"/>
      <w:pgSz w:w="11906" w:h="16838"/>
      <w:pgMar w:top="1417" w:right="1417" w:bottom="142" w:left="1134" w:header="567" w:footer="567"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rianne">
    <w:panose1 w:val="02000000000000000000"/>
    <w:charset w:val="00"/>
    <w:family w:val="auto"/>
    <w:pitch w:val="variable"/>
    <w:sig w:usb0="0000000F"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Marianne ExtraBold">
    <w:panose1 w:val="02000000000000000000"/>
    <w:charset w:val="00"/>
    <w:family w:val="auto"/>
    <w:pitch w:val="variable"/>
    <w:sig w:usb0="0000000F"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Pieddepage"/>
      <w:rPr>
        <w:sz w:val="12"/>
        <w:szCs w:val="14"/>
      </w:rPr>
    </w:pPr>
    <w:r>
      <w:rPr>
        <w:sz w:val="12"/>
        <w:szCs w:val="14"/>
      </w:rPr>
      <w:t>Date de dernière mise à jour : août 2026</w:t>
    </w:r>
    <w:r>
      <w:rPr>
        <w:sz w:val="12"/>
        <w:szCs w:val="14"/>
      </w:rPr>
      <w:ptab w:relativeTo="margin" w:alignment="center" w:leader="none"/>
    </w:r>
    <w:r>
      <w:rPr>
        <w:sz w:val="12"/>
        <w:szCs w:val="14"/>
      </w:rPr>
      <w:fldChar w:fldCharType="begin"/>
    </w:r>
    <w:r>
      <w:rPr>
        <w:sz w:val="12"/>
        <w:szCs w:val="14"/>
      </w:rPr>
      <w:instrText xml:space="preserve"> PAGE  \* ArabicDash  \* MERGEFORMAT </w:instrText>
    </w:r>
    <w:r>
      <w:rPr>
        <w:sz w:val="12"/>
        <w:szCs w:val="14"/>
      </w:rPr>
      <w:fldChar w:fldCharType="separate"/>
    </w:r>
    <w:r>
      <w:rPr>
        <w:noProof/>
        <w:sz w:val="12"/>
        <w:szCs w:val="14"/>
      </w:rPr>
      <w:t>- 34 -</w:t>
    </w:r>
    <w:r>
      <w:rPr>
        <w:sz w:val="12"/>
        <w:szCs w:val="14"/>
      </w:rPr>
      <w:fldChar w:fldCharType="end"/>
    </w:r>
    <w:r>
      <w:rPr>
        <w:sz w:val="12"/>
        <w:szCs w:val="14"/>
      </w:rPr>
      <w:ptab w:relativeTo="margin" w:alignment="right" w:leader="none"/>
    </w:r>
    <w:r>
      <w:rPr>
        <w:noProof/>
        <w:sz w:val="12"/>
        <w:szCs w:val="14"/>
      </w:rPr>
      <w:drawing>
        <wp:inline distT="0" distB="0" distL="0" distR="0">
          <wp:extent cx="292040" cy="1800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a:extLst>
                      <a:ext uri="{28A0092B-C50C-407E-A947-70E740481C1C}">
                        <a14:useLocalDpi xmlns:a14="http://schemas.microsoft.com/office/drawing/2010/main" val="0"/>
                      </a:ext>
                    </a:extLst>
                  </a:blip>
                  <a:stretch>
                    <a:fillRect/>
                  </a:stretch>
                </pic:blipFill>
                <pic:spPr>
                  <a:xfrm>
                    <a:off x="0" y="0"/>
                    <a:ext cx="292040" cy="18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description"/>
      </w:pPr>
      <w:r>
        <w:rPr>
          <w:rStyle w:val="footnotemark"/>
        </w:rPr>
        <w:footnoteRef/>
      </w:r>
      <w:r>
        <w:t xml:space="preserve"> Un agent pouvant bénéficier d’une retraite à taux plein ne peut bénéficier d’une rupture conventionnelle.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singleLevel"/>
    <w:tmpl w:val="00000004"/>
    <w:name w:val="WW8Num3"/>
    <w:lvl w:ilvl="0">
      <w:start w:val="1"/>
      <w:numFmt w:val="bullet"/>
      <w:suff w:val="nothing"/>
      <w:lvlText w:val=""/>
      <w:lvlJc w:val="left"/>
      <w:pPr>
        <w:tabs>
          <w:tab w:val="num" w:pos="0"/>
        </w:tabs>
        <w:ind w:left="0" w:firstLine="0"/>
      </w:pPr>
      <w:rPr>
        <w:rFonts w:ascii="Symbol" w:hAnsi="Symbol"/>
      </w:rPr>
    </w:lvl>
  </w:abstractNum>
  <w:abstractNum w:abstractNumId="2"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sz w:val="24"/>
        <w:szCs w:val="24"/>
      </w:rPr>
    </w:lvl>
    <w:lvl w:ilvl="1">
      <w:start w:val="1"/>
      <w:numFmt w:val="bullet"/>
      <w:lvlText w:val=""/>
      <w:lvlJc w:val="left"/>
      <w:pPr>
        <w:tabs>
          <w:tab w:val="num" w:pos="1080"/>
        </w:tabs>
        <w:ind w:left="1080" w:hanging="360"/>
      </w:pPr>
      <w:rPr>
        <w:rFonts w:ascii="Symbol" w:hAnsi="Symbol" w:cs="OpenSymbol"/>
        <w:sz w:val="24"/>
        <w:szCs w:val="24"/>
      </w:rPr>
    </w:lvl>
    <w:lvl w:ilvl="2">
      <w:start w:val="1"/>
      <w:numFmt w:val="bullet"/>
      <w:lvlText w:val=""/>
      <w:lvlJc w:val="left"/>
      <w:pPr>
        <w:tabs>
          <w:tab w:val="num" w:pos="1440"/>
        </w:tabs>
        <w:ind w:left="1440" w:hanging="360"/>
      </w:pPr>
      <w:rPr>
        <w:rFonts w:ascii="Symbol" w:hAnsi="Symbol" w:cs="OpenSymbol"/>
        <w:sz w:val="24"/>
        <w:szCs w:val="24"/>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Symbol" w:hAnsi="Symbol" w:cs="OpenSymbol"/>
        <w:sz w:val="24"/>
        <w:szCs w:val="24"/>
      </w:rPr>
    </w:lvl>
    <w:lvl w:ilvl="5">
      <w:start w:val="1"/>
      <w:numFmt w:val="bullet"/>
      <w:lvlText w:val=""/>
      <w:lvlJc w:val="left"/>
      <w:pPr>
        <w:tabs>
          <w:tab w:val="num" w:pos="2520"/>
        </w:tabs>
        <w:ind w:left="2520" w:hanging="360"/>
      </w:pPr>
      <w:rPr>
        <w:rFonts w:ascii="Symbol" w:hAnsi="Symbol" w:cs="OpenSymbol"/>
        <w:sz w:val="24"/>
        <w:szCs w:val="24"/>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Symbol" w:hAnsi="Symbol" w:cs="OpenSymbol"/>
        <w:sz w:val="24"/>
        <w:szCs w:val="24"/>
      </w:rPr>
    </w:lvl>
    <w:lvl w:ilvl="8">
      <w:start w:val="1"/>
      <w:numFmt w:val="bullet"/>
      <w:lvlText w:val=""/>
      <w:lvlJc w:val="left"/>
      <w:pPr>
        <w:tabs>
          <w:tab w:val="num" w:pos="3600"/>
        </w:tabs>
        <w:ind w:left="3600" w:hanging="360"/>
      </w:pPr>
      <w:rPr>
        <w:rFonts w:ascii="Symbol" w:hAnsi="Symbol" w:cs="OpenSymbol"/>
        <w:sz w:val="24"/>
        <w:szCs w:val="24"/>
      </w:rPr>
    </w:lvl>
  </w:abstractNum>
  <w:abstractNum w:abstractNumId="3"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Wingdings" w:hAnsi="Wingdings" w:cs="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CC46A1A"/>
    <w:multiLevelType w:val="hybridMultilevel"/>
    <w:tmpl w:val="55122BC6"/>
    <w:lvl w:ilvl="0" w:tplc="C09220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820FE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11C941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55067AE">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D9676D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B0070B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5C2C512">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FF2D3A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790207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2C4B9F"/>
    <w:multiLevelType w:val="hybridMultilevel"/>
    <w:tmpl w:val="90B020E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A84195"/>
    <w:multiLevelType w:val="hybridMultilevel"/>
    <w:tmpl w:val="6388D0E8"/>
    <w:lvl w:ilvl="0" w:tplc="E7C28272">
      <w:start w:val="1"/>
      <w:numFmt w:val="bullet"/>
      <w:lvlText w:val="•"/>
      <w:lvlJc w:val="left"/>
      <w:pPr>
        <w:ind w:left="720"/>
      </w:pPr>
      <w:rPr>
        <w:rFonts w:ascii="Arial" w:eastAsia="Arial" w:hAnsi="Arial" w:cs="Arial"/>
        <w:b w:val="0"/>
        <w:i w:val="0"/>
        <w:strike w:val="0"/>
        <w:dstrike w:val="0"/>
        <w:color w:val="365F91"/>
        <w:sz w:val="28"/>
        <w:szCs w:val="28"/>
        <w:u w:val="none" w:color="000000"/>
        <w:bdr w:val="none" w:sz="0" w:space="0" w:color="auto"/>
        <w:shd w:val="clear" w:color="auto" w:fill="auto"/>
        <w:vertAlign w:val="baseline"/>
      </w:rPr>
    </w:lvl>
    <w:lvl w:ilvl="1" w:tplc="DB40BD24">
      <w:start w:val="1"/>
      <w:numFmt w:val="bullet"/>
      <w:lvlText w:val="o"/>
      <w:lvlJc w:val="left"/>
      <w:pPr>
        <w:ind w:left="1440"/>
      </w:pPr>
      <w:rPr>
        <w:rFonts w:ascii="Segoe UI Symbol" w:eastAsia="Segoe UI Symbol" w:hAnsi="Segoe UI Symbol" w:cs="Segoe UI Symbol"/>
        <w:b w:val="0"/>
        <w:i w:val="0"/>
        <w:strike w:val="0"/>
        <w:dstrike w:val="0"/>
        <w:color w:val="365F91"/>
        <w:sz w:val="28"/>
        <w:szCs w:val="28"/>
        <w:u w:val="none" w:color="000000"/>
        <w:bdr w:val="none" w:sz="0" w:space="0" w:color="auto"/>
        <w:shd w:val="clear" w:color="auto" w:fill="auto"/>
        <w:vertAlign w:val="baseline"/>
      </w:rPr>
    </w:lvl>
    <w:lvl w:ilvl="2" w:tplc="ACBA0718">
      <w:start w:val="1"/>
      <w:numFmt w:val="bullet"/>
      <w:lvlText w:val="▪"/>
      <w:lvlJc w:val="left"/>
      <w:pPr>
        <w:ind w:left="2160"/>
      </w:pPr>
      <w:rPr>
        <w:rFonts w:ascii="Segoe UI Symbol" w:eastAsia="Segoe UI Symbol" w:hAnsi="Segoe UI Symbol" w:cs="Segoe UI Symbol"/>
        <w:b w:val="0"/>
        <w:i w:val="0"/>
        <w:strike w:val="0"/>
        <w:dstrike w:val="0"/>
        <w:color w:val="365F91"/>
        <w:sz w:val="28"/>
        <w:szCs w:val="28"/>
        <w:u w:val="none" w:color="000000"/>
        <w:bdr w:val="none" w:sz="0" w:space="0" w:color="auto"/>
        <w:shd w:val="clear" w:color="auto" w:fill="auto"/>
        <w:vertAlign w:val="baseline"/>
      </w:rPr>
    </w:lvl>
    <w:lvl w:ilvl="3" w:tplc="6952D904">
      <w:start w:val="1"/>
      <w:numFmt w:val="bullet"/>
      <w:lvlText w:val="•"/>
      <w:lvlJc w:val="left"/>
      <w:pPr>
        <w:ind w:left="2880"/>
      </w:pPr>
      <w:rPr>
        <w:rFonts w:ascii="Arial" w:eastAsia="Arial" w:hAnsi="Arial" w:cs="Arial"/>
        <w:b w:val="0"/>
        <w:i w:val="0"/>
        <w:strike w:val="0"/>
        <w:dstrike w:val="0"/>
        <w:color w:val="365F91"/>
        <w:sz w:val="28"/>
        <w:szCs w:val="28"/>
        <w:u w:val="none" w:color="000000"/>
        <w:bdr w:val="none" w:sz="0" w:space="0" w:color="auto"/>
        <w:shd w:val="clear" w:color="auto" w:fill="auto"/>
        <w:vertAlign w:val="baseline"/>
      </w:rPr>
    </w:lvl>
    <w:lvl w:ilvl="4" w:tplc="097AE052">
      <w:start w:val="1"/>
      <w:numFmt w:val="bullet"/>
      <w:lvlText w:val="o"/>
      <w:lvlJc w:val="left"/>
      <w:pPr>
        <w:ind w:left="3600"/>
      </w:pPr>
      <w:rPr>
        <w:rFonts w:ascii="Segoe UI Symbol" w:eastAsia="Segoe UI Symbol" w:hAnsi="Segoe UI Symbol" w:cs="Segoe UI Symbol"/>
        <w:b w:val="0"/>
        <w:i w:val="0"/>
        <w:strike w:val="0"/>
        <w:dstrike w:val="0"/>
        <w:color w:val="365F91"/>
        <w:sz w:val="28"/>
        <w:szCs w:val="28"/>
        <w:u w:val="none" w:color="000000"/>
        <w:bdr w:val="none" w:sz="0" w:space="0" w:color="auto"/>
        <w:shd w:val="clear" w:color="auto" w:fill="auto"/>
        <w:vertAlign w:val="baseline"/>
      </w:rPr>
    </w:lvl>
    <w:lvl w:ilvl="5" w:tplc="57387FFE">
      <w:start w:val="1"/>
      <w:numFmt w:val="bullet"/>
      <w:lvlText w:val="▪"/>
      <w:lvlJc w:val="left"/>
      <w:pPr>
        <w:ind w:left="4320"/>
      </w:pPr>
      <w:rPr>
        <w:rFonts w:ascii="Segoe UI Symbol" w:eastAsia="Segoe UI Symbol" w:hAnsi="Segoe UI Symbol" w:cs="Segoe UI Symbol"/>
        <w:b w:val="0"/>
        <w:i w:val="0"/>
        <w:strike w:val="0"/>
        <w:dstrike w:val="0"/>
        <w:color w:val="365F91"/>
        <w:sz w:val="28"/>
        <w:szCs w:val="28"/>
        <w:u w:val="none" w:color="000000"/>
        <w:bdr w:val="none" w:sz="0" w:space="0" w:color="auto"/>
        <w:shd w:val="clear" w:color="auto" w:fill="auto"/>
        <w:vertAlign w:val="baseline"/>
      </w:rPr>
    </w:lvl>
    <w:lvl w:ilvl="6" w:tplc="C61EF5CA">
      <w:start w:val="1"/>
      <w:numFmt w:val="bullet"/>
      <w:lvlText w:val="•"/>
      <w:lvlJc w:val="left"/>
      <w:pPr>
        <w:ind w:left="5040"/>
      </w:pPr>
      <w:rPr>
        <w:rFonts w:ascii="Arial" w:eastAsia="Arial" w:hAnsi="Arial" w:cs="Arial"/>
        <w:b w:val="0"/>
        <w:i w:val="0"/>
        <w:strike w:val="0"/>
        <w:dstrike w:val="0"/>
        <w:color w:val="365F91"/>
        <w:sz w:val="28"/>
        <w:szCs w:val="28"/>
        <w:u w:val="none" w:color="000000"/>
        <w:bdr w:val="none" w:sz="0" w:space="0" w:color="auto"/>
        <w:shd w:val="clear" w:color="auto" w:fill="auto"/>
        <w:vertAlign w:val="baseline"/>
      </w:rPr>
    </w:lvl>
    <w:lvl w:ilvl="7" w:tplc="CFB851B6">
      <w:start w:val="1"/>
      <w:numFmt w:val="bullet"/>
      <w:lvlText w:val="o"/>
      <w:lvlJc w:val="left"/>
      <w:pPr>
        <w:ind w:left="5760"/>
      </w:pPr>
      <w:rPr>
        <w:rFonts w:ascii="Segoe UI Symbol" w:eastAsia="Segoe UI Symbol" w:hAnsi="Segoe UI Symbol" w:cs="Segoe UI Symbol"/>
        <w:b w:val="0"/>
        <w:i w:val="0"/>
        <w:strike w:val="0"/>
        <w:dstrike w:val="0"/>
        <w:color w:val="365F91"/>
        <w:sz w:val="28"/>
        <w:szCs w:val="28"/>
        <w:u w:val="none" w:color="000000"/>
        <w:bdr w:val="none" w:sz="0" w:space="0" w:color="auto"/>
        <w:shd w:val="clear" w:color="auto" w:fill="auto"/>
        <w:vertAlign w:val="baseline"/>
      </w:rPr>
    </w:lvl>
    <w:lvl w:ilvl="8" w:tplc="4D483D2C">
      <w:start w:val="1"/>
      <w:numFmt w:val="bullet"/>
      <w:lvlText w:val="▪"/>
      <w:lvlJc w:val="left"/>
      <w:pPr>
        <w:ind w:left="6480"/>
      </w:pPr>
      <w:rPr>
        <w:rFonts w:ascii="Segoe UI Symbol" w:eastAsia="Segoe UI Symbol" w:hAnsi="Segoe UI Symbol" w:cs="Segoe UI Symbol"/>
        <w:b w:val="0"/>
        <w:i w:val="0"/>
        <w:strike w:val="0"/>
        <w:dstrike w:val="0"/>
        <w:color w:val="365F91"/>
        <w:sz w:val="28"/>
        <w:szCs w:val="28"/>
        <w:u w:val="none" w:color="000000"/>
        <w:bdr w:val="none" w:sz="0" w:space="0" w:color="auto"/>
        <w:shd w:val="clear" w:color="auto" w:fill="auto"/>
        <w:vertAlign w:val="baseline"/>
      </w:rPr>
    </w:lvl>
  </w:abstractNum>
  <w:abstractNum w:abstractNumId="7" w15:restartNumberingAfterBreak="0">
    <w:nsid w:val="1989619D"/>
    <w:multiLevelType w:val="hybridMultilevel"/>
    <w:tmpl w:val="30F48BA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712F46"/>
    <w:multiLevelType w:val="hybridMultilevel"/>
    <w:tmpl w:val="BF687DEA"/>
    <w:lvl w:ilvl="0" w:tplc="06B0FD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58E17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4430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B03B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541C8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F1CB5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1AA5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CC69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A240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0AA183E"/>
    <w:multiLevelType w:val="hybridMultilevel"/>
    <w:tmpl w:val="6F2693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14620B"/>
    <w:multiLevelType w:val="hybridMultilevel"/>
    <w:tmpl w:val="FF5400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7A14FAD"/>
    <w:multiLevelType w:val="hybridMultilevel"/>
    <w:tmpl w:val="AC42D7E2"/>
    <w:lvl w:ilvl="0" w:tplc="040C0001">
      <w:start w:val="1"/>
      <w:numFmt w:val="bullet"/>
      <w:lvlText w:val=""/>
      <w:lvlJc w:val="left"/>
      <w:pPr>
        <w:ind w:left="707" w:hanging="360"/>
      </w:pPr>
      <w:rPr>
        <w:rFonts w:ascii="Symbol" w:hAnsi="Symbol" w:hint="default"/>
      </w:rPr>
    </w:lvl>
    <w:lvl w:ilvl="1" w:tplc="040C0003" w:tentative="1">
      <w:start w:val="1"/>
      <w:numFmt w:val="bullet"/>
      <w:lvlText w:val="o"/>
      <w:lvlJc w:val="left"/>
      <w:pPr>
        <w:ind w:left="1427" w:hanging="360"/>
      </w:pPr>
      <w:rPr>
        <w:rFonts w:ascii="Courier New" w:hAnsi="Courier New" w:cs="Courier New" w:hint="default"/>
      </w:rPr>
    </w:lvl>
    <w:lvl w:ilvl="2" w:tplc="040C0005" w:tentative="1">
      <w:start w:val="1"/>
      <w:numFmt w:val="bullet"/>
      <w:lvlText w:val=""/>
      <w:lvlJc w:val="left"/>
      <w:pPr>
        <w:ind w:left="2147" w:hanging="360"/>
      </w:pPr>
      <w:rPr>
        <w:rFonts w:ascii="Wingdings" w:hAnsi="Wingdings" w:hint="default"/>
      </w:rPr>
    </w:lvl>
    <w:lvl w:ilvl="3" w:tplc="040C0001" w:tentative="1">
      <w:start w:val="1"/>
      <w:numFmt w:val="bullet"/>
      <w:lvlText w:val=""/>
      <w:lvlJc w:val="left"/>
      <w:pPr>
        <w:ind w:left="2867" w:hanging="360"/>
      </w:pPr>
      <w:rPr>
        <w:rFonts w:ascii="Symbol" w:hAnsi="Symbol" w:hint="default"/>
      </w:rPr>
    </w:lvl>
    <w:lvl w:ilvl="4" w:tplc="040C0003" w:tentative="1">
      <w:start w:val="1"/>
      <w:numFmt w:val="bullet"/>
      <w:lvlText w:val="o"/>
      <w:lvlJc w:val="left"/>
      <w:pPr>
        <w:ind w:left="3587" w:hanging="360"/>
      </w:pPr>
      <w:rPr>
        <w:rFonts w:ascii="Courier New" w:hAnsi="Courier New" w:cs="Courier New" w:hint="default"/>
      </w:rPr>
    </w:lvl>
    <w:lvl w:ilvl="5" w:tplc="040C0005" w:tentative="1">
      <w:start w:val="1"/>
      <w:numFmt w:val="bullet"/>
      <w:lvlText w:val=""/>
      <w:lvlJc w:val="left"/>
      <w:pPr>
        <w:ind w:left="4307" w:hanging="360"/>
      </w:pPr>
      <w:rPr>
        <w:rFonts w:ascii="Wingdings" w:hAnsi="Wingdings" w:hint="default"/>
      </w:rPr>
    </w:lvl>
    <w:lvl w:ilvl="6" w:tplc="040C0001" w:tentative="1">
      <w:start w:val="1"/>
      <w:numFmt w:val="bullet"/>
      <w:lvlText w:val=""/>
      <w:lvlJc w:val="left"/>
      <w:pPr>
        <w:ind w:left="5027" w:hanging="360"/>
      </w:pPr>
      <w:rPr>
        <w:rFonts w:ascii="Symbol" w:hAnsi="Symbol" w:hint="default"/>
      </w:rPr>
    </w:lvl>
    <w:lvl w:ilvl="7" w:tplc="040C0003" w:tentative="1">
      <w:start w:val="1"/>
      <w:numFmt w:val="bullet"/>
      <w:lvlText w:val="o"/>
      <w:lvlJc w:val="left"/>
      <w:pPr>
        <w:ind w:left="5747" w:hanging="360"/>
      </w:pPr>
      <w:rPr>
        <w:rFonts w:ascii="Courier New" w:hAnsi="Courier New" w:cs="Courier New" w:hint="default"/>
      </w:rPr>
    </w:lvl>
    <w:lvl w:ilvl="8" w:tplc="040C0005" w:tentative="1">
      <w:start w:val="1"/>
      <w:numFmt w:val="bullet"/>
      <w:lvlText w:val=""/>
      <w:lvlJc w:val="left"/>
      <w:pPr>
        <w:ind w:left="6467" w:hanging="360"/>
      </w:pPr>
      <w:rPr>
        <w:rFonts w:ascii="Wingdings" w:hAnsi="Wingdings" w:hint="default"/>
      </w:rPr>
    </w:lvl>
  </w:abstractNum>
  <w:abstractNum w:abstractNumId="12" w15:restartNumberingAfterBreak="0">
    <w:nsid w:val="38BF32D1"/>
    <w:multiLevelType w:val="hybridMultilevel"/>
    <w:tmpl w:val="86363D18"/>
    <w:lvl w:ilvl="0" w:tplc="53BA9628">
      <w:start w:val="1"/>
      <w:numFmt w:val="bullet"/>
      <w:lvlText w:val=""/>
      <w:lvlJc w:val="left"/>
      <w:pPr>
        <w:tabs>
          <w:tab w:val="num" w:pos="720"/>
        </w:tabs>
        <w:ind w:left="720" w:hanging="360"/>
      </w:pPr>
      <w:rPr>
        <w:rFonts w:ascii="Wingdings" w:hAnsi="Wingdings" w:hint="default"/>
      </w:rPr>
    </w:lvl>
    <w:lvl w:ilvl="1" w:tplc="1B6C4414">
      <w:start w:val="1"/>
      <w:numFmt w:val="bullet"/>
      <w:lvlText w:val=""/>
      <w:lvlJc w:val="left"/>
      <w:pPr>
        <w:tabs>
          <w:tab w:val="num" w:pos="1440"/>
        </w:tabs>
        <w:ind w:left="1440" w:hanging="360"/>
      </w:pPr>
      <w:rPr>
        <w:rFonts w:ascii="Wingdings" w:hAnsi="Wingdings" w:hint="default"/>
      </w:rPr>
    </w:lvl>
    <w:lvl w:ilvl="2" w:tplc="180C01FA">
      <w:start w:val="1"/>
      <w:numFmt w:val="bullet"/>
      <w:lvlText w:val=""/>
      <w:lvlJc w:val="left"/>
      <w:pPr>
        <w:tabs>
          <w:tab w:val="num" w:pos="2160"/>
        </w:tabs>
        <w:ind w:left="2160" w:hanging="360"/>
      </w:pPr>
      <w:rPr>
        <w:rFonts w:ascii="Wingdings" w:hAnsi="Wingdings" w:hint="default"/>
      </w:rPr>
    </w:lvl>
    <w:lvl w:ilvl="3" w:tplc="0E4CE97E">
      <w:start w:val="1"/>
      <w:numFmt w:val="bullet"/>
      <w:lvlText w:val=""/>
      <w:lvlJc w:val="left"/>
      <w:pPr>
        <w:tabs>
          <w:tab w:val="num" w:pos="2880"/>
        </w:tabs>
        <w:ind w:left="2880" w:hanging="360"/>
      </w:pPr>
      <w:rPr>
        <w:rFonts w:ascii="Wingdings" w:hAnsi="Wingdings" w:hint="default"/>
      </w:rPr>
    </w:lvl>
    <w:lvl w:ilvl="4" w:tplc="26CA74BC">
      <w:start w:val="1"/>
      <w:numFmt w:val="bullet"/>
      <w:lvlText w:val=""/>
      <w:lvlJc w:val="left"/>
      <w:pPr>
        <w:tabs>
          <w:tab w:val="num" w:pos="3600"/>
        </w:tabs>
        <w:ind w:left="3600" w:hanging="360"/>
      </w:pPr>
      <w:rPr>
        <w:rFonts w:ascii="Wingdings" w:hAnsi="Wingdings" w:hint="default"/>
      </w:rPr>
    </w:lvl>
    <w:lvl w:ilvl="5" w:tplc="D3CCF658">
      <w:start w:val="1"/>
      <w:numFmt w:val="bullet"/>
      <w:lvlText w:val=""/>
      <w:lvlJc w:val="left"/>
      <w:pPr>
        <w:tabs>
          <w:tab w:val="num" w:pos="4320"/>
        </w:tabs>
        <w:ind w:left="4320" w:hanging="360"/>
      </w:pPr>
      <w:rPr>
        <w:rFonts w:ascii="Wingdings" w:hAnsi="Wingdings" w:hint="default"/>
      </w:rPr>
    </w:lvl>
    <w:lvl w:ilvl="6" w:tplc="4B44E1AE">
      <w:start w:val="1"/>
      <w:numFmt w:val="bullet"/>
      <w:lvlText w:val=""/>
      <w:lvlJc w:val="left"/>
      <w:pPr>
        <w:tabs>
          <w:tab w:val="num" w:pos="5040"/>
        </w:tabs>
        <w:ind w:left="5040" w:hanging="360"/>
      </w:pPr>
      <w:rPr>
        <w:rFonts w:ascii="Wingdings" w:hAnsi="Wingdings" w:hint="default"/>
      </w:rPr>
    </w:lvl>
    <w:lvl w:ilvl="7" w:tplc="696CCBF0">
      <w:start w:val="1"/>
      <w:numFmt w:val="bullet"/>
      <w:lvlText w:val=""/>
      <w:lvlJc w:val="left"/>
      <w:pPr>
        <w:tabs>
          <w:tab w:val="num" w:pos="5760"/>
        </w:tabs>
        <w:ind w:left="5760" w:hanging="360"/>
      </w:pPr>
      <w:rPr>
        <w:rFonts w:ascii="Wingdings" w:hAnsi="Wingdings" w:hint="default"/>
      </w:rPr>
    </w:lvl>
    <w:lvl w:ilvl="8" w:tplc="4EF22CE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912CEC"/>
    <w:multiLevelType w:val="hybridMultilevel"/>
    <w:tmpl w:val="63064DA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3864050"/>
    <w:multiLevelType w:val="hybridMultilevel"/>
    <w:tmpl w:val="16B6C9A6"/>
    <w:lvl w:ilvl="0" w:tplc="65C6E8FC">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F56EF1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1C48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9629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3CE7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3A06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4866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E69D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3CCE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47F0218"/>
    <w:multiLevelType w:val="hybridMultilevel"/>
    <w:tmpl w:val="1644B7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1A30C1"/>
    <w:multiLevelType w:val="hybridMultilevel"/>
    <w:tmpl w:val="1F8494C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B872A1"/>
    <w:multiLevelType w:val="hybridMultilevel"/>
    <w:tmpl w:val="A3C42EF2"/>
    <w:lvl w:ilvl="0" w:tplc="44BA2808">
      <w:start w:val="2"/>
      <w:numFmt w:val="decimal"/>
      <w:lvlText w:val="%1."/>
      <w:lvlJc w:val="left"/>
      <w:pPr>
        <w:ind w:left="439"/>
      </w:pPr>
      <w:rPr>
        <w:rFonts w:ascii="Arial" w:eastAsia="Arial" w:hAnsi="Arial" w:cs="Arial"/>
        <w:b/>
        <w:bCs/>
        <w:i w:val="0"/>
        <w:strike w:val="0"/>
        <w:dstrike w:val="0"/>
        <w:color w:val="365F91"/>
        <w:sz w:val="28"/>
        <w:szCs w:val="28"/>
        <w:u w:val="none" w:color="000000"/>
        <w:bdr w:val="none" w:sz="0" w:space="0" w:color="auto"/>
        <w:shd w:val="clear" w:color="auto" w:fill="auto"/>
        <w:vertAlign w:val="baseline"/>
      </w:rPr>
    </w:lvl>
    <w:lvl w:ilvl="1" w:tplc="3DD8E8C0">
      <w:start w:val="1"/>
      <w:numFmt w:val="bullet"/>
      <w:lvlText w:val="o"/>
      <w:lvlJc w:val="left"/>
      <w:pPr>
        <w:ind w:left="7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B9CEBAC">
      <w:start w:val="1"/>
      <w:numFmt w:val="bullet"/>
      <w:lvlText w:val="▪"/>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E98AE5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A446B04">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77AB350">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7F6878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21C1728">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7B84506">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6167A07"/>
    <w:multiLevelType w:val="hybridMultilevel"/>
    <w:tmpl w:val="7AFECEC6"/>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48454E3C"/>
    <w:multiLevelType w:val="multilevel"/>
    <w:tmpl w:val="288E58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BC21739"/>
    <w:multiLevelType w:val="hybridMultilevel"/>
    <w:tmpl w:val="1B56FDAE"/>
    <w:lvl w:ilvl="0" w:tplc="040C0001">
      <w:start w:val="1"/>
      <w:numFmt w:val="bullet"/>
      <w:lvlText w:val=""/>
      <w:lvlJc w:val="left"/>
      <w:pPr>
        <w:ind w:left="717" w:hanging="360"/>
      </w:pPr>
      <w:rPr>
        <w:rFonts w:ascii="Symbol" w:hAnsi="Symbol"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21" w15:restartNumberingAfterBreak="0">
    <w:nsid w:val="4C79733A"/>
    <w:multiLevelType w:val="hybridMultilevel"/>
    <w:tmpl w:val="89109CF6"/>
    <w:lvl w:ilvl="0" w:tplc="321821CE">
      <w:start w:val="1"/>
      <w:numFmt w:val="decimal"/>
      <w:pStyle w:val="Style1-Marianne"/>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F1060A2"/>
    <w:multiLevelType w:val="hybridMultilevel"/>
    <w:tmpl w:val="D8AE4D06"/>
    <w:lvl w:ilvl="0" w:tplc="45C05D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DC7DF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8E50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F2A6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B2D09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0DEBAD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7661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B063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68E7E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E7B5A1C"/>
    <w:multiLevelType w:val="hybridMultilevel"/>
    <w:tmpl w:val="5EF67A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771F9B"/>
    <w:multiLevelType w:val="hybridMultilevel"/>
    <w:tmpl w:val="9CC8415E"/>
    <w:lvl w:ilvl="0" w:tplc="E75E88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5594A1E"/>
    <w:multiLevelType w:val="hybridMultilevel"/>
    <w:tmpl w:val="4EC2B83C"/>
    <w:lvl w:ilvl="0" w:tplc="8266080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C819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A0F05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18EE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72D68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E81D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BA60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9242C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AC589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76609E8"/>
    <w:multiLevelType w:val="hybridMultilevel"/>
    <w:tmpl w:val="76B683FC"/>
    <w:lvl w:ilvl="0" w:tplc="E9644FEA">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F8E0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DE45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BED9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7A33A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124D9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6CD3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BC088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543A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7D649E6"/>
    <w:multiLevelType w:val="hybridMultilevel"/>
    <w:tmpl w:val="77A0CC6A"/>
    <w:lvl w:ilvl="0" w:tplc="7BA4C60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1EDE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6A64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38AD1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4A18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CA20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BACC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7C65A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3A536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7D937F9"/>
    <w:multiLevelType w:val="multilevel"/>
    <w:tmpl w:val="EEBC3106"/>
    <w:lvl w:ilvl="0">
      <w:start w:val="1"/>
      <w:numFmt w:val="bullet"/>
      <w:lvlText w:val=""/>
      <w:lvlJc w:val="left"/>
      <w:pPr>
        <w:tabs>
          <w:tab w:val="num" w:pos="720"/>
        </w:tabs>
        <w:ind w:left="720" w:hanging="360"/>
      </w:pPr>
      <w:rPr>
        <w:rFonts w:ascii="Wingdings" w:hAnsi="Wingdings" w:hint="default"/>
        <w:sz w:val="24"/>
        <w:szCs w:val="24"/>
      </w:rPr>
    </w:lvl>
    <w:lvl w:ilvl="1">
      <w:start w:val="1"/>
      <w:numFmt w:val="bullet"/>
      <w:lvlText w:val=""/>
      <w:lvlJc w:val="left"/>
      <w:pPr>
        <w:tabs>
          <w:tab w:val="num" w:pos="1080"/>
        </w:tabs>
        <w:ind w:left="1080" w:hanging="360"/>
      </w:pPr>
      <w:rPr>
        <w:rFonts w:ascii="Symbol" w:hAnsi="Symbol" w:cs="OpenSymbol"/>
        <w:sz w:val="24"/>
        <w:szCs w:val="24"/>
      </w:rPr>
    </w:lvl>
    <w:lvl w:ilvl="2">
      <w:start w:val="1"/>
      <w:numFmt w:val="bullet"/>
      <w:lvlText w:val=""/>
      <w:lvlJc w:val="left"/>
      <w:pPr>
        <w:tabs>
          <w:tab w:val="num" w:pos="1440"/>
        </w:tabs>
        <w:ind w:left="1440" w:hanging="360"/>
      </w:pPr>
      <w:rPr>
        <w:rFonts w:ascii="Symbol" w:hAnsi="Symbol" w:cs="OpenSymbol"/>
        <w:sz w:val="24"/>
        <w:szCs w:val="24"/>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Symbol" w:hAnsi="Symbol" w:cs="OpenSymbol"/>
        <w:sz w:val="24"/>
        <w:szCs w:val="24"/>
      </w:rPr>
    </w:lvl>
    <w:lvl w:ilvl="5">
      <w:start w:val="1"/>
      <w:numFmt w:val="bullet"/>
      <w:lvlText w:val=""/>
      <w:lvlJc w:val="left"/>
      <w:pPr>
        <w:tabs>
          <w:tab w:val="num" w:pos="2520"/>
        </w:tabs>
        <w:ind w:left="2520" w:hanging="360"/>
      </w:pPr>
      <w:rPr>
        <w:rFonts w:ascii="Symbol" w:hAnsi="Symbol" w:cs="OpenSymbol"/>
        <w:sz w:val="24"/>
        <w:szCs w:val="24"/>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Symbol" w:hAnsi="Symbol" w:cs="OpenSymbol"/>
        <w:sz w:val="24"/>
        <w:szCs w:val="24"/>
      </w:rPr>
    </w:lvl>
    <w:lvl w:ilvl="8">
      <w:start w:val="1"/>
      <w:numFmt w:val="bullet"/>
      <w:lvlText w:val=""/>
      <w:lvlJc w:val="left"/>
      <w:pPr>
        <w:tabs>
          <w:tab w:val="num" w:pos="3600"/>
        </w:tabs>
        <w:ind w:left="3600" w:hanging="360"/>
      </w:pPr>
      <w:rPr>
        <w:rFonts w:ascii="Symbol" w:hAnsi="Symbol" w:cs="OpenSymbol"/>
        <w:sz w:val="24"/>
        <w:szCs w:val="24"/>
      </w:rPr>
    </w:lvl>
  </w:abstractNum>
  <w:abstractNum w:abstractNumId="29" w15:restartNumberingAfterBreak="0">
    <w:nsid w:val="680C5749"/>
    <w:multiLevelType w:val="hybridMultilevel"/>
    <w:tmpl w:val="9892B53A"/>
    <w:lvl w:ilvl="0" w:tplc="0E52D7CC">
      <w:start w:val="202284"/>
      <w:numFmt w:val="decimal"/>
      <w:lvlText w:val="%1"/>
      <w:lvlJc w:val="left"/>
      <w:pPr>
        <w:ind w:left="7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6DC0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60F1A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EE7DF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94C05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9045E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4CEA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1C342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6C91A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ACC5302"/>
    <w:multiLevelType w:val="hybridMultilevel"/>
    <w:tmpl w:val="5C8CD58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3363B1D"/>
    <w:multiLevelType w:val="hybridMultilevel"/>
    <w:tmpl w:val="212A8F18"/>
    <w:lvl w:ilvl="0" w:tplc="19647C0C">
      <w:start w:val="1"/>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FE537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92CFA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422D4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160F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CC4D0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D6021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61B0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F80A7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41B0AAF"/>
    <w:multiLevelType w:val="hybridMultilevel"/>
    <w:tmpl w:val="3B2A09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72A5182"/>
    <w:multiLevelType w:val="hybridMultilevel"/>
    <w:tmpl w:val="472E1D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7F11D0D"/>
    <w:multiLevelType w:val="hybridMultilevel"/>
    <w:tmpl w:val="5F3E69EE"/>
    <w:lvl w:ilvl="0" w:tplc="3F806FF0">
      <w:start w:val="1"/>
      <w:numFmt w:val="bullet"/>
      <w:lvlText w:val="•"/>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40116">
      <w:start w:val="1"/>
      <w:numFmt w:val="bullet"/>
      <w:lvlText w:val="o"/>
      <w:lvlJc w:val="left"/>
      <w:pPr>
        <w:ind w:left="1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76CAA6">
      <w:start w:val="1"/>
      <w:numFmt w:val="bullet"/>
      <w:lvlText w:val="▪"/>
      <w:lvlJc w:val="left"/>
      <w:pPr>
        <w:ind w:left="19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EA7E20">
      <w:start w:val="1"/>
      <w:numFmt w:val="bullet"/>
      <w:lvlText w:val="•"/>
      <w:lvlJc w:val="left"/>
      <w:pPr>
        <w:ind w:left="2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3866B2">
      <w:start w:val="1"/>
      <w:numFmt w:val="bullet"/>
      <w:lvlText w:val="o"/>
      <w:lvlJc w:val="left"/>
      <w:pPr>
        <w:ind w:left="33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B853F2">
      <w:start w:val="1"/>
      <w:numFmt w:val="bullet"/>
      <w:lvlText w:val="▪"/>
      <w:lvlJc w:val="left"/>
      <w:pPr>
        <w:ind w:left="4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483BA0">
      <w:start w:val="1"/>
      <w:numFmt w:val="bullet"/>
      <w:lvlText w:val="•"/>
      <w:lvlJc w:val="left"/>
      <w:pPr>
        <w:ind w:left="4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28233A">
      <w:start w:val="1"/>
      <w:numFmt w:val="bullet"/>
      <w:lvlText w:val="o"/>
      <w:lvlJc w:val="left"/>
      <w:pPr>
        <w:ind w:left="55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0EEE06">
      <w:start w:val="1"/>
      <w:numFmt w:val="bullet"/>
      <w:lvlText w:val="▪"/>
      <w:lvlJc w:val="left"/>
      <w:pPr>
        <w:ind w:left="6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C8E1B18"/>
    <w:multiLevelType w:val="hybridMultilevel"/>
    <w:tmpl w:val="82A8DF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23"/>
  </w:num>
  <w:num w:numId="3">
    <w:abstractNumId w:val="16"/>
  </w:num>
  <w:num w:numId="4">
    <w:abstractNumId w:val="15"/>
  </w:num>
  <w:num w:numId="5">
    <w:abstractNumId w:val="5"/>
  </w:num>
  <w:num w:numId="6">
    <w:abstractNumId w:val="28"/>
  </w:num>
  <w:num w:numId="7">
    <w:abstractNumId w:val="13"/>
  </w:num>
  <w:num w:numId="8">
    <w:abstractNumId w:val="7"/>
  </w:num>
  <w:num w:numId="9">
    <w:abstractNumId w:val="35"/>
  </w:num>
  <w:num w:numId="10">
    <w:abstractNumId w:val="9"/>
  </w:num>
  <w:num w:numId="11">
    <w:abstractNumId w:val="32"/>
  </w:num>
  <w:num w:numId="12">
    <w:abstractNumId w:val="10"/>
  </w:num>
  <w:num w:numId="13">
    <w:abstractNumId w:val="30"/>
  </w:num>
  <w:num w:numId="14">
    <w:abstractNumId w:val="24"/>
  </w:num>
  <w:num w:numId="15">
    <w:abstractNumId w:val="12"/>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num>
  <w:num w:numId="18">
    <w:abstractNumId w:val="11"/>
  </w:num>
  <w:num w:numId="19">
    <w:abstractNumId w:val="20"/>
  </w:num>
  <w:num w:numId="20">
    <w:abstractNumId w:val="14"/>
  </w:num>
  <w:num w:numId="21">
    <w:abstractNumId w:val="34"/>
  </w:num>
  <w:num w:numId="22">
    <w:abstractNumId w:val="31"/>
  </w:num>
  <w:num w:numId="23">
    <w:abstractNumId w:val="25"/>
  </w:num>
  <w:num w:numId="24">
    <w:abstractNumId w:val="26"/>
  </w:num>
  <w:num w:numId="25">
    <w:abstractNumId w:val="27"/>
  </w:num>
  <w:num w:numId="26">
    <w:abstractNumId w:val="8"/>
  </w:num>
  <w:num w:numId="27">
    <w:abstractNumId w:val="4"/>
  </w:num>
  <w:num w:numId="28">
    <w:abstractNumId w:val="29"/>
  </w:num>
  <w:num w:numId="29">
    <w:abstractNumId w:val="33"/>
  </w:num>
  <w:num w:numId="30">
    <w:abstractNumId w:val="18"/>
  </w:num>
  <w:num w:numId="31">
    <w:abstractNumId w:val="22"/>
  </w:num>
  <w:num w:numId="32">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83726A3-202C-44FE-9B4B-A3521467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rianne" w:eastAsiaTheme="minorHAnsi" w:hAnsi="Marianne" w:cstheme="minorBidi"/>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240" w:after="0"/>
      <w:outlineLvl w:val="0"/>
    </w:pPr>
    <w:rPr>
      <w:rFonts w:ascii="Marianne ExtraBold" w:eastAsiaTheme="majorEastAsia" w:hAnsi="Marianne ExtraBold" w:cstheme="majorBidi"/>
      <w:color w:val="FFFFFF" w:themeColor="background1"/>
      <w:sz w:val="96"/>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Pr>
      <w:rFonts w:asciiTheme="majorHAnsi" w:eastAsiaTheme="majorEastAsia" w:hAnsiTheme="majorHAnsi" w:cstheme="majorBidi"/>
      <w:color w:val="2F5496" w:themeColor="accent1" w:themeShade="BF"/>
      <w:sz w:val="26"/>
      <w:szCs w:val="26"/>
    </w:rPr>
  </w:style>
  <w:style w:type="character" w:styleId="lev">
    <w:name w:val="Strong"/>
    <w:basedOn w:val="Policepardfaut"/>
    <w:qFormat/>
    <w:rPr>
      <w:b/>
      <w:bCs/>
    </w:rPr>
  </w:style>
  <w:style w:type="paragraph" w:customStyle="1" w:styleId="Style1-Marianne">
    <w:name w:val="Style1-Marianne"/>
    <w:basedOn w:val="Titre2"/>
    <w:link w:val="Style1-MarianneCar"/>
    <w:qFormat/>
    <w:pPr>
      <w:numPr>
        <w:numId w:val="1"/>
      </w:numPr>
    </w:pPr>
    <w:rPr>
      <w:rFonts w:ascii="Marianne" w:hAnsi="Marianne"/>
      <w:b/>
      <w:color w:val="auto"/>
    </w:rPr>
  </w:style>
  <w:style w:type="character" w:customStyle="1" w:styleId="Titre1Car">
    <w:name w:val="Titre 1 Car"/>
    <w:basedOn w:val="Policepardfaut"/>
    <w:link w:val="Titre1"/>
    <w:uiPriority w:val="9"/>
    <w:rPr>
      <w:rFonts w:ascii="Marianne ExtraBold" w:eastAsiaTheme="majorEastAsia" w:hAnsi="Marianne ExtraBold" w:cstheme="majorBidi"/>
      <w:color w:val="FFFFFF" w:themeColor="background1"/>
      <w:sz w:val="96"/>
      <w:szCs w:val="32"/>
    </w:rPr>
  </w:style>
  <w:style w:type="character" w:customStyle="1" w:styleId="Style1-MarianneCar">
    <w:name w:val="Style1-Marianne Car"/>
    <w:basedOn w:val="Titre2Car"/>
    <w:link w:val="Style1-Marianne"/>
    <w:rPr>
      <w:rFonts w:asciiTheme="majorHAnsi" w:eastAsiaTheme="majorEastAsia" w:hAnsiTheme="majorHAnsi" w:cstheme="majorBidi"/>
      <w:b/>
      <w:color w:val="2F5496" w:themeColor="accent1" w:themeShade="BF"/>
      <w:sz w:val="26"/>
      <w:szCs w:val="26"/>
    </w:rPr>
  </w:style>
  <w:style w:type="paragraph" w:styleId="En-ttedetabledesmatires">
    <w:name w:val="TOC Heading"/>
    <w:basedOn w:val="Titre1"/>
    <w:next w:val="Normal"/>
    <w:uiPriority w:val="39"/>
    <w:unhideWhenUsed/>
    <w:qFormat/>
    <w:pPr>
      <w:outlineLvl w:val="9"/>
    </w:pPr>
    <w:rPr>
      <w:lang w:eastAsia="fr-FR"/>
    </w:rPr>
  </w:style>
  <w:style w:type="paragraph" w:styleId="TM2">
    <w:name w:val="toc 2"/>
    <w:basedOn w:val="Normal"/>
    <w:next w:val="Normal"/>
    <w:autoRedefine/>
    <w:uiPriority w:val="39"/>
    <w:unhideWhenUsed/>
    <w:pPr>
      <w:spacing w:after="100"/>
      <w:ind w:left="200"/>
    </w:pPr>
  </w:style>
  <w:style w:type="character" w:styleId="Lienhypertexte">
    <w:name w:val="Hyperlink"/>
    <w:basedOn w:val="Policepardfaut"/>
    <w:uiPriority w:val="99"/>
    <w:unhideWhenUsed/>
    <w:rPr>
      <w:color w:val="0563C1" w:themeColor="hyperlink"/>
      <w:u w:val="single"/>
    </w:rPr>
  </w:style>
  <w:style w:type="paragraph" w:customStyle="1" w:styleId="Style1">
    <w:name w:val="Style1"/>
    <w:basedOn w:val="Titre1"/>
    <w:next w:val="Titre1"/>
    <w:link w:val="Style1Car"/>
    <w:qFormat/>
    <w:rPr>
      <w:rFonts w:ascii="Marianne" w:hAnsi="Marianne"/>
      <w:b/>
      <w:sz w:val="84"/>
      <w:szCs w:val="52"/>
    </w:rPr>
  </w:style>
  <w:style w:type="paragraph" w:customStyle="1" w:styleId="Style2">
    <w:name w:val="Style2"/>
    <w:basedOn w:val="Titre2"/>
    <w:link w:val="Style2Car"/>
    <w:qFormat/>
    <w:rPr>
      <w:rFonts w:ascii="Marianne" w:hAnsi="Marianne"/>
      <w:b/>
      <w:color w:val="466964"/>
      <w:sz w:val="56"/>
    </w:rPr>
  </w:style>
  <w:style w:type="character" w:customStyle="1" w:styleId="Style1Car">
    <w:name w:val="Style1 Car"/>
    <w:basedOn w:val="Titre1Car"/>
    <w:link w:val="Style1"/>
    <w:rPr>
      <w:rFonts w:ascii="Marianne ExtraBold" w:eastAsiaTheme="majorEastAsia" w:hAnsi="Marianne ExtraBold" w:cstheme="majorBidi"/>
      <w:b/>
      <w:color w:val="FFFFFF" w:themeColor="background1"/>
      <w:sz w:val="84"/>
      <w:szCs w:val="52"/>
    </w:rPr>
  </w:style>
  <w:style w:type="paragraph" w:customStyle="1" w:styleId="Style3">
    <w:name w:val="Style3"/>
    <w:basedOn w:val="Titre3"/>
    <w:link w:val="Style3Car"/>
    <w:qFormat/>
    <w:pPr>
      <w:spacing w:line="240" w:lineRule="auto"/>
    </w:pPr>
    <w:rPr>
      <w:rFonts w:ascii="Marianne" w:hAnsi="Marianne"/>
      <w:b/>
      <w:color w:val="FFFFFF" w:themeColor="background1"/>
      <w:sz w:val="36"/>
    </w:rPr>
  </w:style>
  <w:style w:type="character" w:customStyle="1" w:styleId="Style2Car">
    <w:name w:val="Style2 Car"/>
    <w:basedOn w:val="Titre2Car"/>
    <w:link w:val="Style2"/>
    <w:rPr>
      <w:rFonts w:asciiTheme="majorHAnsi" w:eastAsiaTheme="majorEastAsia" w:hAnsiTheme="majorHAnsi" w:cstheme="majorBidi"/>
      <w:b/>
      <w:color w:val="466964"/>
      <w:sz w:val="56"/>
      <w:szCs w:val="26"/>
    </w:rPr>
  </w:style>
  <w:style w:type="paragraph" w:styleId="Paragraphedeliste">
    <w:name w:val="List Paragraph"/>
    <w:basedOn w:val="Normal"/>
    <w:uiPriority w:val="34"/>
    <w:qFormat/>
    <w:pPr>
      <w:ind w:left="720"/>
      <w:contextualSpacing/>
    </w:pPr>
  </w:style>
  <w:style w:type="character" w:customStyle="1" w:styleId="Style3Car">
    <w:name w:val="Style3 Car"/>
    <w:basedOn w:val="Style2Car"/>
    <w:link w:val="Style3"/>
    <w:rPr>
      <w:rFonts w:asciiTheme="majorHAnsi" w:eastAsiaTheme="majorEastAsia" w:hAnsiTheme="majorHAnsi" w:cstheme="majorBidi"/>
      <w:b/>
      <w:color w:val="FFFFFF" w:themeColor="background1"/>
      <w:sz w:val="36"/>
      <w:szCs w:val="24"/>
    </w:rPr>
  </w:style>
  <w:style w:type="character" w:customStyle="1" w:styleId="Titre3Car">
    <w:name w:val="Titre 3 Car"/>
    <w:basedOn w:val="Policepardfaut"/>
    <w:link w:val="Titre3"/>
    <w:uiPriority w:val="9"/>
    <w:rPr>
      <w:rFonts w:asciiTheme="majorHAnsi" w:eastAsiaTheme="majorEastAsia" w:hAnsiTheme="majorHAnsi" w:cstheme="majorBidi"/>
      <w:color w:val="1F3763" w:themeColor="accent1" w:themeShade="7F"/>
      <w:sz w:val="24"/>
      <w:szCs w:val="24"/>
    </w:rPr>
  </w:style>
  <w:style w:type="paragraph" w:styleId="Notedebasdepage">
    <w:name w:val="footnote text"/>
    <w:basedOn w:val="Normal"/>
    <w:link w:val="NotedebasdepageCar"/>
    <w:unhideWhenUsed/>
    <w:pPr>
      <w:spacing w:after="0" w:line="240" w:lineRule="auto"/>
    </w:pPr>
    <w:rPr>
      <w:szCs w:val="20"/>
    </w:rPr>
  </w:style>
  <w:style w:type="character" w:customStyle="1" w:styleId="NotedebasdepageCar">
    <w:name w:val="Note de bas de page Car"/>
    <w:basedOn w:val="Policepardfaut"/>
    <w:link w:val="Notedebasdepage"/>
    <w:rPr>
      <w:szCs w:val="20"/>
    </w:rPr>
  </w:style>
  <w:style w:type="character" w:styleId="Appelnotedebasdep">
    <w:name w:val="footnote reference"/>
    <w:basedOn w:val="Policepardfaut"/>
    <w:unhideWhenUsed/>
    <w:rPr>
      <w:vertAlign w:val="superscript"/>
    </w:rPr>
  </w:style>
  <w:style w:type="paragraph" w:styleId="Notedefin">
    <w:name w:val="endnote text"/>
    <w:basedOn w:val="Normal"/>
    <w:link w:val="NotedefinCar"/>
    <w:uiPriority w:val="99"/>
    <w:semiHidden/>
    <w:unhideWhenUsed/>
    <w:pPr>
      <w:spacing w:after="0" w:line="240" w:lineRule="auto"/>
    </w:pPr>
    <w:rPr>
      <w:szCs w:val="20"/>
    </w:rPr>
  </w:style>
  <w:style w:type="character" w:customStyle="1" w:styleId="NotedefinCar">
    <w:name w:val="Note de fin Car"/>
    <w:basedOn w:val="Policepardfaut"/>
    <w:link w:val="Notedefin"/>
    <w:uiPriority w:val="99"/>
    <w:semiHidden/>
    <w:rPr>
      <w:szCs w:val="20"/>
    </w:rPr>
  </w:style>
  <w:style w:type="character" w:styleId="Appeldenotedefin">
    <w:name w:val="endnote reference"/>
    <w:basedOn w:val="Policepardfaut"/>
    <w:uiPriority w:val="99"/>
    <w:semiHidden/>
    <w:unhideWhenUsed/>
    <w:rPr>
      <w:vertAlign w:val="superscript"/>
    </w:r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pPr>
      <w:spacing w:after="100"/>
    </w:pPr>
  </w:style>
  <w:style w:type="paragraph" w:styleId="TM3">
    <w:name w:val="toc 3"/>
    <w:basedOn w:val="Normal"/>
    <w:next w:val="Normal"/>
    <w:autoRedefine/>
    <w:uiPriority w:val="39"/>
    <w:unhideWhenUsed/>
    <w:pPr>
      <w:spacing w:after="100"/>
      <w:ind w:left="400"/>
    </w:pPr>
  </w:style>
  <w:style w:type="character" w:styleId="Mentionnonrsolue">
    <w:name w:val="Unresolved Mention"/>
    <w:basedOn w:val="Policepardfaut"/>
    <w:uiPriority w:val="99"/>
    <w:semiHidden/>
    <w:unhideWhenUsed/>
    <w:rPr>
      <w:color w:val="605E5C"/>
      <w:shd w:val="clear" w:color="auto" w:fill="E1DFDD"/>
    </w:rPr>
  </w:style>
  <w:style w:type="paragraph" w:customStyle="1" w:styleId="Style4">
    <w:name w:val="Style4"/>
    <w:basedOn w:val="Titre4"/>
    <w:link w:val="Style4Car"/>
    <w:qFormat/>
    <w:rPr>
      <w:rFonts w:ascii="Marianne" w:hAnsi="Marianne"/>
      <w:i w:val="0"/>
      <w:color w:val="5770BE"/>
      <w:sz w:val="28"/>
      <w:u w:val="single"/>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2F5496" w:themeColor="accent1" w:themeShade="BF"/>
    </w:rPr>
  </w:style>
  <w:style w:type="character" w:customStyle="1" w:styleId="Style4Car">
    <w:name w:val="Style4 Car"/>
    <w:basedOn w:val="Titre4Car"/>
    <w:link w:val="Style4"/>
    <w:rPr>
      <w:rFonts w:asciiTheme="majorHAnsi" w:eastAsiaTheme="majorEastAsia" w:hAnsiTheme="majorHAnsi" w:cstheme="majorBidi"/>
      <w:i w:val="0"/>
      <w:iCs/>
      <w:color w:val="5770BE"/>
      <w:sz w:val="28"/>
      <w:u w:val="single"/>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customStyle="1" w:styleId="Paragraphedeliste1">
    <w:name w:val="Paragraphe de liste1"/>
    <w:basedOn w:val="Normal"/>
    <w:pPr>
      <w:widowControl w:val="0"/>
      <w:suppressAutoHyphens/>
      <w:spacing w:after="0" w:line="240" w:lineRule="auto"/>
      <w:ind w:left="720"/>
    </w:pPr>
    <w:rPr>
      <w:rFonts w:ascii="Times New Roman" w:eastAsia="SimSun" w:hAnsi="Times New Roman" w:cs="Mangal"/>
      <w:kern w:val="1"/>
      <w:sz w:val="24"/>
      <w:szCs w:val="24"/>
      <w:lang w:eastAsia="hi-IN" w:bidi="hi-IN"/>
    </w:rPr>
  </w:style>
  <w:style w:type="paragraph" w:styleId="Corpsdetexte">
    <w:name w:val="Body Text"/>
    <w:basedOn w:val="Normal"/>
    <w:link w:val="CorpsdetexteCar"/>
    <w:pPr>
      <w:widowControl w:val="0"/>
      <w:suppressAutoHyphens/>
      <w:spacing w:after="120" w:line="240" w:lineRule="auto"/>
    </w:pPr>
    <w:rPr>
      <w:rFonts w:ascii="Times New Roman" w:eastAsia="SimSun" w:hAnsi="Times New Roman" w:cs="Mangal"/>
      <w:kern w:val="1"/>
      <w:sz w:val="24"/>
      <w:szCs w:val="24"/>
      <w:lang w:eastAsia="hi-IN" w:bidi="hi-IN"/>
    </w:rPr>
  </w:style>
  <w:style w:type="character" w:customStyle="1" w:styleId="CorpsdetexteCar">
    <w:name w:val="Corps de texte Car"/>
    <w:basedOn w:val="Policepardfaut"/>
    <w:link w:val="Corpsdetexte"/>
    <w:rPr>
      <w:rFonts w:ascii="Times New Roman" w:eastAsia="SimSun" w:hAnsi="Times New Roman" w:cs="Mangal"/>
      <w:kern w:val="1"/>
      <w:sz w:val="24"/>
      <w:szCs w:val="24"/>
      <w:lang w:eastAsia="hi-IN" w:bidi="hi-IN"/>
    </w:rPr>
  </w:style>
  <w:style w:type="paragraph" w:customStyle="1" w:styleId="Contenudetableau">
    <w:name w:val="Contenu de tableau"/>
    <w:basedOn w:val="Normal"/>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Paragraphedeliste2">
    <w:name w:val="Paragraphe de liste2"/>
    <w:basedOn w:val="Normal"/>
    <w:pPr>
      <w:widowControl w:val="0"/>
      <w:suppressAutoHyphens/>
      <w:spacing w:after="0" w:line="240" w:lineRule="auto"/>
      <w:ind w:left="720"/>
    </w:pPr>
    <w:rPr>
      <w:rFonts w:ascii="Times New Roman" w:eastAsia="SimSun" w:hAnsi="Times New Roman" w:cs="Mangal"/>
      <w:kern w:val="1"/>
      <w:sz w:val="24"/>
      <w:szCs w:val="24"/>
      <w:lang w:eastAsia="hi-IN" w:bidi="hi-IN"/>
    </w:rPr>
  </w:style>
  <w:style w:type="character" w:styleId="Lienhypertextesuivivisit">
    <w:name w:val="FollowedHyperlink"/>
    <w:basedOn w:val="Policepardfaut"/>
    <w:uiPriority w:val="99"/>
    <w:semiHidden/>
    <w:unhideWhenUsed/>
    <w:rPr>
      <w:color w:val="954F72" w:themeColor="followed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Policepardfaut1">
    <w:name w:val="Police par défaut1"/>
  </w:style>
  <w:style w:type="paragraph" w:customStyle="1" w:styleId="Titredetableau">
    <w:name w:val="Titre de tableau"/>
    <w:basedOn w:val="Contenudetableau"/>
    <w:pPr>
      <w:jc w:val="center"/>
    </w:pPr>
    <w:rPr>
      <w:b/>
      <w:bCs/>
    </w:rPr>
  </w:style>
  <w:style w:type="paragraph" w:customStyle="1" w:styleId="Notedebasdepage1">
    <w:name w:val="Note de bas de page1"/>
    <w:basedOn w:val="Normal"/>
    <w:pPr>
      <w:widowControl w:val="0"/>
      <w:suppressAutoHyphens/>
      <w:spacing w:after="0" w:line="240" w:lineRule="auto"/>
    </w:pPr>
    <w:rPr>
      <w:rFonts w:ascii="Times New Roman" w:eastAsia="SimSun" w:hAnsi="Times New Roman" w:cs="Mangal"/>
      <w:kern w:val="1"/>
      <w:szCs w:val="20"/>
      <w:lang w:eastAsia="hi-IN" w:bidi="hi-IN"/>
    </w:rPr>
  </w:style>
  <w:style w:type="table" w:customStyle="1" w:styleId="TableGrid">
    <w:name w:val="TableGrid"/>
    <w:pPr>
      <w:spacing w:after="0" w:line="240" w:lineRule="auto"/>
    </w:pPr>
    <w:rPr>
      <w:rFonts w:asciiTheme="minorHAnsi" w:eastAsiaTheme="minorEastAsia" w:hAnsiTheme="minorHAnsi"/>
      <w:sz w:val="22"/>
      <w:lang w:eastAsia="fr-FR"/>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pPr>
      <w:spacing w:after="0" w:line="263" w:lineRule="auto"/>
      <w:ind w:left="2"/>
    </w:pPr>
    <w:rPr>
      <w:rFonts w:ascii="Arial" w:eastAsia="Arial" w:hAnsi="Arial" w:cs="Arial"/>
      <w:color w:val="000000"/>
      <w:lang w:eastAsia="fr-FR"/>
    </w:rPr>
  </w:style>
  <w:style w:type="character" w:customStyle="1" w:styleId="footnotedescriptionChar">
    <w:name w:val="footnote description Char"/>
    <w:link w:val="footnotedescription"/>
    <w:rPr>
      <w:rFonts w:ascii="Arial" w:eastAsia="Arial" w:hAnsi="Arial" w:cs="Arial"/>
      <w:color w:val="000000"/>
      <w:lang w:eastAsia="fr-FR"/>
    </w:rPr>
  </w:style>
  <w:style w:type="character" w:customStyle="1" w:styleId="footnotemark">
    <w:name w:val="footnote mark"/>
    <w:hidden/>
    <w:rPr>
      <w:rFonts w:ascii="Arial" w:eastAsia="Arial" w:hAnsi="Arial" w:cs="Arial"/>
      <w:color w:val="000000"/>
      <w:sz w:val="20"/>
      <w:vertAlign w:val="superscript"/>
    </w:rPr>
  </w:style>
  <w:style w:type="table" w:styleId="TableauGrille1Clair-Accentuation4">
    <w:name w:val="Grid Table 1 Light Accent 4"/>
    <w:basedOn w:val="TableauNormal"/>
    <w:uiPriority w:val="4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
    <w:name w:val="Grid Table 1 Light"/>
    <w:basedOn w:val="Tableau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340221">
      <w:bodyDiv w:val="1"/>
      <w:marLeft w:val="0"/>
      <w:marRight w:val="0"/>
      <w:marTop w:val="0"/>
      <w:marBottom w:val="0"/>
      <w:divBdr>
        <w:top w:val="none" w:sz="0" w:space="0" w:color="auto"/>
        <w:left w:val="none" w:sz="0" w:space="0" w:color="auto"/>
        <w:bottom w:val="none" w:sz="0" w:space="0" w:color="auto"/>
        <w:right w:val="none" w:sz="0" w:space="0" w:color="auto"/>
      </w:divBdr>
    </w:div>
    <w:div w:id="1080295842">
      <w:bodyDiv w:val="1"/>
      <w:marLeft w:val="0"/>
      <w:marRight w:val="0"/>
      <w:marTop w:val="0"/>
      <w:marBottom w:val="0"/>
      <w:divBdr>
        <w:top w:val="none" w:sz="0" w:space="0" w:color="auto"/>
        <w:left w:val="none" w:sz="0" w:space="0" w:color="auto"/>
        <w:bottom w:val="none" w:sz="0" w:space="0" w:color="auto"/>
        <w:right w:val="none" w:sz="0" w:space="0" w:color="auto"/>
      </w:divBdr>
    </w:div>
    <w:div w:id="1217618957">
      <w:bodyDiv w:val="1"/>
      <w:marLeft w:val="0"/>
      <w:marRight w:val="0"/>
      <w:marTop w:val="0"/>
      <w:marBottom w:val="0"/>
      <w:divBdr>
        <w:top w:val="none" w:sz="0" w:space="0" w:color="auto"/>
        <w:left w:val="none" w:sz="0" w:space="0" w:color="auto"/>
        <w:bottom w:val="none" w:sz="0" w:space="0" w:color="auto"/>
        <w:right w:val="none" w:sz="0" w:space="0" w:color="auto"/>
      </w:divBdr>
    </w:div>
    <w:div w:id="1581523688">
      <w:bodyDiv w:val="1"/>
      <w:marLeft w:val="0"/>
      <w:marRight w:val="0"/>
      <w:marTop w:val="0"/>
      <w:marBottom w:val="0"/>
      <w:divBdr>
        <w:top w:val="none" w:sz="0" w:space="0" w:color="auto"/>
        <w:left w:val="none" w:sz="0" w:space="0" w:color="auto"/>
        <w:bottom w:val="none" w:sz="0" w:space="0" w:color="auto"/>
        <w:right w:val="none" w:sz="0" w:space="0" w:color="auto"/>
      </w:divBdr>
    </w:div>
    <w:div w:id="202265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codes/article_lc/LEGIARTI000053528854" TargetMode="External"/><Relationship Id="rId18" Type="http://schemas.openxmlformats.org/officeDocument/2006/relationships/image" Target="media/image5.png"/><Relationship Id="rId26" Type="http://schemas.openxmlformats.org/officeDocument/2006/relationships/hyperlink" Target="https://www.fonction-publique.gouv.fr/files/files/droit-de-la-fonction-publique/CPPF2619494C_0_0.pdf" TargetMode="External"/><Relationship Id="rId39" Type="http://schemas.openxmlformats.org/officeDocument/2006/relationships/oleObject" Target="embeddings/Microsoft_Word_97_-_2003_Document2.doc"/><Relationship Id="rId21" Type="http://schemas.openxmlformats.org/officeDocument/2006/relationships/image" Target="media/image8.png"/><Relationship Id="rId34" Type="http://schemas.openxmlformats.org/officeDocument/2006/relationships/image" Target="media/image16.emf"/><Relationship Id="rId42" Type="http://schemas.openxmlformats.org/officeDocument/2006/relationships/hyperlink" Target="https://outils.cisirh.gouv.fr/rupture-conventionnelle/form" TargetMode="External"/><Relationship Id="rId47" Type="http://schemas.openxmlformats.org/officeDocument/2006/relationships/hyperlink" Target="https://pissarho.cisirh.rie.gouv.fr/node/5191"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emf"/><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5.emf"/><Relationship Id="rId37" Type="http://schemas.openxmlformats.org/officeDocument/2006/relationships/package" Target="embeddings/Microsoft_Word_Document2.docx"/><Relationship Id="rId40" Type="http://schemas.openxmlformats.org/officeDocument/2006/relationships/image" Target="media/image19.emf"/><Relationship Id="rId45" Type="http://schemas.openxmlformats.org/officeDocument/2006/relationships/hyperlink" Target="https://pissarho.cisirh.rie.gouv.fr/node/5191" TargetMode="External"/><Relationship Id="rId5" Type="http://schemas.openxmlformats.org/officeDocument/2006/relationships/webSettings" Target="webSettings.xml"/><Relationship Id="rId15" Type="http://schemas.openxmlformats.org/officeDocument/2006/relationships/hyperlink" Target="https://www.fonction-publique.gouv.fr/files/files/droit-de-la-fonction-publique/CPPF2619494C_0_0.pdf" TargetMode="External"/><Relationship Id="rId23" Type="http://schemas.openxmlformats.org/officeDocument/2006/relationships/image" Target="media/image10.png"/><Relationship Id="rId28" Type="http://schemas.openxmlformats.org/officeDocument/2006/relationships/oleObject" Target="embeddings/Microsoft_Word_97_-_2003_Document.doc"/><Relationship Id="rId36" Type="http://schemas.openxmlformats.org/officeDocument/2006/relationships/image" Target="media/image17.emf"/><Relationship Id="rId49" Type="http://schemas.openxmlformats.org/officeDocument/2006/relationships/hyperlink" Target="https://raw.githubusercontent.com/CISIRH/espace-noyau/main/Noyau%20RH%20FPE/6.%20NOMENCLATURES%20ET%20AUTRES%20REFERENTIELS/Nomenclatures%20PAYE/GEST/BG_TRSC_REMU_25.10.00.xls"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www.legifrance.gouv.fr/jorf/id/JORFTEXT000054632945" TargetMode="External"/><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cid:image003.png@01DBF178.78A04320" TargetMode="External"/><Relationship Id="rId14" Type="http://schemas.openxmlformats.org/officeDocument/2006/relationships/hyperlink" Target="https://www.fonction-publique.gouv.fr/files/files/Guide_Chomage_2021_WEB.pdf" TargetMode="External"/><Relationship Id="rId22" Type="http://schemas.openxmlformats.org/officeDocument/2006/relationships/image" Target="media/image9.png"/><Relationship Id="rId27" Type="http://schemas.openxmlformats.org/officeDocument/2006/relationships/image" Target="media/image13.emf"/><Relationship Id="rId30" Type="http://schemas.openxmlformats.org/officeDocument/2006/relationships/oleObject" Target="embeddings/Microsoft_Word_97_-_2003_Document1.doc"/><Relationship Id="rId35" Type="http://schemas.openxmlformats.org/officeDocument/2006/relationships/package" Target="embeddings/Microsoft_Word_Document1.docx"/><Relationship Id="rId43" Type="http://schemas.openxmlformats.org/officeDocument/2006/relationships/image" Target="media/image20.png"/><Relationship Id="rId48" Type="http://schemas.openxmlformats.org/officeDocument/2006/relationships/hyperlink" Target="https://ingres.cisirh.rie.gouv.fr/hra-space/portal/wsid:0/root/professional/business-domains/NOB?entering=true"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legifrance.gouv.fr/codes/section_lc/LEGITEXT000044416551/LEGISCTA000044423391/" TargetMode="External"/><Relationship Id="rId17" Type="http://schemas.openxmlformats.org/officeDocument/2006/relationships/hyperlink" Target="https://outils.cisirh.gouv.fr/rupture-conventionnelle/form" TargetMode="External"/><Relationship Id="rId25" Type="http://schemas.openxmlformats.org/officeDocument/2006/relationships/image" Target="media/image12.png"/><Relationship Id="rId33" Type="http://schemas.openxmlformats.org/officeDocument/2006/relationships/package" Target="embeddings/Microsoft_Word_Document.docx"/><Relationship Id="rId38" Type="http://schemas.openxmlformats.org/officeDocument/2006/relationships/image" Target="media/image18.emf"/><Relationship Id="rId46" Type="http://schemas.openxmlformats.org/officeDocument/2006/relationships/hyperlink" Target="https://cisirh.github.io/espace-noyau/" TargetMode="External"/><Relationship Id="rId20" Type="http://schemas.openxmlformats.org/officeDocument/2006/relationships/image" Target="media/image7.png"/><Relationship Id="rId41" Type="http://schemas.openxmlformats.org/officeDocument/2006/relationships/oleObject" Target="embeddings/Microsoft_Excel_97-2003_Worksheet.xls"/><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63EFE-F90A-406B-B487-30D9DD6A8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9806</Words>
  <Characters>53939</Characters>
  <Application>Microsoft Office Word</Application>
  <DocSecurity>0</DocSecurity>
  <Lines>449</Lines>
  <Paragraphs>127</Paragraphs>
  <ScaleCrop>false</ScaleCrop>
  <HeadingPairs>
    <vt:vector size="2" baseType="variant">
      <vt:variant>
        <vt:lpstr>Titre</vt:lpstr>
      </vt:variant>
      <vt:variant>
        <vt:i4>1</vt:i4>
      </vt:variant>
    </vt:vector>
  </HeadingPairs>
  <TitlesOfParts>
    <vt:vector size="1" baseType="lpstr">
      <vt:lpstr/>
    </vt:vector>
  </TitlesOfParts>
  <Company>Ministere Finances</Company>
  <LinksUpToDate>false</LinksUpToDate>
  <CharactersWithSpaces>63618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PONTHIAUX Marine</dc:creator>
  <cp:keywords/>
  <dc:description/>
  <cp:lastModifiedBy>FOUGERE Patrice</cp:lastModifiedBy>
  <cp:revision>2</cp:revision>
  <cp:lastPrinted>2026-06-11T14:18:00Z</cp:lastPrinted>
  <dcterms:created xsi:type="dcterms:W3CDTF">2026-08-27T07:54:00Z</dcterms:created>
  <dcterms:modified xsi:type="dcterms:W3CDTF">2026-08-27T07:54:00Z</dcterms:modified>
</cp:coreProperties>
</file>